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p-03-payment-data-handling-sop"/>
    <w:p>
      <w:pPr>
        <w:pStyle w:val="Heading1"/>
      </w:pPr>
      <w:r>
        <w:t xml:space="preserve">SOP-03 — Payment Data Handling SOP</w:t>
      </w:r>
    </w:p>
    <w:p>
      <w:pPr>
        <w:pStyle w:val="FirstParagraph"/>
      </w:pPr>
      <w:r>
        <w:t xml:space="preserve">v1 | 2025-09-01 | Customer Operations/Finance | Compliance</w:t>
      </w:r>
    </w:p>
    <w:p>
      <w:pPr>
        <w:numPr>
          <w:ilvl w:val="0"/>
          <w:numId w:val="1001"/>
        </w:numPr>
      </w:pPr>
      <w:r>
        <w:t xml:space="preserve">Access Requirements</w:t>
      </w:r>
      <w:r>
        <w:t xml:space="preserve"> </w:t>
      </w:r>
      <w:r>
        <w:t xml:space="preserve">1.1 [M] ROLE-SPECIFIC (Payments Operations Specialist): Only Payments Operations Specialists may access the payment gateway administration console.</w:t>
      </w:r>
      <w:r>
        <w:t xml:space="preserve"> </w:t>
      </w:r>
      <w:r>
        <w:t xml:space="preserve">1.2 [M] Access to systems storing payment data requires manager approval. (This is superseded in practice by POL-03 Section 2.3 v2, which adds a Security team approval requirement — SOP-03 has not yet been updated to match.)</w:t>
      </w:r>
    </w:p>
    <w:p>
      <w:pPr>
        <w:numPr>
          <w:ilvl w:val="0"/>
          <w:numId w:val="1001"/>
        </w:numPr>
      </w:pPr>
      <w:r>
        <w:t xml:space="preserve">Refund Co-Sign Process</w:t>
      </w:r>
      <w:r>
        <w:t xml:space="preserve"> </w:t>
      </w:r>
      <w:r>
        <w:t xml:space="preserve">2.1 [M] ROLE-SPECIFIC (Payments Operations Specialist): Payments Operations Specialists must review and co-sign any refund flagged per SOP-02 Section 2.1 within 2 business days.</w:t>
      </w:r>
      <w:r>
        <w:t xml:space="preserve"> </w:t>
      </w:r>
      <w:r>
        <w:t xml:space="preserve">2.2 See SOP-02 Section 2.1 for the originating refund threshold rule.</w:t>
      </w:r>
    </w:p>
    <w:p>
      <w:pPr>
        <w:numPr>
          <w:ilvl w:val="0"/>
          <w:numId w:val="1001"/>
        </w:numPr>
      </w:pPr>
      <w:r>
        <w:t xml:space="preserve">Training</w:t>
      </w:r>
      <w:r>
        <w:t xml:space="preserve"> </w:t>
      </w:r>
      <w:r>
        <w:t xml:space="preserve">3.1 [M] CONDITIONAL: If an employee handles customer payment data in any capacity, they must complete PCI awareness training before being granted system access (see also POL-05 Section 3.1).</w:t>
      </w:r>
      <w:r>
        <w:t xml:space="preserve"> </w:t>
      </w:r>
      <w:r>
        <w:t xml:space="preserve">3.2 [O] Employees are encouraged to complete refresher PCI training annually, though only the initial training is required.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