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800"/>
        <w:gridCol w:w="1080"/>
        <w:gridCol w:w="990"/>
        <w:gridCol w:w="1080"/>
        <w:gridCol w:w="1065"/>
        <w:gridCol w:w="1080"/>
        <w:gridCol w:w="1110"/>
        <w:tblGridChange w:id="0">
          <w:tblGrid>
            <w:gridCol w:w="1140"/>
            <w:gridCol w:w="1800"/>
            <w:gridCol w:w="1080"/>
            <w:gridCol w:w="990"/>
            <w:gridCol w:w="1080"/>
            <w:gridCol w:w="1065"/>
            <w:gridCol w:w="1080"/>
            <w:gridCol w:w="111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Tolerance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Smoking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Drinking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Waist circumstances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Allocation Group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History of complications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Blood Pressure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(systolic)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&lt;120 mmhg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140 &lt; mmhg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Diastolic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 diastolic)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80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mmhg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 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mmhg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Pulse 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60-100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 minute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 minute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BMI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18.5-24.9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24.9 &lt;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Urinary Sugar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0 to 0.8 mmol/L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0.8 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mmol/L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Duration of T2DM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hbA1c(6.5 %&gt; means diabetes)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4%-5.6%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6.5 %&lt;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Fasting plasma glucose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70-100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126 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Insulin 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HOMA-R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 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2.9 &lt;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HOMA-beta 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2.1-22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c-peptide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0.8-3.1 ng/mL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3.1 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1,5-anhydroglucitol,1,4-anhydro(-D)-glucitol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 µg/mL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&lt; 10 µg/mL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Proinsulin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 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pmol/L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 &lt;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pmol/L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 (Sodium)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135-145 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135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Hypertension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arteriosclerosis obliterans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atrial fibrillation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myocardial infarction,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dyslipidemia( excess lipid)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myocardial infarction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cerebral infarction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angina pectoris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heart failure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Triglyceride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&lt; 150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HDL-C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35-80 mg/dL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35-65 mg/dL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39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34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LDL-C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100-129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160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Kidney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Triglyceride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&lt; 150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 &lt;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 (Sodium)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135-145 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135 &lt;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Glycoalbumin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3.5 - 5.0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3.5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  (Potassium)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3.5-5.0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 (Chlorine)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97-107 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History of kidney disease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History of hyperuricemia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BUN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7-20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Uric acid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2.4-6.0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3.4-7.0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7.0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Creatinine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0.5-1.1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0.6-1.2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5.0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Urinary Protein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0-20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eGFR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110 &lt;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80 &lt;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Triglyceride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&lt; 150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 &lt;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 (Sodium)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135-145 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135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(mEq/L)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Glycoalbumin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3.5 - 5.0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History of liver disease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AST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10-40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10-20 times higher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ff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7-56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10-20 times higher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γ-GTP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0–30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Red blood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x10^4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x10^4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x10^4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x10^4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/μL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White Blood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Hemoglobin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g/dL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g/dL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g/dL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g/dL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Hematocrit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Platelets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x10^4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x10^4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444444"/>
          <w:highlight w:val="white"/>
          <w:rtl w:val="0"/>
        </w:rPr>
        <w:t xml:space="preserve">The higher the hbA1c, the higher your risk of having complications related to diabetes.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* I don’t think insulin has a range, the one in the data sheet might simply be the amount of insulin administered to the patients or diabetes level of these patients at those times.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44444"/>
          <w:highlight w:val="white"/>
          <w:u w:val="non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** Not sure at all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