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Evidence-Driven Dynamic Graph Retrieval with Hallucination Risk Gating for Intrusion Detection and Cyber Threat Intelligence</w:t>
      </w:r>
    </w:p>
    <w:p>
      <w:pPr>
        <w:jc w:val="center"/>
      </w:pPr>
      <w:r>
        <w:rPr>
          <w:rFonts w:ascii="Times New Roman" w:hAnsi="Times New Roman" w:eastAsia="Times New Roman"/>
          <w:b/>
          <w:i w:val="0"/>
          <w:sz w:val="24"/>
        </w:rPr>
        <w:t>Nguyễn Vĩnh Phúc</w:t>
      </w:r>
    </w:p>
    <w:p>
      <w:pPr>
        <w:jc w:val="center"/>
      </w:pPr>
      <w:r>
        <w:rPr>
          <w:rFonts w:ascii="Times New Roman" w:hAnsi="Times New Roman" w:eastAsia="Times New Roman"/>
          <w:b w:val="0"/>
          <w:i/>
          <w:sz w:val="22"/>
        </w:rPr>
        <w:t>Doctoral research prototype — Evidence-Driven Dynamic Graph Retrieval (EDGR)</w:t>
        <w:br/>
        <w:t>Correspondence: ngviphuc@gmail.com</w:t>
      </w:r>
    </w:p>
    <w:p>
      <w:pPr>
        <w:jc w:val="center"/>
      </w:pPr>
      <w:r>
        <w:rPr>
          <w:rFonts w:ascii="Times New Roman" w:hAnsi="Times New Roman" w:eastAsia="Times New Roman"/>
          <w:b w:val="0"/>
          <w:i w:val="0"/>
          <w:sz w:val="20"/>
        </w:rPr>
        <w:t>Keywords: retrieval-augmented generation; knowledge graph; hallucination mitigation; cyber threat intelligence; intrusion detection; risk gate; abstain; evidence ranking</w:t>
      </w:r>
    </w:p>
    <w:p>
      <w:pPr>
        <w:pStyle w:val="Heading1"/>
      </w:pPr>
      <w:r>
        <w:rPr>
          <w:rFonts w:ascii="Times New Roman" w:hAnsi="Times New Roman" w:eastAsia="Times New Roman"/>
          <w:b/>
          <w:i w:val="0"/>
          <w:sz w:val="28"/>
        </w:rPr>
        <w:t>Abstract</w:t>
      </w:r>
    </w:p>
    <w:p>
      <w:pPr>
        <w:spacing w:after="160" w:line="360" w:lineRule="auto"/>
        <w:ind w:firstLine="425"/>
      </w:pPr>
      <w:r>
        <w:rPr>
          <w:rFonts w:ascii="Times New Roman" w:hAnsi="Times New Roman" w:eastAsia="Times New Roman"/>
          <w:b w:val="0"/>
          <w:i w:val="0"/>
          <w:sz w:val="24"/>
        </w:rPr>
        <w:t>Security analysts increasingly pose natural-language questions against cyber threat intelligence (CTI) corpora—linking CVE identifiers to ATT&amp;CK techniques, mapping actor toolchains, or deciding whether an IDS alert warrants escalation. Large language models answer fluently in this setting, yet they also invent identifiers and relations that look plausible. Classical retrieval-augmented generation (RAG) reduces reliance on stale parametric memory, but it still ranks flat passages and usually treats faithfulness as a post-hoc score rather than a control that can refuse to answer. Graph-augmented RAG improves multi-hop relational coverage; reflective pipelines revise retrieval when confidence is low. What remains scarce is a pre-emission reject operator co-designed with a dynamic CTI graph and an explicit multi-factor trust model.</w:t>
      </w:r>
    </w:p>
    <w:p>
      <w:pPr>
        <w:spacing w:after="160" w:line="360" w:lineRule="auto"/>
        <w:ind w:firstLine="425"/>
      </w:pPr>
      <w:r>
        <w:rPr>
          <w:rFonts w:ascii="Times New Roman" w:hAnsi="Times New Roman" w:eastAsia="Times New Roman"/>
          <w:b w:val="0"/>
          <w:i w:val="0"/>
          <w:sz w:val="24"/>
        </w:rPr>
        <w:t xml:space="preserve">This paper presents EDGR (Evidence-Driven Dynamic Graph Retrieval). The method couples a time-stamped dynamic knowledge graph with six retrieval stages: entity extraction, adaptive multi-hop expansion, temporal filtering of expanded neighbors, fusion ranking of vector and entity-linked evidence, four-factor trust scoring, and a ρ-gate that either emits a grounded answer or abstains. Trust for an evidence item </w:t>
      </w:r>
      <m:oMath xmlns:mml="http://www.w3.org/1998/Math/MathML">
        <m:r>
          <m:t>e</m:t>
        </m:r>
      </m:oMath>
      <w:r>
        <w:rPr>
          <w:rFonts w:ascii="Times New Roman" w:hAnsi="Times New Roman" w:eastAsia="Times New Roman"/>
          <w:b w:val="0"/>
          <w:i w:val="0"/>
          <w:sz w:val="24"/>
        </w:rPr>
        <w:t xml:space="preserve"> is defined as a weighted combination of reliability, freshness, graph-path consistency, and semantic relevance; risk is the complement </w:t>
      </w:r>
      <m:oMath xmlns:mml="http://www.w3.org/1998/Math/MathML">
        <m:r>
          <m:t>ρ(e)=1−τ(e)</m:t>
        </m:r>
      </m:oMath>
      <w:r>
        <w:rPr>
          <w:rFonts w:ascii="Times New Roman" w:hAnsi="Times New Roman" w:eastAsia="Times New Roman"/>
          <w:b w:val="0"/>
          <w:i w:val="0"/>
          <w:sz w:val="24"/>
        </w:rPr>
        <w:t xml:space="preserve">. Emission is allowed only when selected evidence clears a threshold </w:t>
      </w:r>
      <m:oMath xmlns:mml="http://www.w3.org/1998/Math/MathML">
        <m:r>
          <m:t>θ</m:t>
        </m:r>
      </m:oMath>
      <w:r>
        <w:rPr>
          <w:rFonts w:ascii="Times New Roman" w:hAnsi="Times New Roman" w:eastAsia="Times New Roman"/>
          <w:b w:val="0"/>
          <w:i w:val="0"/>
          <w:sz w:val="24"/>
        </w:rPr>
        <w:t xml:space="preserve"> (default </w:t>
      </w:r>
      <m:oMath xmlns:mml="http://www.w3.org/1998/Math/MathML">
        <m:r>
          <m:t>0.55</m:t>
        </m:r>
      </m:oMath>
      <w:r>
        <w:rPr>
          <w:rFonts w:ascii="Times New Roman" w:hAnsi="Times New Roman" w:eastAsia="Times New Roman"/>
          <w:b w:val="0"/>
          <w:i w:val="0"/>
          <w:sz w:val="24"/>
        </w:rPr>
        <w:t>) and query CVE identifiers appear in trusted text.</w:t>
      </w:r>
    </w:p>
    <w:p>
      <w:pPr>
        <w:spacing w:after="160" w:line="360" w:lineRule="auto"/>
        <w:ind w:firstLine="425"/>
      </w:pPr>
      <w:r>
        <w:rPr>
          <w:rFonts w:ascii="Times New Roman" w:hAnsi="Times New Roman" w:eastAsia="Times New Roman"/>
          <w:b w:val="0"/>
          <w:i w:val="0"/>
          <w:sz w:val="24"/>
        </w:rPr>
        <w:t>On a scaled reproducible IDS/CTI suite (</w:t>
      </w:r>
      <m:oMath xmlns:mml="http://www.w3.org/1998/Math/MathML">
        <m:r>
          <m:t>N=212</m:t>
        </m:r>
      </m:oMath>
      <w:r>
        <w:rPr>
          <w:rFonts w:ascii="Times New Roman" w:hAnsi="Times New Roman" w:eastAsia="Times New Roman"/>
          <w:b w:val="0"/>
          <w:i w:val="0"/>
          <w:sz w:val="24"/>
        </w:rPr>
        <w:t xml:space="preserve"> QA items, </w:t>
      </w:r>
      <m:oMath xmlns:mml="http://www.w3.org/1998/Math/MathML">
        <m:r>
          <m:t>|𝒟|=106</m:t>
        </m:r>
      </m:oMath>
      <w:r>
        <w:rPr>
          <w:rFonts w:ascii="Times New Roman" w:hAnsi="Times New Roman" w:eastAsia="Times New Roman"/>
          <w:b w:val="0"/>
          <w:i w:val="0"/>
          <w:sz w:val="24"/>
        </w:rPr>
        <w:t xml:space="preserve"> evidence chunks, KG </w:t>
      </w:r>
      <m:oMath xmlns:mml="http://www.w3.org/1998/Math/MathML">
        <m:r>
          <m:t>V=97</m:t>
        </m:r>
      </m:oMath>
      <w:r>
        <w:rPr>
          <w:rFonts w:ascii="Times New Roman" w:hAnsi="Times New Roman" w:eastAsia="Times New Roman"/>
          <w:b w:val="0"/>
          <w:i w:val="0"/>
          <w:sz w:val="24"/>
        </w:rPr>
        <w:t xml:space="preserve">, </w:t>
      </w:r>
      <m:oMath xmlns:mml="http://www.w3.org/1998/Math/MathML">
        <m:r>
          <m:t>E=123</m:t>
        </m:r>
      </m:oMath>
      <w:r>
        <w:rPr>
          <w:rFonts w:ascii="Times New Roman" w:hAnsi="Times New Roman" w:eastAsia="Times New Roman"/>
          <w:b w:val="0"/>
          <w:i w:val="0"/>
          <w:sz w:val="24"/>
        </w:rPr>
        <w:t>, including 44 OOD abstain probes), we evaluate EDGR under a primary Trusted Answer Score (TAS) that combines answerable faithfulness with identifier safety and hard OOD abstain credit. EDGR ranks first on mean TAS (</w:t>
      </w:r>
      <m:oMath xmlns:mml="http://www.w3.org/1998/Math/MathML">
        <m:r>
          <m:t>0.752</m:t>
        </m:r>
      </m:oMath>
      <w:r>
        <w:rPr>
          <w:rFonts w:ascii="Times New Roman" w:hAnsi="Times New Roman" w:eastAsia="Times New Roman"/>
          <w:b w:val="0"/>
          <w:i w:val="0"/>
          <w:sz w:val="24"/>
        </w:rPr>
        <w:t xml:space="preserve"> </w:t>
      </w:r>
      <m:oMath xmlns:mml="http://www.w3.org/1998/Math/MathML">
        <m:r>
          <m:t>[0.732,0.772]</m:t>
        </m:r>
      </m:oMath>
      <w:r>
        <w:rPr>
          <w:rFonts w:ascii="Times New Roman" w:hAnsi="Times New Roman" w:eastAsia="Times New Roman"/>
          <w:b w:val="0"/>
          <w:i w:val="0"/>
          <w:sz w:val="24"/>
        </w:rPr>
        <w:t>) versus flat RAG (</w:t>
      </w:r>
      <m:oMath xmlns:mml="http://www.w3.org/1998/Math/MathML">
        <m:r>
          <m:t>0.521</m:t>
        </m:r>
      </m:oMath>
      <w:r>
        <w:rPr>
          <w:rFonts w:ascii="Times New Roman" w:hAnsi="Times New Roman" w:eastAsia="Times New Roman"/>
          <w:b w:val="0"/>
          <w:i w:val="0"/>
          <w:sz w:val="24"/>
        </w:rPr>
        <w:t>) and a LightRAG reference-family policy (</w:t>
      </w:r>
      <m:oMath xmlns:mml="http://www.w3.org/1998/Math/MathML">
        <m:r>
          <m:t>0.610</m:t>
        </m:r>
      </m:oMath>
      <w:r>
        <w:rPr>
          <w:rFonts w:ascii="Times New Roman" w:hAnsi="Times New Roman" w:eastAsia="Times New Roman"/>
          <w:b w:val="0"/>
          <w:i w:val="0"/>
          <w:sz w:val="24"/>
        </w:rPr>
        <w:t>). Lexical faithfulness alone still favors LightRAG (</w:t>
      </w:r>
      <m:oMath xmlns:mml="http://www.w3.org/1998/Math/MathML">
        <m:r>
          <m:t>0.679</m:t>
        </m:r>
      </m:oMath>
      <w:r>
        <w:rPr>
          <w:rFonts w:ascii="Times New Roman" w:hAnsi="Times New Roman" w:eastAsia="Times New Roman"/>
          <w:b w:val="0"/>
          <w:i w:val="0"/>
          <w:sz w:val="24"/>
        </w:rPr>
        <w:t xml:space="preserve"> vs EDGR </w:t>
      </w:r>
      <m:oMath xmlns:mml="http://www.w3.org/1998/Math/MathML">
        <m:r>
          <m:t>0.523</m:t>
        </m:r>
      </m:oMath>
      <w:r>
        <w:rPr>
          <w:rFonts w:ascii="Times New Roman" w:hAnsi="Times New Roman" w:eastAsia="Times New Roman"/>
          <w:b w:val="0"/>
          <w:i w:val="0"/>
          <w:sz w:val="24"/>
        </w:rPr>
        <w:t xml:space="preserve"> on </w:t>
      </w:r>
      <m:oMath xmlns:mml="http://www.w3.org/1998/Math/MathML">
        <m:r>
          <m:t>n=168</m:t>
        </m:r>
      </m:oMath>
      <w:r>
        <w:rPr>
          <w:rFonts w:ascii="Times New Roman" w:hAnsi="Times New Roman" w:eastAsia="Times New Roman"/>
          <w:b w:val="0"/>
          <w:i w:val="0"/>
          <w:sz w:val="24"/>
        </w:rPr>
        <w:t xml:space="preserve"> answerable items)—disclosed as a construct caveat—while the OOD safety stratum is EDGR </w:t>
      </w:r>
      <m:oMath xmlns:mml="http://www.w3.org/1998/Math/MathML">
        <m:r>
          <m:t>1.0</m:t>
        </m:r>
      </m:oMath>
      <w:r>
        <w:rPr>
          <w:rFonts w:ascii="Times New Roman" w:hAnsi="Times New Roman" w:eastAsia="Times New Roman"/>
          <w:b w:val="0"/>
          <w:i w:val="0"/>
          <w:sz w:val="24"/>
        </w:rPr>
        <w:t xml:space="preserve"> versus </w:t>
      </w:r>
      <m:oMath xmlns:mml="http://www.w3.org/1998/Math/MathML">
        <m:r>
          <m:t>0.0</m:t>
        </m:r>
      </m:oMath>
      <w:r>
        <w:rPr>
          <w:rFonts w:ascii="Times New Roman" w:hAnsi="Times New Roman" w:eastAsia="Times New Roman"/>
          <w:b w:val="0"/>
          <w:i w:val="0"/>
          <w:sz w:val="24"/>
        </w:rPr>
        <w:t xml:space="preserve"> for all ungated baselines. Paired EDGR−RAG </w:t>
      </w:r>
      <m:oMath xmlns:mml="http://www.w3.org/1998/Math/MathML">
        <m:r>
          <m:t>Δ</m:t>
        </m:r>
      </m:oMath>
      <w:r>
        <w:rPr>
          <w:rFonts w:ascii="Times New Roman" w:hAnsi="Times New Roman" w:eastAsia="Times New Roman"/>
          <w:b w:val="0"/>
          <w:i w:val="0"/>
          <w:sz w:val="24"/>
        </w:rPr>
        <w:t xml:space="preserve">TAS </w:t>
      </w:r>
      <m:oMath xmlns:mml="http://www.w3.org/1998/Math/MathML">
        <m:r>
          <m:t>=+0.232</m:t>
        </m:r>
      </m:oMath>
      <w:r>
        <w:rPr>
          <w:rFonts w:ascii="Times New Roman" w:hAnsi="Times New Roman" w:eastAsia="Times New Roman"/>
          <w:b w:val="0"/>
          <w:i w:val="0"/>
          <w:sz w:val="24"/>
        </w:rPr>
        <w:t xml:space="preserve"> </w:t>
      </w:r>
      <m:oMath xmlns:mml="http://www.w3.org/1998/Math/MathML">
        <m:r>
          <m:t>[0.180,0.283]</m:t>
        </m:r>
      </m:oMath>
      <w:r>
        <w:rPr>
          <w:rFonts w:ascii="Times New Roman" w:hAnsi="Times New Roman" w:eastAsia="Times New Roman"/>
          <w:b w:val="0"/>
          <w:i w:val="0"/>
          <w:sz w:val="24"/>
        </w:rPr>
        <w:t>; Wilcoxon and McNemar (TAS</w:t>
      </w:r>
      <m:oMath xmlns:mml="http://www.w3.org/1998/Math/MathML">
        <m:r>
          <m:t>≥0.55</m:t>
        </m:r>
      </m:oMath>
      <w:r>
        <w:rPr>
          <w:rFonts w:ascii="Times New Roman" w:hAnsi="Times New Roman" w:eastAsia="Times New Roman"/>
          <w:b w:val="0"/>
          <w:i w:val="0"/>
          <w:sz w:val="24"/>
        </w:rPr>
        <w:t>) are both significant (</w:t>
      </w:r>
      <m:oMath xmlns:mml="http://www.w3.org/1998/Math/MathML">
        <m:sSub>
          <m:e>
            <m:r>
              <m:t>b</m:t>
            </m:r>
          </m:e>
          <m:sub>
            <m:r>
              <m:t>10</m:t>
            </m:r>
          </m:sub>
        </m:sSub>
        <m:r>
          <m:t>=49</m:t>
        </m:r>
      </m:oMath>
      <w:r>
        <w:rPr>
          <w:rFonts w:ascii="Times New Roman" w:hAnsi="Times New Roman" w:eastAsia="Times New Roman"/>
          <w:b w:val="0"/>
          <w:i w:val="0"/>
          <w:sz w:val="24"/>
        </w:rPr>
        <w:t xml:space="preserve">, </w:t>
      </w:r>
      <m:oMath xmlns:mml="http://www.w3.org/1998/Math/MathML">
        <m:sSub>
          <m:e>
            <m:r>
              <m:t>b</m:t>
            </m:r>
          </m:e>
          <m:sub>
            <m:r>
              <m:t>01</m:t>
            </m:r>
          </m:sub>
        </m:sSub>
        <m:r>
          <m:t>=7</m:t>
        </m:r>
      </m:oMath>
      <w:r>
        <w:rPr>
          <w:rFonts w:ascii="Times New Roman" w:hAnsi="Times New Roman" w:eastAsia="Times New Roman"/>
          <w:b w:val="0"/>
          <w:i w:val="0"/>
          <w:sz w:val="24"/>
        </w:rPr>
        <w:t xml:space="preserve">). Graph ablation drops mean </w:t>
      </w:r>
      <m:oMath xmlns:mml="http://www.w3.org/1998/Math/MathML">
        <m:r>
          <m:t>F</m:t>
        </m:r>
      </m:oMath>
      <w:r>
        <w:rPr>
          <w:rFonts w:ascii="Times New Roman" w:hAnsi="Times New Roman" w:eastAsia="Times New Roman"/>
          <w:b w:val="0"/>
          <w:i w:val="0"/>
          <w:sz w:val="24"/>
        </w:rPr>
        <w:t xml:space="preserve"> by </w:t>
      </w:r>
      <m:oMath xmlns:mml="http://www.w3.org/1998/Math/MathML">
        <m:r>
          <m:t>≈0.049</m:t>
        </m:r>
      </m:oMath>
      <w:r>
        <w:rPr>
          <w:rFonts w:ascii="Times New Roman" w:hAnsi="Times New Roman" w:eastAsia="Times New Roman"/>
          <w:b w:val="0"/>
          <w:i w:val="0"/>
          <w:sz w:val="24"/>
        </w:rPr>
        <w:t>. Baselines are thickened reference-family policies on the same store (not vendor dumps). Human evaluation uses a live-system dual panel (</w:t>
      </w:r>
      <m:oMath xmlns:mml="http://www.w3.org/1998/Math/MathML">
        <m:sSub>
          <m:e>
            <m:r>
              <m:t>κ</m:t>
            </m:r>
          </m:e>
          <m:sub>
            <m:r>
              <m:t>g</m:t>
            </m:r>
          </m:sub>
        </m:sSub>
        <m:r>
          <m:t>≈0.92</m:t>
        </m:r>
      </m:oMath>
      <w:r>
        <w:rPr>
          <w:rFonts w:ascii="Times New Roman" w:hAnsi="Times New Roman" w:eastAsia="Times New Roman"/>
          <w:b w:val="0"/>
          <w:i w:val="0"/>
          <w:sz w:val="24"/>
        </w:rPr>
        <w:t>), not field SOC labels. Contribution: an auditable Trusted Answer protocol with claim-aligned metrics—not large-benchmark SOTA.</w:t>
      </w:r>
    </w:p>
    <w:p>
      <w:pPr>
        <w:pStyle w:val="Heading1"/>
      </w:pPr>
      <w:r>
        <w:rPr>
          <w:rFonts w:ascii="Times New Roman" w:hAnsi="Times New Roman" w:eastAsia="Times New Roman"/>
          <w:b/>
          <w:i w:val="0"/>
          <w:sz w:val="28"/>
        </w:rPr>
        <w:t>1. Introduction</w:t>
      </w:r>
    </w:p>
    <w:p>
      <w:pPr>
        <w:spacing w:after="160" w:line="360" w:lineRule="auto"/>
        <w:ind w:firstLine="425"/>
      </w:pPr>
      <w:r>
        <w:rPr>
          <w:rFonts w:ascii="Times New Roman" w:hAnsi="Times New Roman" w:eastAsia="Times New Roman"/>
          <w:b w:val="0"/>
          <w:i w:val="0"/>
          <w:sz w:val="24"/>
        </w:rPr>
        <w:t>A SOC analyst rarely asks a CTI system for an abstract summary. The question is usually operational: which ATT&amp;CK techniques are implicated by CVE-2021-44228; whether a lateral movement alert aligns with known actor playbooks; whether a CVE in the query is even present in the local knowledge base. In each case, an invented technique ID or a confident but unsupported CVE narrative can redirect triage time. Parametric language models alone are poorly matched to this workload because CTI facts churn and because fabricated identifiers are disproportionately costly compared with generic fluency errors [1–3].</w:t>
      </w:r>
    </w:p>
    <w:p>
      <w:pPr>
        <w:spacing w:after="160" w:line="360" w:lineRule="auto"/>
        <w:ind w:firstLine="425"/>
      </w:pPr>
      <w:r>
        <w:rPr>
          <w:rFonts w:ascii="Times New Roman" w:hAnsi="Times New Roman" w:eastAsia="Times New Roman"/>
          <w:b w:val="0"/>
          <w:i w:val="0"/>
          <w:sz w:val="24"/>
        </w:rPr>
        <w:t>RAG places retrieved passages into the generation context and thereby reduces some classes of unsupported claims [1]. Surveys of hallucination and of RAG practice make two limitations clear for CTI [2,3]. First, threat knowledge is relational. Analysts reason over edges among CVE, technique, tactic, malware, and actor entities; ranking passages by lexical or dense similarity does not encode that edge structure [4–6,9–11]. Second, faithfulness is frequently reported after an answer has already been emitted. In a high-stakes assistant, refusal can be the correct action. Selective prediction and abstention are established ideas in machine learning; CTI RAG systems have been slow to treat abstain as a first-class operator rather than an afterthought [7,8].</w:t>
      </w:r>
    </w:p>
    <w:p>
      <w:pPr>
        <w:spacing w:after="160" w:line="360" w:lineRule="auto"/>
        <w:ind w:firstLine="425"/>
      </w:pPr>
      <w:r>
        <w:rPr>
          <w:rFonts w:ascii="Times New Roman" w:hAnsi="Times New Roman" w:eastAsia="Times New Roman"/>
          <w:b w:val="0"/>
          <w:i w:val="0"/>
          <w:sz w:val="24"/>
        </w:rPr>
        <w:t>Graph-oriented retrieval (GraphRAG, LightRAG, HippoRAG and related designs) expands entity neighborhoods or path-centric memories and improves multi-hop questions [4–6]. Self-RAG and Corrective RAG introduce critique or correction loops when generation signals look weak [7,8]. These lines rarely co-design three ingredients that SOC assistants need together: a dynamic CTI graph with timestamps and source reliability [9–11]; a transparent multi-factor risk score; and a deterministic pre-emit gate that rejects unsupported identifier claims.</w:t>
      </w:r>
    </w:p>
    <w:p>
      <w:pPr>
        <w:spacing w:after="160" w:line="360" w:lineRule="auto"/>
        <w:ind w:firstLine="425"/>
      </w:pPr>
      <w:r>
        <w:rPr>
          <w:rFonts w:ascii="Times New Roman" w:hAnsi="Times New Roman" w:eastAsia="Times New Roman"/>
          <w:b w:val="0"/>
          <w:i w:val="0"/>
          <w:sz w:val="24"/>
        </w:rPr>
        <w:t xml:space="preserve">EDGR is built around that co-design. The system maintains a dynamic knowledge graph </w:t>
      </w:r>
      <m:oMath xmlns:mml="http://www.w3.org/1998/Math/MathML">
        <m:sSub>
          <m:e>
            <m:r>
              <m:t>G</m:t>
            </m:r>
          </m:e>
          <m:sub>
            <m:r>
              <m:t>t</m:t>
            </m:r>
          </m:sub>
        </m:sSub>
        <m:r>
          <m:t>=(</m:t>
        </m:r>
        <m:sSub>
          <m:e>
            <m:r>
              <m:t>V</m:t>
            </m:r>
          </m:e>
          <m:sub>
            <m:r>
              <m:t>t</m:t>
            </m:r>
          </m:sub>
        </m:sSub>
        <m:r>
          <m:t>,</m:t>
        </m:r>
        <m:sSub>
          <m:e>
            <m:r>
              <m:t>E</m:t>
            </m:r>
          </m:e>
          <m:sub>
            <m:r>
              <m:t>t</m:t>
            </m:r>
          </m:sub>
        </m:sSub>
        <m:r>
          <m:t>)</m:t>
        </m:r>
      </m:oMath>
      <w:r>
        <w:rPr>
          <w:rFonts w:ascii="Times New Roman" w:hAnsi="Times New Roman" w:eastAsia="Times New Roman"/>
          <w:b w:val="0"/>
          <w:i w:val="0"/>
          <w:sz w:val="24"/>
        </w:rPr>
        <w:t xml:space="preserve"> updated incrementally as feeds change, retrieves evidence by fusing vector search with entity-linked chunks, scores each candidate with an interpretable trust model, and applies a ρ-gate before generation. When the gate fails—unknown CVE, empty safe set, or CVE absent from trusted passages—the system returns an explicit abstain message scored as faithful refusal rather than fabricating CTI text.</w:t>
      </w:r>
    </w:p>
    <w:p>
      <w:pPr>
        <w:spacing w:after="160" w:line="360" w:lineRule="auto"/>
        <w:ind w:firstLine="425"/>
      </w:pPr>
      <w:r>
        <w:rPr>
          <w:rFonts w:ascii="Times New Roman" w:hAnsi="Times New Roman" w:eastAsia="Times New Roman"/>
          <w:b w:val="0"/>
          <w:i w:val="0"/>
          <w:sz w:val="24"/>
        </w:rPr>
        <w:t xml:space="preserve">Contributions. (i) A dynamic CTI knowledge-graph layer with typed nodes/edges, incremental updates </w:t>
      </w:r>
      <m:oMath xmlns:mml="http://www.w3.org/1998/Math/MathML">
        <m:sSub>
          <m:e>
            <m:r>
              <m:t>G</m:t>
            </m:r>
          </m:e>
          <m:sub>
            <m:r>
              <m:t>t+1</m:t>
            </m:r>
          </m:sub>
        </m:sSub>
        <m:r>
          <m:t>=</m:t>
        </m:r>
        <m:sSub>
          <m:e>
            <m:r>
              <m:t>G</m:t>
            </m:r>
          </m:e>
          <m:sub>
            <m:r>
              <m:t>t</m:t>
            </m:r>
          </m:sub>
        </m:sSub>
        <m:r>
          <m:t>⊕(ΔV,ΔE)</m:t>
        </m:r>
      </m:oMath>
      <w:r>
        <w:rPr>
          <w:rFonts w:ascii="Times New Roman" w:hAnsi="Times New Roman" w:eastAsia="Times New Roman"/>
          <w:b w:val="0"/>
          <w:i w:val="0"/>
          <w:sz w:val="24"/>
        </w:rPr>
        <w:t xml:space="preserve">, and expand/temporal interfaces consumed by retrieval. (ii) A six-stage algorithm </w:t>
      </w:r>
      <m:oMath xmlns:mml="http://www.w3.org/1998/Math/MathML">
        <m:r>
          <m:t>Φ=</m:t>
        </m:r>
        <m:sSub>
          <m:e>
            <m:r>
              <m:t>φ</m:t>
            </m:r>
          </m:e>
          <m:sub>
            <m:r>
              <m:t>1</m:t>
            </m:r>
          </m:sub>
        </m:sSub>
        <m:r>
          <m:t>∘⋯∘</m:t>
        </m:r>
        <m:sSub>
          <m:e>
            <m:r>
              <m:t>φ</m:t>
            </m:r>
          </m:e>
          <m:sub>
            <m:r>
              <m:t>6</m:t>
            </m:r>
          </m:sub>
        </m:sSub>
      </m:oMath>
      <w:r>
        <w:rPr>
          <w:rFonts w:ascii="Times New Roman" w:hAnsi="Times New Roman" w:eastAsia="Times New Roman"/>
          <w:b w:val="0"/>
          <w:i w:val="0"/>
          <w:sz w:val="24"/>
        </w:rPr>
        <w:t xml:space="preserve"> from entity extraction to trusted selection. (iii) A four-factor trust score and ρ-gate with an explicit abstain operator for unsupported CVE emission. (iv) An evaluation protocol with faithfulness and hallucination proxies, ranking metrics, dataset-level ablations, bootstrap confidence intervals, McNemar tests, threats-to-validity statements, and a dual-annotator SOC rubric with Cohen’s </w:t>
      </w:r>
      <m:oMath xmlns:mml="http://www.w3.org/1998/Math/MathML">
        <m:r>
          <m:t>κ</m:t>
        </m:r>
      </m:oMath>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Scope. All quantitative claims below refer to a controlled constructed suite and thickened reference-family policies on a shared evidence store. The paper does not claim vendor-parity re-implementations of published systems, nor performance on large public CTI benchmarks. That boundary is intentional: the scientific object is the Trusted Answer contract and its measurable behavior under a reproducible protocol.</w:t>
      </w:r>
    </w:p>
    <w:p>
      <w:pPr>
        <w:spacing w:after="160" w:line="360" w:lineRule="auto"/>
        <w:ind w:firstLine="425"/>
      </w:pPr>
      <w:r>
        <w:rPr>
          <w:rFonts w:ascii="Times New Roman" w:hAnsi="Times New Roman" w:eastAsia="Times New Roman"/>
          <w:b w:val="0"/>
          <w:i w:val="0"/>
          <w:sz w:val="24"/>
        </w:rPr>
        <w:t>Roadmap of proof. Section 2 situates the gap against RAG, graph RAG, and reflective pipelines [1–8] and CTI/IDS knowledge practice [9–12]. Section 3 formalizes emit/abstain. Section 4 specifies EDGR stages and the trust model. Section 5 states hypotheses with an evidence map. Section 6 argues H1/H2 with Tables 1–2 and Figures 2 and 4. Section 7 establishes H3 causally via ablation (Table 3, Figure 3) and states threats honestly.</w:t>
      </w:r>
    </w:p>
    <w:p>
      <w:pPr>
        <w:pStyle w:val="Heading2"/>
      </w:pPr>
      <w:r>
        <w:rPr>
          <w:rFonts w:ascii="Times New Roman" w:hAnsi="Times New Roman" w:eastAsia="Times New Roman"/>
          <w:b/>
          <w:i w:val="0"/>
          <w:sz w:val="24"/>
        </w:rPr>
        <w:t>1.1. Operational Failure Modes Worth Preventing</w:t>
      </w:r>
    </w:p>
    <w:p>
      <w:pPr>
        <w:spacing w:after="160" w:line="360" w:lineRule="auto"/>
        <w:ind w:firstLine="425"/>
      </w:pPr>
      <w:r>
        <w:rPr>
          <w:rFonts w:ascii="Times New Roman" w:hAnsi="Times New Roman" w:eastAsia="Times New Roman"/>
          <w:b w:val="0"/>
          <w:i w:val="0"/>
          <w:sz w:val="24"/>
        </w:rPr>
        <w:t>Three failure modes recur in CTI assistants. Identifier fabrication inserts a CVE or ATT&amp;CK technique that never appeared in retrieved evidence. Relation fabrication links an actor to malware or a CVE to a technique along an edge that the local graph does not support. Overconfident synthesis answers a question about an unsupported CVE by generalizing from neighboring vulnerability text. RAG reduces some fabrication by supplying passages, yet all three modes can survive if generation is allowed whenever any passage is present. EDGR’s gate targets the third mode directly and reduces the first by penalizing invented identifiers in the faithfulness proxy and by requiring CVE mention in trusted text before emission.</w:t>
      </w:r>
    </w:p>
    <w:p>
      <w:pPr>
        <w:spacing w:after="160" w:line="360" w:lineRule="auto"/>
        <w:ind w:firstLine="425"/>
      </w:pPr>
      <w:r>
        <w:rPr>
          <w:rFonts w:ascii="Times New Roman" w:hAnsi="Times New Roman" w:eastAsia="Times New Roman"/>
          <w:b w:val="0"/>
          <w:i w:val="0"/>
          <w:sz w:val="24"/>
        </w:rPr>
        <w:t>These modes are not merely academic. An invented technique can send detection engineering down the wrong rule path. An invented actor link can bias attribution discussions. An unsupported CVE narrative can delay patch prioritization. The evaluation suite therefore includes OOD abstain probes alongside standard QA items, because success on supported questions alone would miss the refusal requirement.</w:t>
      </w:r>
    </w:p>
    <w:p>
      <w:pPr>
        <w:pStyle w:val="Heading2"/>
      </w:pPr>
      <w:r>
        <w:rPr>
          <w:rFonts w:ascii="Times New Roman" w:hAnsi="Times New Roman" w:eastAsia="Times New Roman"/>
          <w:b/>
          <w:i w:val="0"/>
          <w:sz w:val="24"/>
        </w:rPr>
        <w:t>1.2. Research Questions</w:t>
      </w:r>
    </w:p>
    <w:p>
      <w:pPr>
        <w:spacing w:after="160" w:line="360" w:lineRule="auto"/>
      </w:pPr>
      <w:r>
        <w:rPr>
          <w:rFonts w:ascii="Times New Roman" w:hAnsi="Times New Roman" w:eastAsia="Times New Roman"/>
          <w:b w:val="0"/>
          <w:i w:val="0"/>
          <w:sz w:val="24"/>
        </w:rPr>
        <w:t>RQ1: Can a six-stage graph-aware retrieval pipeline with an explicit risk gate improve mean faithfulness over flat RAG on a shared CTI store? RQ2: Does removing graph expansion degrade dataset-mean faithfulness, indicating that the graph is causally useful rather than decorative? RQ3: Does the gate abstain on unsupported CVE queries instead of emitting fabricated dossiers? RQ4: Can the evaluation report both continuous margins with confidence intervals and binary tests without suppressing non-significant outcomes? The experiments in Sections 5–7 address these questions under the seed protocol described above.</w:t>
      </w:r>
    </w:p>
    <w:p>
      <w:pPr>
        <w:pStyle w:val="Heading1"/>
      </w:pPr>
      <w:r>
        <w:rPr>
          <w:rFonts w:ascii="Times New Roman" w:hAnsi="Times New Roman" w:eastAsia="Times New Roman"/>
          <w:b/>
          <w:i w:val="0"/>
          <w:sz w:val="28"/>
        </w:rPr>
        <w:t>2. Related Work</w:t>
      </w:r>
    </w:p>
    <w:p>
      <w:pPr>
        <w:pStyle w:val="Heading2"/>
      </w:pPr>
      <w:r>
        <w:rPr>
          <w:rFonts w:ascii="Times New Roman" w:hAnsi="Times New Roman" w:eastAsia="Times New Roman"/>
          <w:b/>
          <w:i w:val="0"/>
          <w:sz w:val="24"/>
        </w:rPr>
        <w:t>2.1. Retrieval-Augmented Generation and Hallucination</w:t>
      </w:r>
    </w:p>
    <w:p>
      <w:pPr>
        <w:spacing w:after="160" w:line="360" w:lineRule="auto"/>
        <w:ind w:firstLine="425"/>
      </w:pPr>
      <w:r>
        <w:rPr>
          <w:rFonts w:ascii="Times New Roman" w:hAnsi="Times New Roman" w:eastAsia="Times New Roman"/>
          <w:b w:val="0"/>
          <w:i w:val="0"/>
          <w:sz w:val="24"/>
        </w:rPr>
        <w:t>Lewis et al. introduced RAG as a paradigm that conditions generation on retrieved documents for knowledge-intensive NLP [1]. Subsequent surveys catalog failure modes in which models still produce unsupported statements despite retrieval, and they organize mitigations ranging from better indexing to post-generation verification [2,3]. For CTI, the cost function differs from open-domain QA: inventing a CVE or ATT&amp;CK technique is not a mild factual slip; it can imply wrong patches, wrong detections, or wrong attribution hypotheses. That asymmetry motivates treating refusal as success when evidence is thin.</w:t>
      </w:r>
    </w:p>
    <w:p>
      <w:pPr>
        <w:pStyle w:val="Heading2"/>
      </w:pPr>
      <w:r>
        <w:rPr>
          <w:rFonts w:ascii="Times New Roman" w:hAnsi="Times New Roman" w:eastAsia="Times New Roman"/>
          <w:b/>
          <w:i w:val="0"/>
          <w:sz w:val="24"/>
        </w:rPr>
        <w:t>2.2. Graph-Augmented and Reflective Retrieval</w:t>
      </w:r>
    </w:p>
    <w:p>
      <w:pPr>
        <w:spacing w:after="160" w:line="360" w:lineRule="auto"/>
        <w:ind w:firstLine="425"/>
      </w:pPr>
      <w:r>
        <w:rPr>
          <w:rFonts w:ascii="Times New Roman" w:hAnsi="Times New Roman" w:eastAsia="Times New Roman"/>
          <w:b w:val="0"/>
          <w:i w:val="0"/>
          <w:sz w:val="24"/>
        </w:rPr>
        <w:t>GraphRAG-style pipelines summarize or traverse entity graphs to support query-focused synthesis [4]. LightRAG and HippoRAG explore lighter indexing and biologically motivated long-term memory structures for multi-hop recall [5,6]. Self-RAG learns when to retrieve and how to critique outputs [7]; Corrective RAG adjusts retrieval when relevance looks insufficient [8]. EDGR borrows the relational intuition of graph RAG and the caution of reflective pipelines, but places a hard risk gate before emission and binds that gate to CTI-specific identifier checks.</w:t>
      </w:r>
    </w:p>
    <w:p>
      <w:pPr>
        <w:pStyle w:val="Heading2"/>
      </w:pPr>
      <w:r>
        <w:rPr>
          <w:rFonts w:ascii="Times New Roman" w:hAnsi="Times New Roman" w:eastAsia="Times New Roman"/>
          <w:b/>
          <w:i w:val="0"/>
          <w:sz w:val="24"/>
        </w:rPr>
        <w:t>2.3. Knowledge Graphs and CTI/IDS Corpora</w:t>
      </w:r>
    </w:p>
    <w:p>
      <w:pPr>
        <w:spacing w:after="160" w:line="360" w:lineRule="auto"/>
        <w:ind w:firstLine="425"/>
      </w:pPr>
      <w:r>
        <w:rPr>
          <w:rFonts w:ascii="Times New Roman" w:hAnsi="Times New Roman" w:eastAsia="Times New Roman"/>
          <w:b w:val="0"/>
          <w:i w:val="0"/>
          <w:sz w:val="24"/>
        </w:rPr>
        <w:t>MITRE ATT&amp;CK provides a widely used ontology of adversary behaviors [9]. Surveys of CTI sharing and of intrusion detection emphasize heterogeneous sources, delayed feeds, and the need to relate alerts to techniques and vulnerabilities [10,11]. Recent roadmaps on unifying language models with knowledge graphs discuss grounding and structured reasoning [12]. EDGR adopts a compact typed CTI schema—technique, tactic, CVE, malware, actor, software, dataset, alert, concept—and stores timestamps and reliability priors on nodes and chunks so that freshness and source trust enter scoring directly.</w:t>
      </w:r>
    </w:p>
    <w:p>
      <w:pPr>
        <w:pStyle w:val="Heading2"/>
      </w:pPr>
      <w:r>
        <w:rPr>
          <w:rFonts w:ascii="Times New Roman" w:hAnsi="Times New Roman" w:eastAsia="Times New Roman"/>
          <w:b/>
          <w:i w:val="0"/>
          <w:sz w:val="24"/>
        </w:rPr>
        <w:t>2.4. Positioning</w:t>
      </w:r>
    </w:p>
    <w:p>
      <w:pPr>
        <w:spacing w:after="160" w:line="360" w:lineRule="auto"/>
        <w:ind w:firstLine="425"/>
      </w:pPr>
      <w:r>
        <w:rPr>
          <w:rFonts w:ascii="Times New Roman" w:hAnsi="Times New Roman" w:eastAsia="Times New Roman"/>
          <w:b w:val="0"/>
          <w:i w:val="0"/>
          <w:sz w:val="24"/>
        </w:rPr>
        <w:t xml:space="preserve">Relative to flat RAG, EDGR adds graph expansion, temporal neighbor filtering, and a trust-gated emit/abstain decision. Relative to graph RAG families, EDGR’s distinctive claim is not a new summarization backbone but the Trusted Answer contract: evidence must clear </w:t>
      </w:r>
      <m:oMath xmlns:mml="http://www.w3.org/1998/Math/MathML">
        <m:r>
          <m:t>ρ≤θ</m:t>
        </m:r>
      </m:oMath>
      <w:r>
        <w:rPr>
          <w:rFonts w:ascii="Times New Roman" w:hAnsi="Times New Roman" w:eastAsia="Times New Roman"/>
          <w:b w:val="0"/>
          <w:i w:val="0"/>
          <w:sz w:val="24"/>
        </w:rPr>
        <w:t xml:space="preserve"> and support queried identifiers, or the system refuses. Relative to reflective RAG, critique is replaced by an interpretable composite score and deterministic rules that are inspectable in SOC audits.</w:t>
      </w:r>
    </w:p>
    <w:p>
      <w:pPr>
        <w:pStyle w:val="Heading2"/>
      </w:pPr>
      <w:r>
        <w:rPr>
          <w:rFonts w:ascii="Times New Roman" w:hAnsi="Times New Roman" w:eastAsia="Times New Roman"/>
          <w:b/>
          <w:i w:val="0"/>
          <w:sz w:val="24"/>
        </w:rPr>
        <w:t>2.5. Selective Prediction and Refusal in High-Stakes NLP</w:t>
      </w:r>
    </w:p>
    <w:p>
      <w:pPr>
        <w:spacing w:after="160" w:line="360" w:lineRule="auto"/>
        <w:ind w:firstLine="425"/>
      </w:pPr>
      <w:r>
        <w:rPr>
          <w:rFonts w:ascii="Times New Roman" w:hAnsi="Times New Roman" w:eastAsia="Times New Roman"/>
          <w:b w:val="0"/>
          <w:i w:val="0"/>
          <w:sz w:val="24"/>
        </w:rPr>
        <w:t>Outside retrieval research, selective prediction studies when a model should defer rather than predict. The CTI setting sharpens that idea: deferral is not merely a calibration trick but a safety requirement when identifiers are missing. EDGR implements refusal with deterministic predicates rather than a learned rejector, because SOC audits favor rules that can be explained without appealing to an opaque confidence head. Learned rejectors remain compatible future work; the present design prioritizes inspectability.</w:t>
      </w:r>
    </w:p>
    <w:p>
      <w:pPr>
        <w:spacing w:after="160" w:line="360" w:lineRule="auto"/>
        <w:ind w:firstLine="425"/>
      </w:pPr>
      <w:r>
        <w:rPr>
          <w:rFonts w:ascii="Times New Roman" w:hAnsi="Times New Roman" w:eastAsia="Times New Roman"/>
          <w:b w:val="0"/>
          <w:i w:val="0"/>
          <w:sz w:val="24"/>
        </w:rPr>
        <w:t xml:space="preserve">This choice also interacts with evaluation. Metrics that only reward answered questions undervalue correct refusals. By scoring abstain as faithful under the research proxy, EDGR makes refusal visible in aggregate tables. The cost is that answer-rate is no longer an implicit success metric. Readers comparing systems should therefore ask not only which method has higher mean </w:t>
      </w:r>
      <m:oMath xmlns:mml="http://www.w3.org/1998/Math/MathML">
        <m:r>
          <m:t>F</m:t>
        </m:r>
      </m:oMath>
      <w:r>
        <w:rPr>
          <w:rFonts w:ascii="Times New Roman" w:hAnsi="Times New Roman" w:eastAsia="Times New Roman"/>
          <w:b w:val="0"/>
          <w:i w:val="0"/>
          <w:sz w:val="24"/>
        </w:rPr>
        <w:t xml:space="preserve"> on answered items, but also how each method behaves when the store cannot support the queried CVE.</w:t>
      </w:r>
    </w:p>
    <w:p>
      <w:pPr>
        <w:pStyle w:val="Heading2"/>
      </w:pPr>
      <w:r>
        <w:rPr>
          <w:rFonts w:ascii="Times New Roman" w:hAnsi="Times New Roman" w:eastAsia="Times New Roman"/>
          <w:b/>
          <w:i w:val="0"/>
          <w:sz w:val="24"/>
        </w:rPr>
        <w:t>2.6. Summary of Gaps Addressed</w:t>
      </w:r>
    </w:p>
    <w:p>
      <w:pPr>
        <w:spacing w:after="160" w:line="360" w:lineRule="auto"/>
        <w:ind w:firstLine="425"/>
      </w:pPr>
      <w:r>
        <w:rPr>
          <w:rFonts w:ascii="Times New Roman" w:hAnsi="Times New Roman" w:eastAsia="Times New Roman"/>
          <w:b w:val="0"/>
          <w:i w:val="0"/>
          <w:sz w:val="24"/>
        </w:rPr>
        <w:t>Taken together, prior work supplies retrieval, graph structure, and reflective correction, yet rarely packages them with a CTI-native identifier gate and a transparent four-factor trust model on a dynamic graph. EDGR addresses that packaging gap. It does not replace ATT&amp;CK as an ontology, nor does it claim a new neural retriever architecture. Its contribution is the end-to-end control contract and the measurement protocol that makes the contract falsifiable on a seed suite.</w:t>
      </w:r>
    </w:p>
    <w:p>
      <w:pPr>
        <w:pStyle w:val="Heading1"/>
      </w:pPr>
      <w:r>
        <w:rPr>
          <w:rFonts w:ascii="Times New Roman" w:hAnsi="Times New Roman" w:eastAsia="Times New Roman"/>
          <w:b/>
          <w:i w:val="0"/>
          <w:sz w:val="28"/>
        </w:rPr>
        <w:t>3. Problem Formulation</w:t>
      </w:r>
    </w:p>
    <w:p>
      <w:pPr>
        <w:spacing w:after="160" w:line="360" w:lineRule="auto"/>
        <w:ind w:firstLine="425"/>
      </w:pPr>
      <w:r>
        <w:rPr>
          <w:rFonts w:ascii="Times New Roman" w:hAnsi="Times New Roman" w:eastAsia="Times New Roman"/>
          <w:b w:val="0"/>
          <w:i w:val="0"/>
          <w:sz w:val="24"/>
        </w:rPr>
        <w:t xml:space="preserve">Let </w:t>
      </w:r>
      <m:oMath xmlns:mml="http://www.w3.org/1998/Math/MathML">
        <m:r>
          <m:t>q</m:t>
        </m:r>
      </m:oMath>
      <w:r>
        <w:rPr>
          <w:rFonts w:ascii="Times New Roman" w:hAnsi="Times New Roman" w:eastAsia="Times New Roman"/>
          <w:b w:val="0"/>
          <w:i w:val="0"/>
          <w:sz w:val="24"/>
        </w:rPr>
        <w:t xml:space="preserve"> be a natural-language CTI or IDS query. Let </w:t>
      </w:r>
      <m:oMath xmlns:mml="http://www.w3.org/1998/Math/MathML">
        <m:sSub>
          <m:e>
            <m:r>
              <m:t>G</m:t>
            </m:r>
          </m:e>
          <m:sub>
            <m:r>
              <m:t>t</m:t>
            </m:r>
          </m:sub>
        </m:sSub>
        <m:r>
          <m:t>=(</m:t>
        </m:r>
        <m:sSub>
          <m:e>
            <m:r>
              <m:t>V</m:t>
            </m:r>
          </m:e>
          <m:sub>
            <m:r>
              <m:t>t</m:t>
            </m:r>
          </m:sub>
        </m:sSub>
        <m:r>
          <m:t>,</m:t>
        </m:r>
        <m:sSub>
          <m:e>
            <m:r>
              <m:t>E</m:t>
            </m:r>
          </m:e>
          <m:sub>
            <m:r>
              <m:t>t</m:t>
            </m:r>
          </m:sub>
        </m:sSub>
        <m:r>
          <m:t>)</m:t>
        </m:r>
      </m:oMath>
      <w:r>
        <w:rPr>
          <w:rFonts w:ascii="Times New Roman" w:hAnsi="Times New Roman" w:eastAsia="Times New Roman"/>
          <w:b w:val="0"/>
          <w:i w:val="0"/>
          <w:sz w:val="24"/>
        </w:rPr>
        <w:t xml:space="preserve"> be a time-indexed knowledge graph and </w:t>
      </w:r>
      <m:oMath xmlns:mml="http://www.w3.org/1998/Math/MathML">
        <m:r>
          <m:t>𝒟</m:t>
        </m:r>
      </m:oMath>
      <w:r>
        <w:rPr>
          <w:rFonts w:ascii="Times New Roman" w:hAnsi="Times New Roman" w:eastAsia="Times New Roman"/>
          <w:b w:val="0"/>
          <w:i w:val="0"/>
          <w:sz w:val="24"/>
        </w:rPr>
        <w:t xml:space="preserve"> an evidence store of text chunks linked to entities in </w:t>
      </w:r>
      <m:oMath xmlns:mml="http://www.w3.org/1998/Math/MathML">
        <m:sSub>
          <m:e>
            <m:r>
              <m:t>G</m:t>
            </m:r>
          </m:e>
          <m:sub>
            <m:r>
              <m:t>t</m:t>
            </m:r>
          </m:sub>
        </m:sSub>
      </m:oMath>
      <w:r>
        <w:rPr>
          <w:rFonts w:ascii="Times New Roman" w:hAnsi="Times New Roman" w:eastAsia="Times New Roman"/>
          <w:b w:val="0"/>
          <w:i w:val="0"/>
          <w:sz w:val="24"/>
        </w:rPr>
        <w:t xml:space="preserve">. The system must return an answer </w:t>
      </w:r>
      <m:oMath xmlns:mml="http://www.w3.org/1998/Math/MathML">
        <m:r>
          <m:t>a</m:t>
        </m:r>
      </m:oMath>
      <w:r>
        <w:rPr>
          <w:rFonts w:ascii="Times New Roman" w:hAnsi="Times New Roman" w:eastAsia="Times New Roman"/>
          <w:b w:val="0"/>
          <w:i w:val="0"/>
          <w:sz w:val="24"/>
        </w:rPr>
        <w:t xml:space="preserve"> together with a set </w:t>
      </w:r>
      <m:oMath xmlns:mml="http://www.w3.org/1998/Math/MathML">
        <m:sSup>
          <m:e>
            <m:r>
              <m:t>E</m:t>
            </m:r>
          </m:e>
          <m:sup>
            <m:r>
              <m:t>*</m:t>
            </m:r>
          </m:sup>
        </m:sSup>
        <m:r>
          <m:t>⊆𝒟</m:t>
        </m:r>
      </m:oMath>
      <w:r>
        <w:rPr>
          <w:rFonts w:ascii="Times New Roman" w:hAnsi="Times New Roman" w:eastAsia="Times New Roman"/>
          <w:b w:val="0"/>
          <w:i w:val="0"/>
          <w:sz w:val="24"/>
        </w:rPr>
        <w:t xml:space="preserve"> of supporting evidence, subject to four requirements.</w:t>
      </w:r>
    </w:p>
    <w:p>
      <w:pPr>
        <w:spacing w:after="160" w:line="360" w:lineRule="auto"/>
        <w:ind w:firstLine="425"/>
      </w:pPr>
      <w:r>
        <w:rPr>
          <w:rFonts w:ascii="Times New Roman" w:hAnsi="Times New Roman" w:eastAsia="Times New Roman"/>
          <w:b w:val="0"/>
          <w:i w:val="0"/>
          <w:sz w:val="24"/>
        </w:rPr>
        <w:t xml:space="preserve">(R1) Support. Claims asserted in </w:t>
      </w:r>
      <m:oMath xmlns:mml="http://www.w3.org/1998/Math/MathML">
        <m:r>
          <m:t>a</m:t>
        </m:r>
      </m:oMath>
      <w:r>
        <w:rPr>
          <w:rFonts w:ascii="Times New Roman" w:hAnsi="Times New Roman" w:eastAsia="Times New Roman"/>
          <w:b w:val="0"/>
          <w:i w:val="0"/>
          <w:sz w:val="24"/>
        </w:rPr>
        <w:t xml:space="preserve"> should be recoverable from </w:t>
      </w:r>
      <m:oMath xmlns:mml="http://www.w3.org/1998/Math/MathML">
        <m:sSup>
          <m:e>
            <m:r>
              <m:t>E</m:t>
            </m:r>
          </m:e>
          <m:sup>
            <m:r>
              <m:t>*</m:t>
            </m:r>
          </m:sup>
        </m:sSup>
      </m:oMath>
      <w:r>
        <w:rPr>
          <w:rFonts w:ascii="Times New Roman" w:hAnsi="Times New Roman" w:eastAsia="Times New Roman"/>
          <w:b w:val="0"/>
          <w:i w:val="0"/>
          <w:sz w:val="24"/>
        </w:rPr>
        <w:t xml:space="preserve"> under an extractive or tightly constrained generation policy. (R2) Risk. Aggregate risk of the selected set must satisfy </w:t>
      </w:r>
      <m:oMath xmlns:mml="http://www.w3.org/1998/Math/MathML">
        <m:r>
          <m:t>ρ(</m:t>
        </m:r>
        <m:sSup>
          <m:e>
            <m:r>
              <m:t>E</m:t>
            </m:r>
          </m:e>
          <m:sup>
            <m:r>
              <m:t>*</m:t>
            </m:r>
          </m:sup>
        </m:sSup>
        <m:r>
          <m:t>)&lt;θ</m:t>
        </m:r>
      </m:oMath>
      <w:r>
        <w:rPr>
          <w:rFonts w:ascii="Times New Roman" w:hAnsi="Times New Roman" w:eastAsia="Times New Roman"/>
          <w:b w:val="0"/>
          <w:i w:val="0"/>
          <w:sz w:val="24"/>
        </w:rPr>
        <w:t xml:space="preserve"> for a threshold </w:t>
      </w:r>
      <m:oMath xmlns:mml="http://www.w3.org/1998/Math/MathML">
        <m:r>
          <m:t>θ∈(0,1)</m:t>
        </m:r>
      </m:oMath>
      <w:r>
        <w:rPr>
          <w:rFonts w:ascii="Times New Roman" w:hAnsi="Times New Roman" w:eastAsia="Times New Roman"/>
          <w:b w:val="0"/>
          <w:i w:val="0"/>
          <w:sz w:val="24"/>
        </w:rPr>
        <w:t xml:space="preserve">. (R3) Abstention. If no safe </w:t>
      </w:r>
      <m:oMath xmlns:mml="http://www.w3.org/1998/Math/MathML">
        <m:sSup>
          <m:e>
            <m:r>
              <m:t>E</m:t>
            </m:r>
          </m:e>
          <m:sup>
            <m:r>
              <m:t>*</m:t>
            </m:r>
          </m:sup>
        </m:sSup>
      </m:oMath>
      <w:r>
        <w:rPr>
          <w:rFonts w:ascii="Times New Roman" w:hAnsi="Times New Roman" w:eastAsia="Times New Roman"/>
          <w:b w:val="0"/>
          <w:i w:val="0"/>
          <w:sz w:val="24"/>
        </w:rPr>
        <w:t xml:space="preserve"> exists, or if CVE identifiers mentioned in </w:t>
      </w:r>
      <m:oMath xmlns:mml="http://www.w3.org/1998/Math/MathML">
        <m:r>
          <m:t>q</m:t>
        </m:r>
      </m:oMath>
      <w:r>
        <w:rPr>
          <w:rFonts w:ascii="Times New Roman" w:hAnsi="Times New Roman" w:eastAsia="Times New Roman"/>
          <w:b w:val="0"/>
          <w:i w:val="0"/>
          <w:sz w:val="24"/>
        </w:rPr>
        <w:t xml:space="preserve"> are absent from both </w:t>
      </w:r>
      <m:oMath xmlns:mml="http://www.w3.org/1998/Math/MathML">
        <m:sSub>
          <m:e>
            <m:r>
              <m:t>G</m:t>
            </m:r>
          </m:e>
          <m:sub>
            <m:r>
              <m:t>t</m:t>
            </m:r>
          </m:sub>
        </m:sSub>
      </m:oMath>
      <w:r>
        <w:rPr>
          <w:rFonts w:ascii="Times New Roman" w:hAnsi="Times New Roman" w:eastAsia="Times New Roman"/>
          <w:b w:val="0"/>
          <w:i w:val="0"/>
          <w:sz w:val="24"/>
        </w:rPr>
        <w:t xml:space="preserve"> and evidence text, the system must abstain rather than invent. (R4) Budget. </w:t>
      </w:r>
      <m:oMath xmlns:mml="http://www.w3.org/1998/Math/MathML">
        <m:r>
          <m:t>|</m:t>
        </m:r>
        <m:sSup>
          <m:e>
            <m:r>
              <m:t>E</m:t>
            </m:r>
          </m:e>
          <m:sup>
            <m:r>
              <m:t>*</m:t>
            </m:r>
          </m:sup>
        </m:sSup>
        <m:r>
          <m:t>|≤k</m:t>
        </m:r>
      </m:oMath>
      <w:r>
        <w:rPr>
          <w:rFonts w:ascii="Times New Roman" w:hAnsi="Times New Roman" w:eastAsia="Times New Roman"/>
          <w:b w:val="0"/>
          <w:i w:val="0"/>
          <w:sz w:val="24"/>
        </w:rPr>
        <w:t xml:space="preserve"> with default </w:t>
      </w:r>
      <m:oMath xmlns:mml="http://www.w3.org/1998/Math/MathML">
        <m:r>
          <m:t>k=5</m:t>
        </m:r>
      </m:oMath>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 xml:space="preserve">Writing </w:t>
      </w:r>
      <m:oMath xmlns:mml="http://www.w3.org/1998/Math/MathML">
        <m:r>
          <m:t>𝒞(q)</m:t>
        </m:r>
      </m:oMath>
      <w:r>
        <w:rPr>
          <w:rFonts w:ascii="Times New Roman" w:hAnsi="Times New Roman" w:eastAsia="Times New Roman"/>
          <w:b w:val="0"/>
          <w:i w:val="0"/>
          <w:sz w:val="24"/>
        </w:rPr>
        <w:t xml:space="preserve"> for the candidate pool after extraction, expansion, temporal filtering, and ranking, the selection rule is</w:t>
      </w:r>
    </w:p>
    <w:p>
      <w:pPr>
        <w:spacing w:before="120" w:after="120"/>
        <w:jc w:val="center"/>
      </w:pPr>
      <m:oMathPara>
        <m:oMath xmlns:mml="http://www.w3.org/1998/Math/MathML">
          <m:sSup>
            <m:e>
              <m:r>
                <m:t>E</m:t>
              </m:r>
            </m:e>
            <m:sup>
              <m:r>
                <m:t>*</m:t>
              </m:r>
            </m:sup>
          </m:sSup>
          <m:r>
            <m:t>=</m:t>
          </m:r>
          <m:r>
            <m:t>mathrm</m:t>
          </m:r>
          <m:sSub>
            <m:e>
              <m:r>
                <m:t>TopK</m:t>
              </m:r>
            </m:e>
            <m:sub>
              <m:r>
                <m:t>k</m:t>
              </m:r>
            </m:sub>
          </m:sSub>
          <m:r>
            <m:t>({e∈</m:t>
          </m:r>
          <m:r>
            <m:t>mathcal</m:t>
          </m:r>
          <m:r>
            <m:t>C</m:t>
          </m:r>
          <m:r>
            <m:t>(q):</m:t>
          </m:r>
          <m:r>
            <m:t>rho(e)≤</m:t>
          </m:r>
          <m:r>
            <m:t>theta})</m:t>
          </m:r>
        </m:oMath>
      </m:oMathPara>
      <w:r>
        <w:rPr>
          <w:rFonts w:ascii="Times New Roman" w:hAnsi="Times New Roman" w:eastAsia="Times New Roman"/>
          <w:b w:val="0"/>
          <w:i w:val="0"/>
          <w:sz w:val="22"/>
        </w:rPr>
        <w:t xml:space="preserve">    (1)</w:t>
      </w:r>
    </w:p>
    <w:p>
      <w:pPr>
        <w:spacing w:after="160" w:line="360" w:lineRule="auto"/>
      </w:pPr>
      <w:r>
        <w:rPr>
          <w:rFonts w:ascii="Times New Roman" w:hAnsi="Times New Roman" w:eastAsia="Times New Roman"/>
          <w:b w:val="0"/>
          <w:i w:val="0"/>
          <w:sz w:val="24"/>
        </w:rPr>
        <w:t>and the emit rule is</w:t>
      </w:r>
    </w:p>
    <w:p>
      <w:pPr>
        <w:spacing w:before="120" w:after="120"/>
        <w:jc w:val="center"/>
      </w:pPr>
      <m:oMathPara>
        <m:oMath xmlns:mml="http://www.w3.org/1998/Math/MathML">
          <m:r>
            <m:t>a=</m:t>
          </m:r>
          <m:r>
            <m:t>mathrm</m:t>
          </m:r>
          <m:r>
            <m:t>Gen</m:t>
          </m:r>
          <m:r>
            <m:t>(q,</m:t>
          </m:r>
          <m:sSup>
            <m:e>
              <m:r>
                <m:t>E</m:t>
              </m:r>
            </m:e>
            <m:sup>
              <m:r>
                <m:t>*</m:t>
              </m:r>
            </m:sup>
          </m:sSup>
          <m:r>
            <m:t>)</m:t>
          </m:r>
          <m:r>
            <m:rPr>
              <m:nor/>
            </m:rPr>
            <m:t> if </m:t>
          </m:r>
          <m:sSup>
            <m:e>
              <m:r>
                <m:t>E</m:t>
              </m:r>
            </m:e>
            <m:sup>
              <m:r>
                <m:t>*</m:t>
              </m:r>
            </m:sup>
          </m:sSup>
          <m:r>
            <m:t>≠∅∧</m:t>
          </m:r>
          <m:r>
            <m:t>mathrm</m:t>
          </m:r>
          <m:r>
            <m:t>Apply</m:t>
          </m:r>
          <m:r>
            <m:t>=1;</m:t>
          </m:r>
          <m:r>
            <m:t>a=</m:t>
          </m:r>
          <m:r>
            <m:t>mathrm</m:t>
          </m:r>
          <m:r>
            <m:t>Abstain</m:t>
          </m:r>
          <m:r>
            <m:rPr>
              <m:nor/>
            </m:rPr>
            <m:t> otherwise.</m:t>
          </m:r>
        </m:oMath>
      </m:oMathPara>
      <w:r>
        <w:rPr>
          <w:rFonts w:ascii="Times New Roman" w:hAnsi="Times New Roman" w:eastAsia="Times New Roman"/>
          <w:b w:val="0"/>
          <w:i w:val="0"/>
          <w:sz w:val="22"/>
        </w:rPr>
        <w:t xml:space="preserve">    (2)</w:t>
      </w:r>
    </w:p>
    <w:p>
      <w:pPr>
        <w:spacing w:after="160" w:line="360" w:lineRule="auto"/>
        <w:ind w:firstLine="425"/>
      </w:pPr>
      <w:r>
        <w:rPr>
          <w:rFonts w:ascii="Times New Roman" w:hAnsi="Times New Roman" w:eastAsia="Times New Roman"/>
          <w:b w:val="0"/>
          <w:i w:val="0"/>
          <w:sz w:val="24"/>
        </w:rPr>
        <w:t xml:space="preserve">Here </w:t>
      </w:r>
      <m:oMath xmlns:mml="http://www.w3.org/1998/Math/MathML">
        <m:r>
          <m:rPr>
            <m:sty m:val="p"/>
          </m:rPr>
          <m:t>Apply</m:t>
        </m:r>
        <m:r>
          <m:t>=1</m:t>
        </m:r>
      </m:oMath>
      <w:r>
        <w:rPr>
          <w:rFonts w:ascii="Times New Roman" w:hAnsi="Times New Roman" w:eastAsia="Times New Roman"/>
          <w:b w:val="0"/>
          <w:i w:val="0"/>
          <w:sz w:val="24"/>
        </w:rPr>
        <w:t xml:space="preserve"> encodes gate success, including identifier support checks described in Section 4.5. Abstain outputs are assigned faithfulness </w:t>
      </w:r>
      <m:oMath xmlns:mml="http://www.w3.org/1998/Math/MathML">
        <m:r>
          <m:t>1</m:t>
        </m:r>
      </m:oMath>
      <w:r>
        <w:rPr>
          <w:rFonts w:ascii="Times New Roman" w:hAnsi="Times New Roman" w:eastAsia="Times New Roman"/>
          <w:b w:val="0"/>
          <w:i w:val="0"/>
          <w:sz w:val="24"/>
        </w:rPr>
        <w:t xml:space="preserve"> and hallucination rate </w:t>
      </w:r>
      <m:oMath xmlns:mml="http://www.w3.org/1998/Math/MathML">
        <m:r>
          <m:t>0</m:t>
        </m:r>
      </m:oMath>
      <w:r>
        <w:rPr>
          <w:rFonts w:ascii="Times New Roman" w:hAnsi="Times New Roman" w:eastAsia="Times New Roman"/>
          <w:b w:val="0"/>
          <w:i w:val="0"/>
          <w:sz w:val="24"/>
        </w:rPr>
        <w:t xml:space="preserve"> in the research metric, with confidence </w:t>
      </w:r>
      <m:oMath xmlns:mml="http://www.w3.org/1998/Math/MathML">
        <m:r>
          <m:t>0</m:t>
        </m:r>
      </m:oMath>
      <w:r>
        <w:rPr>
          <w:rFonts w:ascii="Times New Roman" w:hAnsi="Times New Roman" w:eastAsia="Times New Roman"/>
          <w:b w:val="0"/>
          <w:i w:val="0"/>
          <w:sz w:val="24"/>
        </w:rPr>
        <w:t>, because refusal avoids unsupported CTI claims.</w:t>
      </w:r>
    </w:p>
    <w:p>
      <w:pPr>
        <w:pStyle w:val="Heading1"/>
      </w:pPr>
      <w:r>
        <w:rPr>
          <w:rFonts w:ascii="Times New Roman" w:hAnsi="Times New Roman" w:eastAsia="Times New Roman"/>
          <w:b/>
          <w:i w:val="0"/>
          <w:sz w:val="28"/>
        </w:rPr>
        <w:t>4. The EDGR Method</w:t>
      </w:r>
    </w:p>
    <w:p>
      <w:pPr>
        <w:pStyle w:val="Heading2"/>
      </w:pPr>
      <w:r>
        <w:rPr>
          <w:rFonts w:ascii="Times New Roman" w:hAnsi="Times New Roman" w:eastAsia="Times New Roman"/>
          <w:b/>
          <w:i w:val="0"/>
          <w:sz w:val="24"/>
        </w:rPr>
        <w:t>4.1. Dynamic Knowledge Graph</w:t>
      </w:r>
    </w:p>
    <w:p>
      <w:pPr>
        <w:spacing w:after="160" w:line="360" w:lineRule="auto"/>
        <w:ind w:firstLine="425"/>
      </w:pPr>
      <w:r>
        <w:rPr>
          <w:rFonts w:ascii="Times New Roman" w:hAnsi="Times New Roman" w:eastAsia="Times New Roman"/>
          <w:b w:val="0"/>
          <w:i w:val="0"/>
          <w:sz w:val="24"/>
        </w:rPr>
        <w:t xml:space="preserve">Nodes carry a type in </w:t>
      </w:r>
      <m:oMath xmlns:mml="http://www.w3.org/1998/Math/MathML">
        <m:r>
          <m:t>{</m:t>
        </m:r>
        <m:r>
          <m:rPr>
            <m:sty m:val="p"/>
          </m:rPr>
          <m:t>technique</m:t>
        </m:r>
        <m:r>
          <m:t>,</m:t>
        </m:r>
        <m:r>
          <m:rPr>
            <m:sty m:val="p"/>
          </m:rPr>
          <m:t>tactic</m:t>
        </m:r>
        <m:r>
          <m:t>,</m:t>
        </m:r>
        <m:r>
          <m:rPr>
            <m:sty m:val="p"/>
          </m:rPr>
          <m:t>cve</m:t>
        </m:r>
        <m:r>
          <m:t>,</m:t>
        </m:r>
        <m:r>
          <m:rPr>
            <m:sty m:val="p"/>
          </m:rPr>
          <m:t>malware</m:t>
        </m:r>
        <m:r>
          <m:t>,</m:t>
        </m:r>
        <m:r>
          <m:rPr>
            <m:sty m:val="p"/>
          </m:rPr>
          <m:t>actor</m:t>
        </m:r>
        <m:r>
          <m:t>,</m:t>
        </m:r>
        <m:r>
          <m:rPr>
            <m:sty m:val="p"/>
          </m:rPr>
          <m:t>software</m:t>
        </m:r>
        <m:r>
          <m:t>,</m:t>
        </m:r>
        <m:r>
          <m:rPr>
            <m:sty m:val="p"/>
          </m:rPr>
          <m:t>dataset</m:t>
        </m:r>
        <m:r>
          <m:t>,</m:t>
        </m:r>
        <m:r>
          <m:rPr>
            <m:sty m:val="p"/>
          </m:rPr>
          <m:t>alert</m:t>
        </m:r>
        <m:r>
          <m:t>,</m:t>
        </m:r>
        <m:r>
          <m:rPr>
            <m:sty m:val="p"/>
          </m:rPr>
          <m:t>concept</m:t>
        </m:r>
        <m:r>
          <m:t>}</m:t>
        </m:r>
      </m:oMath>
      <w:r>
        <w:rPr>
          <w:rFonts w:ascii="Times New Roman" w:hAnsi="Times New Roman" w:eastAsia="Times New Roman"/>
          <w:b w:val="0"/>
          <w:i w:val="0"/>
          <w:sz w:val="24"/>
        </w:rPr>
        <w:t>, a timestamp, and a reliability prior. Edges are typed relations such as belongs_to, uses, exploits, related_to, enables, delivers_via, drops, detects, and grounds_on, each with weight and timestamp. Declared sources include MITRE ATT&amp;CK, CVE/NVD, CWE/CAPEC, CISA/CERT-style feeds, and IDS-linked chunks. Updates are incremental,</w:t>
      </w:r>
    </w:p>
    <w:p>
      <w:pPr>
        <w:spacing w:before="120" w:after="120"/>
        <w:jc w:val="center"/>
      </w:pPr>
      <m:oMathPara>
        <m:oMath xmlns:mml="http://www.w3.org/1998/Math/MathML">
          <m:sSub>
            <m:e>
              <m:r>
                <m:t>G</m:t>
              </m:r>
            </m:e>
            <m:sub>
              <m:r>
                <m:t>t+1</m:t>
              </m:r>
            </m:sub>
          </m:sSub>
          <m:r>
            <m:t>=</m:t>
          </m:r>
          <m:sSub>
            <m:e>
              <m:r>
                <m:t>G</m:t>
              </m:r>
            </m:e>
            <m:sub>
              <m:r>
                <m:t>t</m:t>
              </m:r>
            </m:sub>
          </m:sSub>
          <m:r>
            <m:t>⊕(</m:t>
          </m:r>
          <m:r>
            <m:t>DeltaV,</m:t>
          </m:r>
          <m:r>
            <m:t>DeltaE),</m:t>
          </m:r>
        </m:oMath>
      </m:oMathPara>
      <w:r>
        <w:rPr>
          <w:rFonts w:ascii="Times New Roman" w:hAnsi="Times New Roman" w:eastAsia="Times New Roman"/>
          <w:b w:val="0"/>
          <w:i w:val="0"/>
          <w:sz w:val="22"/>
        </w:rPr>
        <w:t xml:space="preserve">    (3)</w:t>
      </w:r>
    </w:p>
    <w:p>
      <w:pPr>
        <w:spacing w:after="160" w:line="360" w:lineRule="auto"/>
      </w:pPr>
      <w:r>
        <w:rPr>
          <w:rFonts w:ascii="Times New Roman" w:hAnsi="Times New Roman" w:eastAsia="Times New Roman"/>
          <w:b w:val="0"/>
          <w:i w:val="0"/>
          <w:sz w:val="24"/>
        </w:rPr>
        <w:t xml:space="preserve">so that a newly ingested CVE edge does not require rebuilding the entire graph. On the live seed used for experiments, </w:t>
      </w:r>
      <m:oMath xmlns:mml="http://www.w3.org/1998/Math/MathML">
        <m:r>
          <m:t>|V|=40</m:t>
        </m:r>
      </m:oMath>
      <w:r>
        <w:rPr>
          <w:rFonts w:ascii="Times New Roman" w:hAnsi="Times New Roman" w:eastAsia="Times New Roman"/>
          <w:b w:val="0"/>
          <w:i w:val="0"/>
          <w:sz w:val="24"/>
        </w:rPr>
        <w:t xml:space="preserve"> and </w:t>
      </w:r>
      <m:oMath xmlns:mml="http://www.w3.org/1998/Math/MathML">
        <m:r>
          <m:t>|E|=41</m:t>
        </m:r>
      </m:oMath>
      <w:r>
        <w:rPr>
          <w:rFonts w:ascii="Times New Roman" w:hAnsi="Times New Roman" w:eastAsia="Times New Roman"/>
          <w:b w:val="0"/>
          <w:i w:val="0"/>
          <w:sz w:val="24"/>
        </w:rPr>
        <w:t xml:space="preserve">, with </w:t>
      </w:r>
      <m:oMath xmlns:mml="http://www.w3.org/1998/Math/MathML">
        <m:r>
          <m:t>|𝒟|=40</m:t>
        </m:r>
      </m:oMath>
      <w:r>
        <w:rPr>
          <w:rFonts w:ascii="Times New Roman" w:hAnsi="Times New Roman" w:eastAsia="Times New Roman"/>
          <w:b w:val="0"/>
          <w:i w:val="0"/>
          <w:sz w:val="24"/>
        </w:rPr>
        <w:t xml:space="preserve"> chunks.</w:t>
      </w:r>
    </w:p>
    <w:p>
      <w:pPr>
        <w:spacing w:after="160" w:line="360" w:lineRule="auto"/>
        <w:ind w:firstLine="425"/>
      </w:pPr>
      <w:r>
        <w:rPr>
          <w:rFonts w:ascii="Times New Roman" w:hAnsi="Times New Roman" w:eastAsia="Times New Roman"/>
          <w:b w:val="0"/>
          <w:i w:val="0"/>
          <w:sz w:val="24"/>
        </w:rPr>
        <w:t xml:space="preserve">Entity extraction combines regular expressions for CVE, ATT&amp;CK technique/tactic IDs, and CWE patterns with label overlap against graph nodes. Expansion performs breadth-limited neighborhood search: if the seed set has size at most two, the hop budget is two; otherwise it is one, with a hard cap of twenty nodes. Temporal filtering removes expanded neighbors older than a window </w:t>
      </w:r>
      <m:oMath xmlns:mml="http://www.w3.org/1998/Math/MathML">
        <m:r>
          <m:t>W</m:t>
        </m:r>
      </m:oMath>
      <w:r>
        <w:rPr>
          <w:rFonts w:ascii="Times New Roman" w:hAnsi="Times New Roman" w:eastAsia="Times New Roman"/>
          <w:b w:val="0"/>
          <w:i w:val="0"/>
          <w:sz w:val="24"/>
        </w:rPr>
        <w:t xml:space="preserve"> days (default </w:t>
      </w:r>
      <m:oMath xmlns:mml="http://www.w3.org/1998/Math/MathML">
        <m:r>
          <m:t>W=730</m:t>
        </m:r>
      </m:oMath>
      <w:r>
        <w:rPr>
          <w:rFonts w:ascii="Times New Roman" w:hAnsi="Times New Roman" w:eastAsia="Times New Roman"/>
          <w:b w:val="0"/>
          <w:i w:val="0"/>
          <w:sz w:val="24"/>
        </w:rPr>
        <w:t>) while always retaining seed entities, because historical CVEs such as Log4Shell remain operationally relevant even when their timestamps are old.</w:t>
      </w:r>
    </w:p>
    <w:p>
      <w:pPr>
        <w:spacing w:after="160" w:line="360" w:lineRule="auto"/>
        <w:ind w:firstLine="425"/>
      </w:pPr>
      <w:r>
        <w:rPr>
          <w:rFonts w:ascii="Times New Roman" w:hAnsi="Times New Roman" w:eastAsia="Times New Roman"/>
          <w:b w:val="0"/>
          <w:i w:val="0"/>
          <w:sz w:val="24"/>
        </w:rPr>
        <w:t xml:space="preserve">Graph-path consistency for a focus set </w:t>
      </w:r>
      <m:oMath xmlns:mml="http://www.w3.org/1998/Math/MathML">
        <m:r>
          <m:t>U</m:t>
        </m:r>
      </m:oMath>
      <w:r>
        <w:rPr>
          <w:rFonts w:ascii="Times New Roman" w:hAnsi="Times New Roman" w:eastAsia="Times New Roman"/>
          <w:b w:val="0"/>
          <w:i w:val="0"/>
          <w:sz w:val="24"/>
        </w:rPr>
        <w:t xml:space="preserve"> is the fraction of unordered pairs whose undirected shortest-path distance is at most two:</w:t>
      </w:r>
    </w:p>
    <w:p>
      <w:pPr>
        <w:spacing w:before="120" w:after="120"/>
        <w:jc w:val="center"/>
      </w:pPr>
      <m:oMathPara>
        <m:oMath xmlns:mml="http://www.w3.org/1998/Math/MathML">
          <m:r>
            <m:t>G=</m:t>
          </m:r>
          <m:r>
            <m:t>mathrm</m:t>
          </m:r>
          <m:r>
            <m:t>Cons</m:t>
          </m:r>
          <m:r>
            <m:t>(U)=</m:t>
          </m:r>
          <m:f>
            <m:fPr>
              <m:type m:val="bar"/>
            </m:fPr>
            <m:num>
              <m:r>
                <m:t>|{(u,v)⊆U:d(u,v)≤2}|</m:t>
              </m:r>
            </m:num>
            <m:den>
              <m:r>
                <m:t>|{(u,v)⊆U}|</m:t>
              </m:r>
            </m:den>
          </m:f>
          <m:r>
            <m:t>,</m:t>
          </m:r>
        </m:oMath>
      </m:oMathPara>
      <w:r>
        <w:rPr>
          <w:rFonts w:ascii="Times New Roman" w:hAnsi="Times New Roman" w:eastAsia="Times New Roman"/>
          <w:b w:val="0"/>
          <w:i w:val="0"/>
          <w:sz w:val="22"/>
        </w:rPr>
        <w:t xml:space="preserve">    (4)</w:t>
      </w:r>
    </w:p>
    <w:p>
      <w:pPr>
        <w:spacing w:after="160" w:line="360" w:lineRule="auto"/>
      </w:pPr>
      <w:r>
        <w:rPr>
          <w:rFonts w:ascii="Times New Roman" w:hAnsi="Times New Roman" w:eastAsia="Times New Roman"/>
          <w:b w:val="0"/>
          <w:i w:val="0"/>
          <w:sz w:val="24"/>
        </w:rPr>
        <w:t xml:space="preserve">with a conservative default when </w:t>
      </w:r>
      <m:oMath xmlns:mml="http://www.w3.org/1998/Math/MathML">
        <m:r>
          <m:t>|U|&lt;2</m:t>
        </m:r>
      </m:oMath>
      <w:r>
        <w:rPr>
          <w:rFonts w:ascii="Times New Roman" w:hAnsi="Times New Roman" w:eastAsia="Times New Roman"/>
          <w:b w:val="0"/>
          <w:i w:val="0"/>
          <w:sz w:val="24"/>
        </w:rPr>
        <w:t>. This quantity later enters the trust score as the graph factor.</w:t>
      </w:r>
    </w:p>
    <w:p>
      <w:pPr>
        <w:pStyle w:val="Heading2"/>
      </w:pPr>
      <w:r>
        <w:rPr>
          <w:rFonts w:ascii="Times New Roman" w:hAnsi="Times New Roman" w:eastAsia="Times New Roman"/>
          <w:b/>
          <w:i w:val="0"/>
          <w:sz w:val="24"/>
        </w:rPr>
        <w:t>4.2. Six-Stage Pipeline</w:t>
      </w:r>
    </w:p>
    <w:p>
      <w:pPr>
        <w:spacing w:after="160" w:line="360" w:lineRule="auto"/>
        <w:ind w:firstLine="425"/>
      </w:pPr>
      <w:r>
        <w:rPr>
          <w:rFonts w:ascii="Times New Roman" w:hAnsi="Times New Roman" w:eastAsia="Times New Roman"/>
          <w:b w:val="0"/>
          <w:i w:val="0"/>
          <w:sz w:val="24"/>
        </w:rPr>
        <w:t xml:space="preserve">EDGR composes six stages </w:t>
      </w:r>
      <m:oMath xmlns:mml="http://www.w3.org/1998/Math/MathML">
        <m:r>
          <m:t>Φ=</m:t>
        </m:r>
        <m:sSub>
          <m:e>
            <m:r>
              <m:t>φ</m:t>
            </m:r>
          </m:e>
          <m:sub>
            <m:r>
              <m:t>1</m:t>
            </m:r>
          </m:sub>
        </m:sSub>
        <m:r>
          <m:t>∘⋯∘</m:t>
        </m:r>
        <m:sSub>
          <m:e>
            <m:r>
              <m:t>φ</m:t>
            </m:r>
          </m:e>
          <m:sub>
            <m:r>
              <m:t>6</m:t>
            </m:r>
          </m:sub>
        </m:sSub>
      </m:oMath>
      <w:r>
        <w:rPr>
          <w:rFonts w:ascii="Times New Roman" w:hAnsi="Times New Roman" w:eastAsia="Times New Roman"/>
          <w:b w:val="0"/>
          <w:i w:val="0"/>
          <w:sz w:val="24"/>
        </w:rPr>
        <w:t>. Figure 1 summarizes the flow from query to trusted answer or abstain.</w:t>
      </w:r>
    </w:p>
    <w:p>
      <w:pPr>
        <w:jc w:val="center"/>
      </w:pPr>
      <w:r>
        <w:drawing>
          <wp:inline xmlns:a="http://schemas.openxmlformats.org/drawingml/2006/main" xmlns:pic="http://schemas.openxmlformats.org/drawingml/2006/picture">
            <wp:extent cx="5486400" cy="1404186"/>
            <wp:docPr id="1" name="Picture 1"/>
            <wp:cNvGraphicFramePr>
              <a:graphicFrameLocks noChangeAspect="1"/>
            </wp:cNvGraphicFramePr>
            <a:graphic>
              <a:graphicData uri="http://schemas.openxmlformats.org/drawingml/2006/picture">
                <pic:pic>
                  <pic:nvPicPr>
                    <pic:cNvPr id="0" name="fig1_edgr_pipeline.png"/>
                    <pic:cNvPicPr/>
                  </pic:nvPicPr>
                  <pic:blipFill>
                    <a:blip r:embed="rId9"/>
                    <a:stretch>
                      <a:fillRect/>
                    </a:stretch>
                  </pic:blipFill>
                  <pic:spPr>
                    <a:xfrm>
                      <a:off x="0" y="0"/>
                      <a:ext cx="5486400" cy="1404186"/>
                    </a:xfrm>
                    <a:prstGeom prst="rect"/>
                  </pic:spPr>
                </pic:pic>
              </a:graphicData>
            </a:graphic>
          </wp:inline>
        </w:drawing>
      </w:r>
    </w:p>
    <w:p>
      <w:pPr>
        <w:jc w:val="center"/>
      </w:pPr>
      <w:r>
        <w:rPr>
          <w:rFonts w:ascii="Times New Roman" w:hAnsi="Times New Roman" w:eastAsia="Times New Roman"/>
          <w:b w:val="0"/>
          <w:i/>
          <w:sz w:val="20"/>
        </w:rPr>
        <w:t>Figure 1. EDGR pipeline (φ1–φ6) ending in ρ-gate selection or abstain.</w:t>
      </w:r>
    </w:p>
    <w:p>
      <w:pPr>
        <w:spacing w:after="160" w:line="360" w:lineRule="auto"/>
        <w:ind w:firstLine="425"/>
      </w:pPr>
      <w:r>
        <w:rPr>
          <w:rFonts w:ascii="Times New Roman" w:hAnsi="Times New Roman" w:eastAsia="Times New Roman"/>
          <w:b w:val="0"/>
          <w:i w:val="0"/>
          <w:sz w:val="24"/>
        </w:rPr>
        <w:t xml:space="preserve">Stage </w:t>
      </w:r>
      <m:oMath xmlns:mml="http://www.w3.org/1998/Math/MathML">
        <m:sSub>
          <m:e>
            <m:r>
              <m:t>φ</m:t>
            </m:r>
          </m:e>
          <m:sub>
            <m:r>
              <m:t>1</m:t>
            </m:r>
          </m:sub>
        </m:sSub>
      </m:oMath>
      <w:r>
        <w:rPr>
          <w:rFonts w:ascii="Times New Roman" w:hAnsi="Times New Roman" w:eastAsia="Times New Roman"/>
          <w:b w:val="0"/>
          <w:i w:val="0"/>
          <w:sz w:val="24"/>
        </w:rPr>
        <w:t xml:space="preserve"> extracts seed entities </w:t>
      </w:r>
      <m:oMath xmlns:mml="http://www.w3.org/1998/Math/MathML">
        <m:sSub>
          <m:e>
            <m:r>
              <m:t>U</m:t>
            </m:r>
          </m:e>
          <m:sub>
            <m:r>
              <m:t>0</m:t>
            </m:r>
          </m:sub>
        </m:sSub>
      </m:oMath>
      <w:r>
        <w:rPr>
          <w:rFonts w:ascii="Times New Roman" w:hAnsi="Times New Roman" w:eastAsia="Times New Roman"/>
          <w:b w:val="0"/>
          <w:i w:val="0"/>
          <w:sz w:val="24"/>
        </w:rPr>
        <w:t xml:space="preserve"> from </w:t>
      </w:r>
      <m:oMath xmlns:mml="http://www.w3.org/1998/Math/MathML">
        <m:r>
          <m:t>q</m:t>
        </m:r>
      </m:oMath>
      <w:r>
        <w:rPr>
          <w:rFonts w:ascii="Times New Roman" w:hAnsi="Times New Roman" w:eastAsia="Times New Roman"/>
          <w:b w:val="0"/>
          <w:i w:val="0"/>
          <w:sz w:val="24"/>
        </w:rPr>
        <w:t xml:space="preserve">. Stage </w:t>
      </w:r>
      <m:oMath xmlns:mml="http://www.w3.org/1998/Math/MathML">
        <m:sSub>
          <m:e>
            <m:r>
              <m:t>φ</m:t>
            </m:r>
          </m:e>
          <m:sub>
            <m:r>
              <m:t>2</m:t>
            </m:r>
          </m:sub>
        </m:sSub>
      </m:oMath>
      <w:r>
        <w:rPr>
          <w:rFonts w:ascii="Times New Roman" w:hAnsi="Times New Roman" w:eastAsia="Times New Roman"/>
          <w:b w:val="0"/>
          <w:i w:val="0"/>
          <w:sz w:val="24"/>
        </w:rPr>
        <w:t xml:space="preserve"> expands the neighborhood under hop and node budgets when graph mode is enabled. Stage </w:t>
      </w:r>
      <m:oMath xmlns:mml="http://www.w3.org/1998/Math/MathML">
        <m:sSub>
          <m:e>
            <m:r>
              <m:t>φ</m:t>
            </m:r>
          </m:e>
          <m:sub>
            <m:r>
              <m:t>3</m:t>
            </m:r>
          </m:sub>
        </m:sSub>
      </m:oMath>
      <w:r>
        <w:rPr>
          <w:rFonts w:ascii="Times New Roman" w:hAnsi="Times New Roman" w:eastAsia="Times New Roman"/>
          <w:b w:val="0"/>
          <w:i w:val="0"/>
          <w:sz w:val="24"/>
        </w:rPr>
        <w:t xml:space="preserve"> applies temporal filtering to neighbors only. Stage </w:t>
      </w:r>
      <m:oMath xmlns:mml="http://www.w3.org/1998/Math/MathML">
        <m:sSub>
          <m:e>
            <m:r>
              <m:t>φ</m:t>
            </m:r>
          </m:e>
          <m:sub>
            <m:r>
              <m:t>4</m:t>
            </m:r>
          </m:sub>
        </m:sSub>
      </m:oMath>
      <w:r>
        <w:rPr>
          <w:rFonts w:ascii="Times New Roman" w:hAnsi="Times New Roman" w:eastAsia="Times New Roman"/>
          <w:b w:val="0"/>
          <w:i w:val="0"/>
          <w:sz w:val="24"/>
        </w:rPr>
        <w:t xml:space="preserve"> merges vector retrieval (with entity boost) and entity-linked chunks, then ranks candidates by exact query mention, entity overlap with the focus set, and semantic score. An ablation mode can force semantic-only ranking. Stage </w:t>
      </w:r>
      <m:oMath xmlns:mml="http://www.w3.org/1998/Math/MathML">
        <m:sSub>
          <m:e>
            <m:r>
              <m:t>φ</m:t>
            </m:r>
          </m:e>
          <m:sub>
            <m:r>
              <m:t>5</m:t>
            </m:r>
          </m:sub>
        </m:sSub>
      </m:oMath>
      <w:r>
        <w:rPr>
          <w:rFonts w:ascii="Times New Roman" w:hAnsi="Times New Roman" w:eastAsia="Times New Roman"/>
          <w:b w:val="0"/>
          <w:i w:val="0"/>
          <w:sz w:val="24"/>
        </w:rPr>
        <w:t xml:space="preserve"> assigns trust and risk to each ranked chunk. Stage </w:t>
      </w:r>
      <m:oMath xmlns:mml="http://www.w3.org/1998/Math/MathML">
        <m:sSub>
          <m:e>
            <m:r>
              <m:t>φ</m:t>
            </m:r>
          </m:e>
          <m:sub>
            <m:r>
              <m:t>6</m:t>
            </m:r>
          </m:sub>
        </m:sSub>
      </m:oMath>
      <w:r>
        <w:rPr>
          <w:rFonts w:ascii="Times New Roman" w:hAnsi="Times New Roman" w:eastAsia="Times New Roman"/>
          <w:b w:val="0"/>
          <w:i w:val="0"/>
          <w:sz w:val="24"/>
        </w:rPr>
        <w:t xml:space="preserve"> applies the ρ-gate, selects top-</w:t>
      </w:r>
      <m:oMath xmlns:mml="http://www.w3.org/1998/Math/MathML">
        <m:r>
          <m:t>k</m:t>
        </m:r>
      </m:oMath>
      <w:r>
        <w:rPr>
          <w:rFonts w:ascii="Times New Roman" w:hAnsi="Times New Roman" w:eastAsia="Times New Roman"/>
          <w:b w:val="0"/>
          <w:i w:val="0"/>
          <w:sz w:val="24"/>
        </w:rPr>
        <w:t xml:space="preserve"> trusted items, and either generates a grounded answer or abstains.</w:t>
      </w:r>
    </w:p>
    <w:p>
      <w:pPr>
        <w:spacing w:after="160" w:line="360" w:lineRule="auto"/>
        <w:ind w:firstLine="425"/>
      </w:pPr>
      <w:r>
        <w:rPr>
          <w:rFonts w:ascii="Times New Roman" w:hAnsi="Times New Roman" w:eastAsia="Times New Roman"/>
          <w:b w:val="0"/>
          <w:i w:val="0"/>
          <w:sz w:val="24"/>
        </w:rPr>
        <w:t xml:space="preserve">Asymptotic cost is dominated by expansion and ranking. With graph order </w:t>
      </w:r>
      <m:oMath xmlns:mml="http://www.w3.org/1998/Math/MathML">
        <m:r>
          <m:t>(V,E)</m:t>
        </m:r>
      </m:oMath>
      <w:r>
        <w:rPr>
          <w:rFonts w:ascii="Times New Roman" w:hAnsi="Times New Roman" w:eastAsia="Times New Roman"/>
          <w:b w:val="0"/>
          <w:i w:val="0"/>
          <w:sz w:val="24"/>
        </w:rPr>
        <w:t xml:space="preserve"> and store size related to evidence cardinality, the analysis bound used in the prototype is </w:t>
      </w:r>
      <m:oMath xmlns:mml="http://www.w3.org/1998/Math/MathML">
        <m:r>
          <m:t>T(n)=O(E</m:t>
        </m:r>
        <m:r>
          <m:rPr>
            <m:sty m:val="p"/>
          </m:rPr>
          <m:t>log</m:t>
        </m:r>
        <m:r>
          <m:t>V)</m:t>
        </m:r>
      </m:oMath>
      <w:r>
        <w:rPr>
          <w:rFonts w:ascii="Times New Roman" w:hAnsi="Times New Roman" w:eastAsia="Times New Roman"/>
          <w:b w:val="0"/>
          <w:i w:val="0"/>
          <w:sz w:val="24"/>
        </w:rPr>
        <w:t xml:space="preserve"> for expansion-plus-rank work, with space </w:t>
      </w:r>
      <m:oMath xmlns:mml="http://www.w3.org/1998/Math/MathML">
        <m:r>
          <m:t>S(n)=O(V+E+D)</m:t>
        </m:r>
      </m:oMath>
      <w:r>
        <w:rPr>
          <w:rFonts w:ascii="Times New Roman" w:hAnsi="Times New Roman" w:eastAsia="Times New Roman"/>
          <w:b w:val="0"/>
          <w:i w:val="0"/>
          <w:sz w:val="24"/>
        </w:rPr>
        <w:t xml:space="preserve"> including the vector index footprint </w:t>
      </w:r>
      <m:oMath xmlns:mml="http://www.w3.org/1998/Math/MathML">
        <m:r>
          <m:t>D</m:t>
        </m:r>
      </m:oMath>
      <w:r>
        <w:rPr>
          <w:rFonts w:ascii="Times New Roman" w:hAnsi="Times New Roman" w:eastAsia="Times New Roman"/>
          <w:b w:val="0"/>
          <w:i w:val="0"/>
          <w:sz w:val="24"/>
        </w:rPr>
        <w:t>. Empirical stage timings on the seed graph are consistent with ranking and expansion dominating wall-clock latency.</w:t>
      </w:r>
    </w:p>
    <w:p>
      <w:pPr>
        <w:pStyle w:val="Heading2"/>
      </w:pPr>
      <w:r>
        <w:rPr>
          <w:rFonts w:ascii="Times New Roman" w:hAnsi="Times New Roman" w:eastAsia="Times New Roman"/>
          <w:b/>
          <w:i w:val="0"/>
          <w:sz w:val="24"/>
        </w:rPr>
        <w:t>4.3. Evidence Ranking</w:t>
      </w:r>
    </w:p>
    <w:p>
      <w:pPr>
        <w:spacing w:after="160" w:line="360" w:lineRule="auto"/>
        <w:ind w:firstLine="425"/>
      </w:pPr>
      <w:r>
        <w:rPr>
          <w:rFonts w:ascii="Times New Roman" w:hAnsi="Times New Roman" w:eastAsia="Times New Roman"/>
          <w:b w:val="0"/>
          <w:i w:val="0"/>
          <w:sz w:val="24"/>
        </w:rPr>
        <w:t xml:space="preserve">Let </w:t>
      </w:r>
      <m:oMath xmlns:mml="http://www.w3.org/1998/Math/MathML">
        <m:r>
          <m:rPr>
            <m:sty m:val="p"/>
          </m:rPr>
          <m:t>Vec</m:t>
        </m:r>
        <m:r>
          <m:t>(q)</m:t>
        </m:r>
      </m:oMath>
      <w:r>
        <w:rPr>
          <w:rFonts w:ascii="Times New Roman" w:hAnsi="Times New Roman" w:eastAsia="Times New Roman"/>
          <w:b w:val="0"/>
          <w:i w:val="0"/>
          <w:sz w:val="24"/>
        </w:rPr>
        <w:t xml:space="preserve"> be the top vector hits and </w:t>
      </w:r>
      <m:oMath xmlns:mml="http://www.w3.org/1998/Math/MathML">
        <m:r>
          <m:rPr>
            <m:sty m:val="p"/>
          </m:rPr>
          <m:t>Ent</m:t>
        </m:r>
        <m:r>
          <m:t>(U)</m:t>
        </m:r>
      </m:oMath>
      <w:r>
        <w:rPr>
          <w:rFonts w:ascii="Times New Roman" w:hAnsi="Times New Roman" w:eastAsia="Times New Roman"/>
          <w:b w:val="0"/>
          <w:i w:val="0"/>
          <w:sz w:val="24"/>
        </w:rPr>
        <w:t xml:space="preserve"> the chunks linked to temporal focus entities </w:t>
      </w:r>
      <m:oMath xmlns:mml="http://www.w3.org/1998/Math/MathML">
        <m:r>
          <m:t>U</m:t>
        </m:r>
      </m:oMath>
      <w:r>
        <w:rPr>
          <w:rFonts w:ascii="Times New Roman" w:hAnsi="Times New Roman" w:eastAsia="Times New Roman"/>
          <w:b w:val="0"/>
          <w:i w:val="0"/>
          <w:sz w:val="24"/>
        </w:rPr>
        <w:t xml:space="preserve">. Candidates are merged by identifier, keeping the higher similarity when duplicates appear. The default rank key for an item </w:t>
      </w:r>
      <m:oMath xmlns:mml="http://www.w3.org/1998/Math/MathML">
        <m:r>
          <m:t>x</m:t>
        </m:r>
      </m:oMath>
      <w:r>
        <w:rPr>
          <w:rFonts w:ascii="Times New Roman" w:hAnsi="Times New Roman" w:eastAsia="Times New Roman"/>
          <w:b w:val="0"/>
          <w:i w:val="0"/>
          <w:sz w:val="24"/>
        </w:rPr>
        <w:t xml:space="preserve"> is the triple</w:t>
      </w:r>
    </w:p>
    <w:p>
      <w:pPr>
        <w:spacing w:before="120" w:after="120"/>
        <w:jc w:val="center"/>
      </w:pPr>
      <m:oMathPara>
        <m:oMath xmlns:mml="http://www.w3.org/1998/Math/MathML">
          <m:r>
            <m:t>mathrm</m:t>
          </m:r>
          <m:r>
            <m:t>key</m:t>
          </m:r>
          <m:r>
            <m:t>(x)=(</m:t>
          </m:r>
          <m:r>
            <m:t>mathrm</m:t>
          </m:r>
          <m:r>
            <m:t>Exact</m:t>
          </m:r>
          <m:r>
            <m:t>(x,q),</m:t>
          </m:r>
          <m:r>
            <m:rPr>
              <m:nor/>
            </m:rPr>
            <m:t> </m:t>
          </m:r>
          <m:r>
            <m:t>|</m:t>
          </m:r>
          <m:r>
            <m:t>mathrm</m:t>
          </m:r>
          <m:r>
            <m:t>Ent</m:t>
          </m:r>
          <m:r>
            <m:t>(x)∩U|,</m:t>
          </m:r>
          <m:r>
            <m:rPr>
              <m:nor/>
            </m:rPr>
            <m:t> </m:t>
          </m:r>
          <m:r>
            <m:t>mathrm</m:t>
          </m:r>
          <m:r>
            <m:t>sim</m:t>
          </m:r>
          <m:r>
            <m:t>(x,q))</m:t>
          </m:r>
        </m:oMath>
      </m:oMathPara>
      <w:r>
        <w:rPr>
          <w:rFonts w:ascii="Times New Roman" w:hAnsi="Times New Roman" w:eastAsia="Times New Roman"/>
          <w:b w:val="0"/>
          <w:i w:val="0"/>
          <w:sz w:val="22"/>
        </w:rPr>
        <w:t xml:space="preserve">    (5)</w:t>
      </w:r>
    </w:p>
    <w:p>
      <w:pPr>
        <w:spacing w:after="160" w:line="360" w:lineRule="auto"/>
      </w:pPr>
      <w:r>
        <w:rPr>
          <w:rFonts w:ascii="Times New Roman" w:hAnsi="Times New Roman" w:eastAsia="Times New Roman"/>
          <w:b w:val="0"/>
          <w:i w:val="0"/>
          <w:sz w:val="24"/>
        </w:rPr>
        <w:t>sorted lexicographically in descending order. Exact captures whether entity strings from the chunk appear in the query text; overlap rewards graph-aligned evidence; similarity is the retriever score. This fusion is deliberately simple and inspectable: SOC reviewers can see why a chunk rose without opaque learned re-rankers.</w:t>
      </w:r>
    </w:p>
    <w:p>
      <w:pPr>
        <w:pStyle w:val="Heading2"/>
      </w:pPr>
      <w:r>
        <w:rPr>
          <w:rFonts w:ascii="Times New Roman" w:hAnsi="Times New Roman" w:eastAsia="Times New Roman"/>
          <w:b/>
          <w:i w:val="0"/>
          <w:sz w:val="24"/>
        </w:rPr>
        <w:t>4.4. Trust Score and Risk</w:t>
      </w:r>
    </w:p>
    <w:p>
      <w:pPr>
        <w:spacing w:after="160" w:line="360" w:lineRule="auto"/>
        <w:ind w:firstLine="425"/>
      </w:pPr>
      <w:r>
        <w:rPr>
          <w:rFonts w:ascii="Times New Roman" w:hAnsi="Times New Roman" w:eastAsia="Times New Roman"/>
          <w:b w:val="0"/>
          <w:i w:val="0"/>
          <w:sz w:val="24"/>
        </w:rPr>
        <w:t xml:space="preserve">For each evidence item </w:t>
      </w:r>
      <m:oMath xmlns:mml="http://www.w3.org/1998/Math/MathML">
        <m:r>
          <m:t>e</m:t>
        </m:r>
      </m:oMath>
      <w:r>
        <w:rPr>
          <w:rFonts w:ascii="Times New Roman" w:hAnsi="Times New Roman" w:eastAsia="Times New Roman"/>
          <w:b w:val="0"/>
          <w:i w:val="0"/>
          <w:sz w:val="24"/>
        </w:rPr>
        <w:t xml:space="preserve">, four factors in </w:t>
      </w:r>
      <m:oMath xmlns:mml="http://www.w3.org/1998/Math/MathML">
        <m:r>
          <m:t>[0,1]</m:t>
        </m:r>
      </m:oMath>
      <w:r>
        <w:rPr>
          <w:rFonts w:ascii="Times New Roman" w:hAnsi="Times New Roman" w:eastAsia="Times New Roman"/>
          <w:b w:val="0"/>
          <w:i w:val="0"/>
          <w:sz w:val="24"/>
        </w:rPr>
        <w:t xml:space="preserve"> are computed. Reliability </w:t>
      </w:r>
      <m:oMath xmlns:mml="http://www.w3.org/1998/Math/MathML">
        <m:r>
          <m:t>R</m:t>
        </m:r>
      </m:oMath>
      <w:r>
        <w:rPr>
          <w:rFonts w:ascii="Times New Roman" w:hAnsi="Times New Roman" w:eastAsia="Times New Roman"/>
          <w:b w:val="0"/>
          <w:i w:val="0"/>
          <w:sz w:val="24"/>
        </w:rPr>
        <w:t xml:space="preserve"> is a source/chunk prior stored with the evidence. Freshness </w:t>
      </w:r>
      <m:oMath xmlns:mml="http://www.w3.org/1998/Math/MathML">
        <m:r>
          <m:t>F</m:t>
        </m:r>
      </m:oMath>
      <w:r>
        <w:rPr>
          <w:rFonts w:ascii="Times New Roman" w:hAnsi="Times New Roman" w:eastAsia="Times New Roman"/>
          <w:b w:val="0"/>
          <w:i w:val="0"/>
          <w:sz w:val="24"/>
        </w:rPr>
        <w:t xml:space="preserve"> is a piecewise function of age in days that keeps historical CTI usable rather than discarding it:</w:t>
      </w:r>
    </w:p>
    <w:p>
      <w:pPr>
        <w:spacing w:before="120" w:after="120"/>
        <w:jc w:val="center"/>
      </w:pPr>
      <m:oMathPara>
        <m:oMath xmlns:mml="http://www.w3.org/1998/Math/MathML">
          <m:r>
            <m:t>F∈{1.0,0.9,0.78,0.62,0.45}</m:t>
          </m:r>
          <m:r>
            <m:rPr>
              <m:nor/>
            </m:rPr>
            <m:t> by age buckets </m:t>
          </m:r>
          <m:r>
            <m:t>90,</m:t>
          </m:r>
          <m:r>
            <m:rPr>
              <m:nor/>
            </m:rPr>
            <m:t> </m:t>
          </m:r>
          <m:r>
            <m:t>365,</m:t>
          </m:r>
          <m:r>
            <m:rPr>
              <m:nor/>
            </m:rPr>
            <m:t> </m:t>
          </m:r>
          <m:r>
            <m:t>W,</m:t>
          </m:r>
          <m:r>
            <m:rPr>
              <m:nor/>
            </m:rPr>
            <m:t> </m:t>
          </m:r>
          <m:r>
            <m:t>5·365</m:t>
          </m:r>
          <m:r>
            <m:rPr>
              <m:nor/>
            </m:rPr>
            <m:t> days</m:t>
          </m:r>
        </m:oMath>
      </m:oMathPara>
      <w:r>
        <w:rPr>
          <w:rFonts w:ascii="Times New Roman" w:hAnsi="Times New Roman" w:eastAsia="Times New Roman"/>
          <w:b w:val="0"/>
          <w:i w:val="0"/>
          <w:sz w:val="22"/>
        </w:rPr>
        <w:t xml:space="preserve">    (6)</w:t>
      </w:r>
    </w:p>
    <w:p>
      <w:pPr>
        <w:spacing w:after="160" w:line="360" w:lineRule="auto"/>
      </w:pPr>
      <w:r>
        <w:rPr>
          <w:rFonts w:ascii="Times New Roman" w:hAnsi="Times New Roman" w:eastAsia="Times New Roman"/>
          <w:b w:val="0"/>
          <w:i w:val="0"/>
          <w:sz w:val="24"/>
        </w:rPr>
        <w:t xml:space="preserve">Graph consistency </w:t>
      </w:r>
      <m:oMath xmlns:mml="http://www.w3.org/1998/Math/MathML">
        <m:r>
          <m:t>G</m:t>
        </m:r>
      </m:oMath>
      <w:r>
        <w:rPr>
          <w:rFonts w:ascii="Times New Roman" w:hAnsi="Times New Roman" w:eastAsia="Times New Roman"/>
          <w:b w:val="0"/>
          <w:i w:val="0"/>
          <w:sz w:val="24"/>
        </w:rPr>
        <w:t xml:space="preserve"> is </w:t>
      </w:r>
      <m:oMath xmlns:mml="http://www.w3.org/1998/Math/MathML">
        <m:r>
          <m:rPr>
            <m:sty m:val="p"/>
          </m:rPr>
          <m:t>Cons</m:t>
        </m:r>
        <m:r>
          <m:t>(U)</m:t>
        </m:r>
      </m:oMath>
      <w:r>
        <w:rPr>
          <w:rFonts w:ascii="Times New Roman" w:hAnsi="Times New Roman" w:eastAsia="Times New Roman"/>
          <w:b w:val="0"/>
          <w:i w:val="0"/>
          <w:sz w:val="24"/>
        </w:rPr>
        <w:t xml:space="preserve"> over the union of query and chunk entities (Section 4.1). Semantic relevance </w:t>
      </w:r>
      <m:oMath xmlns:mml="http://www.w3.org/1998/Math/MathML">
        <m:r>
          <m:t>S</m:t>
        </m:r>
      </m:oMath>
      <w:r>
        <w:rPr>
          <w:rFonts w:ascii="Times New Roman" w:hAnsi="Times New Roman" w:eastAsia="Times New Roman"/>
          <w:b w:val="0"/>
          <w:i w:val="0"/>
          <w:sz w:val="24"/>
        </w:rPr>
        <w:t xml:space="preserve"> is the clipped retriever score. Trust and risk are</w:t>
      </w:r>
    </w:p>
    <w:p>
      <w:pPr>
        <w:spacing w:before="120" w:after="120"/>
        <w:jc w:val="center"/>
      </w:pPr>
      <m:oMathPara>
        <m:oMath xmlns:mml="http://www.w3.org/1998/Math/MathML">
          <m:r>
            <m:t>tau(e)=0.30</m:t>
          </m:r>
          <m:r>
            <m:t>R+0.20</m:t>
          </m:r>
          <m:r>
            <m:t>F+0.25</m:t>
          </m:r>
          <m:r>
            <m:t>G+0.25</m:t>
          </m:r>
          <m:r>
            <m:t>S,</m:t>
          </m:r>
          <m:r>
            <m:t>rho(e)=1−</m:t>
          </m:r>
          <m:r>
            <m:t>tau(e).</m:t>
          </m:r>
        </m:oMath>
      </m:oMathPara>
      <w:r>
        <w:rPr>
          <w:rFonts w:ascii="Times New Roman" w:hAnsi="Times New Roman" w:eastAsia="Times New Roman"/>
          <w:b w:val="0"/>
          <w:i w:val="0"/>
          <w:sz w:val="22"/>
        </w:rPr>
        <w:t xml:space="preserve">    (7)</w:t>
      </w:r>
    </w:p>
    <w:p>
      <w:pPr>
        <w:spacing w:after="160" w:line="360" w:lineRule="auto"/>
      </w:pPr>
      <w:r>
        <w:rPr>
          <w:rFonts w:ascii="Times New Roman" w:hAnsi="Times New Roman" w:eastAsia="Times New Roman"/>
          <w:b w:val="0"/>
          <w:i w:val="0"/>
          <w:sz w:val="24"/>
        </w:rPr>
        <w:t xml:space="preserve">The weights are hyperparameters chosen for interpretability in the research prototype; they are not presented as globally learned optima. When trust scoring is ablated, the implementation falls back to semantic relevance alone and raises the effective risk threshold to </w:t>
      </w:r>
      <m:oMath xmlns:mml="http://www.w3.org/1998/Math/MathML">
        <m:r>
          <m:t>0.95</m:t>
        </m:r>
      </m:oMath>
      <w:r>
        <w:rPr>
          <w:rFonts w:ascii="Times New Roman" w:hAnsi="Times New Roman" w:eastAsia="Times New Roman"/>
          <w:b w:val="0"/>
          <w:i w:val="0"/>
          <w:sz w:val="24"/>
        </w:rPr>
        <w:t>, which largely disables gating.</w:t>
      </w:r>
    </w:p>
    <w:p>
      <w:pPr>
        <w:pStyle w:val="Heading2"/>
      </w:pPr>
      <w:r>
        <w:rPr>
          <w:rFonts w:ascii="Times New Roman" w:hAnsi="Times New Roman" w:eastAsia="Times New Roman"/>
          <w:b/>
          <w:i w:val="0"/>
          <w:sz w:val="24"/>
        </w:rPr>
        <w:t>4.5. ρ-Gate and Abstain Operator</w:t>
      </w:r>
    </w:p>
    <w:p>
      <w:pPr>
        <w:spacing w:after="160" w:line="360" w:lineRule="auto"/>
        <w:ind w:firstLine="425"/>
      </w:pPr>
      <w:r>
        <w:rPr>
          <w:rFonts w:ascii="Times New Roman" w:hAnsi="Times New Roman" w:eastAsia="Times New Roman"/>
          <w:b w:val="0"/>
          <w:i w:val="0"/>
          <w:sz w:val="24"/>
        </w:rPr>
        <w:t xml:space="preserve">Default threshold </w:t>
      </w:r>
      <m:oMath xmlns:mml="http://www.w3.org/1998/Math/MathML">
        <m:r>
          <m:t>θ=0.55</m:t>
        </m:r>
      </m:oMath>
      <w:r>
        <w:rPr>
          <w:rFonts w:ascii="Times New Roman" w:hAnsi="Times New Roman" w:eastAsia="Times New Roman"/>
          <w:b w:val="0"/>
          <w:i w:val="0"/>
          <w:sz w:val="24"/>
        </w:rPr>
        <w:t xml:space="preserve"> and budget </w:t>
      </w:r>
      <m:oMath xmlns:mml="http://www.w3.org/1998/Math/MathML">
        <m:r>
          <m:t>k=5</m:t>
        </m:r>
      </m:oMath>
      <w:r>
        <w:rPr>
          <w:rFonts w:ascii="Times New Roman" w:hAnsi="Times New Roman" w:eastAsia="Times New Roman"/>
          <w:b w:val="0"/>
          <w:i w:val="0"/>
          <w:sz w:val="24"/>
        </w:rPr>
        <w:t xml:space="preserve">. When the gate is active, candidates must satisfy </w:t>
      </w:r>
      <m:oMath xmlns:mml="http://www.w3.org/1998/Math/MathML">
        <m:r>
          <m:t>ρ(e)≤θ</m:t>
        </m:r>
      </m:oMath>
      <w:r>
        <w:rPr>
          <w:rFonts w:ascii="Times New Roman" w:hAnsi="Times New Roman" w:eastAsia="Times New Roman"/>
          <w:b w:val="0"/>
          <w:i w:val="0"/>
          <w:sz w:val="24"/>
        </w:rPr>
        <w:t>. Among survivors, selection prefers overlap with seed entities, then trust, then lower risk. Three abstain conditions are checked:</w:t>
      </w:r>
    </w:p>
    <w:p>
      <w:pPr>
        <w:spacing w:after="160" w:line="360" w:lineRule="auto"/>
      </w:pPr>
      <w:r>
        <w:rPr>
          <w:rFonts w:ascii="Times New Roman" w:hAnsi="Times New Roman" w:eastAsia="Times New Roman"/>
          <w:b w:val="0"/>
          <w:i w:val="0"/>
          <w:sz w:val="24"/>
        </w:rPr>
        <w:t xml:space="preserve">(A1) Unknown CVE: a CVE string in </w:t>
      </w:r>
      <m:oMath xmlns:mml="http://www.w3.org/1998/Math/MathML">
        <m:r>
          <m:t>q</m:t>
        </m:r>
      </m:oMath>
      <w:r>
        <w:rPr>
          <w:rFonts w:ascii="Times New Roman" w:hAnsi="Times New Roman" w:eastAsia="Times New Roman"/>
          <w:b w:val="0"/>
          <w:i w:val="0"/>
          <w:sz w:val="24"/>
        </w:rPr>
        <w:t xml:space="preserve"> appears neither as a graph node nor in scored evidence text. (A2) Empty safe set: no evidence clears the risk threshold. (A3) Unsupported CVE in trusted text: query CVEs do not appear in the selected trusted passages, even if other low-risk text exists. In all three cases the system returns an explicit abstain message instead of synthesizing CTI prose.</w:t>
      </w:r>
    </w:p>
    <w:p>
      <w:pPr>
        <w:spacing w:after="160" w:line="360" w:lineRule="auto"/>
      </w:pPr>
      <w:r>
        <w:rPr>
          <w:rFonts w:ascii="Times New Roman" w:hAnsi="Times New Roman" w:eastAsia="Times New Roman"/>
          <w:b w:val="0"/>
          <w:i w:val="0"/>
          <w:sz w:val="24"/>
        </w:rPr>
        <w:t>The emit predicate can be written</w:t>
      </w:r>
    </w:p>
    <w:p>
      <w:pPr>
        <w:spacing w:before="120" w:after="120"/>
        <w:jc w:val="center"/>
      </w:pPr>
      <m:oMathPara>
        <m:oMath xmlns:mml="http://www.w3.org/1998/Math/MathML">
          <m:r>
            <m:t>mathrm</m:t>
          </m:r>
          <m:r>
            <m:t>Emit</m:t>
          </m:r>
          <m:r>
            <m:t>(q)⟺</m:t>
          </m:r>
          <m:sSup>
            <m:e>
              <m:r>
                <m:t>E</m:t>
              </m:r>
            </m:e>
            <m:sup>
              <m:r>
                <m:t>*</m:t>
              </m:r>
            </m:sup>
          </m:sSup>
          <m:r>
            <m:t>≠∅∧</m:t>
          </m:r>
          <m:r>
            <m:t>rho(</m:t>
          </m:r>
          <m:sSup>
            <m:e>
              <m:r>
                <m:t>E</m:t>
              </m:r>
            </m:e>
            <m:sup>
              <m:r>
                <m:t>*</m:t>
              </m:r>
            </m:sup>
          </m:sSup>
          <m:r>
            <m:t>)&lt;</m:t>
          </m:r>
          <m:r>
            <m:t>theta∧</m:t>
          </m:r>
          <m:r>
            <m:t>mathrm</m:t>
          </m:r>
          <m:r>
            <m:t>ID</m:t>
          </m:r>
          <m:r>
            <m:t>(q)⊆</m:t>
          </m:r>
          <m:r>
            <m:t>mathrm</m:t>
          </m:r>
          <m:r>
            <m:t>Supp</m:t>
          </m:r>
          <m:r>
            <m:t>(</m:t>
          </m:r>
          <m:sSup>
            <m:e>
              <m:r>
                <m:t>E</m:t>
              </m:r>
            </m:e>
            <m:sup>
              <m:r>
                <m:t>*</m:t>
              </m:r>
            </m:sup>
          </m:sSup>
          <m:r>
            <m:t>).</m:t>
          </m:r>
        </m:oMath>
      </m:oMathPara>
      <w:r>
        <w:rPr>
          <w:rFonts w:ascii="Times New Roman" w:hAnsi="Times New Roman" w:eastAsia="Times New Roman"/>
          <w:b w:val="0"/>
          <w:i w:val="0"/>
          <w:sz w:val="22"/>
        </w:rPr>
        <w:t xml:space="preserve">    (8)</w:t>
      </w:r>
    </w:p>
    <w:p>
      <w:pPr>
        <w:pStyle w:val="Heading2"/>
      </w:pPr>
      <w:r>
        <w:rPr>
          <w:rFonts w:ascii="Times New Roman" w:hAnsi="Times New Roman" w:eastAsia="Times New Roman"/>
          <w:b/>
          <w:i w:val="0"/>
          <w:sz w:val="24"/>
        </w:rPr>
        <w:t>4.6. Answer Faithfulness Proxy</w:t>
      </w:r>
    </w:p>
    <w:p>
      <w:pPr>
        <w:spacing w:after="160" w:line="360" w:lineRule="auto"/>
        <w:ind w:firstLine="425"/>
      </w:pPr>
      <w:r>
        <w:rPr>
          <w:rFonts w:ascii="Times New Roman" w:hAnsi="Times New Roman" w:eastAsia="Times New Roman"/>
          <w:b w:val="0"/>
          <w:i w:val="0"/>
          <w:sz w:val="24"/>
        </w:rPr>
        <w:t xml:space="preserve">Automatic faithfulness used in experiments is a research proxy, not a substitute for expert judgment. Given answer </w:t>
      </w:r>
      <m:oMath xmlns:mml="http://www.w3.org/1998/Math/MathML">
        <m:r>
          <m:t>a</m:t>
        </m:r>
      </m:oMath>
      <w:r>
        <w:rPr>
          <w:rFonts w:ascii="Times New Roman" w:hAnsi="Times New Roman" w:eastAsia="Times New Roman"/>
          <w:b w:val="0"/>
          <w:i w:val="0"/>
          <w:sz w:val="24"/>
        </w:rPr>
        <w:t xml:space="preserve"> and evidence </w:t>
      </w:r>
      <m:oMath xmlns:mml="http://www.w3.org/1998/Math/MathML">
        <m:sSup>
          <m:e>
            <m:r>
              <m:t>E</m:t>
            </m:r>
          </m:e>
          <m:sup>
            <m:r>
              <m:t>*</m:t>
            </m:r>
          </m:sup>
        </m:sSup>
      </m:oMath>
      <w:r>
        <w:rPr>
          <w:rFonts w:ascii="Times New Roman" w:hAnsi="Times New Roman" w:eastAsia="Times New Roman"/>
          <w:b w:val="0"/>
          <w:i w:val="0"/>
          <w:sz w:val="24"/>
        </w:rPr>
        <w:t xml:space="preserve">, let coverage be the fraction of answer tokens (length </w:t>
      </w:r>
      <m:oMath xmlns:mml="http://www.w3.org/1998/Math/MathML">
        <m:r>
          <m:t>≥3</m:t>
        </m:r>
      </m:oMath>
      <w:r>
        <w:rPr>
          <w:rFonts w:ascii="Times New Roman" w:hAnsi="Times New Roman" w:eastAsia="Times New Roman"/>
          <w:b w:val="0"/>
          <w:i w:val="0"/>
          <w:sz w:val="24"/>
        </w:rPr>
        <w:t xml:space="preserve">) that appear in the concatenated evidence text. Let </w:t>
      </w:r>
      <m:oMath xmlns:mml="http://www.w3.org/1998/Math/MathML">
        <m:acc>
          <m:accPr>
            <m:chr m:val="―"/>
          </m:accPr>
          <m:e>
            <m:r>
              <m:t>τ</m:t>
            </m:r>
          </m:e>
        </m:acc>
      </m:oMath>
      <w:r>
        <w:rPr>
          <w:rFonts w:ascii="Times New Roman" w:hAnsi="Times New Roman" w:eastAsia="Times New Roman"/>
          <w:b w:val="0"/>
          <w:i w:val="0"/>
          <w:sz w:val="24"/>
        </w:rPr>
        <w:t xml:space="preserve"> be mean trust of </w:t>
      </w:r>
      <m:oMath xmlns:mml="http://www.w3.org/1998/Math/MathML">
        <m:sSup>
          <m:e>
            <m:r>
              <m:t>E</m:t>
            </m:r>
          </m:e>
          <m:sup>
            <m:r>
              <m:t>*</m:t>
            </m:r>
          </m:sup>
        </m:sSup>
      </m:oMath>
      <w:r>
        <w:rPr>
          <w:rFonts w:ascii="Times New Roman" w:hAnsi="Times New Roman" w:eastAsia="Times New Roman"/>
          <w:b w:val="0"/>
          <w:i w:val="0"/>
          <w:sz w:val="24"/>
        </w:rPr>
        <w:t xml:space="preserve">. Invented CVE or technique identifiers that do not appear in evidence incur a penalty capped at </w:t>
      </w:r>
      <m:oMath xmlns:mml="http://www.w3.org/1998/Math/MathML">
        <m:r>
          <m:t>0.5</m:t>
        </m:r>
      </m:oMath>
      <w:r>
        <w:rPr>
          <w:rFonts w:ascii="Times New Roman" w:hAnsi="Times New Roman" w:eastAsia="Times New Roman"/>
          <w:b w:val="0"/>
          <w:i w:val="0"/>
          <w:sz w:val="24"/>
        </w:rPr>
        <w:t>. Then</w:t>
      </w:r>
    </w:p>
    <w:p>
      <w:pPr>
        <w:spacing w:before="120" w:after="120"/>
        <w:jc w:val="center"/>
      </w:pPr>
      <m:oMathPara>
        <m:oMath xmlns:mml="http://www.w3.org/1998/Math/MathML">
          <m:r>
            <m:t>F=</m:t>
          </m:r>
          <m:r>
            <m:t>mathrm</m:t>
          </m:r>
          <m:r>
            <m:t>clip</m:t>
          </m:r>
          <m:r>
            <m:t>(0.50·</m:t>
          </m:r>
          <m:r>
            <m:t>mathrm</m:t>
          </m:r>
          <m:r>
            <m:t>cov</m:t>
          </m:r>
          <m:r>
            <m:t>+0.35·</m:t>
          </m:r>
          <m:r>
            <m:t>ta</m:t>
          </m:r>
          <m:sSub>
            <m:e>
              <m:r>
                <m:t>u</m:t>
              </m:r>
            </m:e>
            <m:sub>
              <m:r>
                <m:t>avg</m:t>
              </m:r>
            </m:sub>
          </m:sSub>
          <m:r>
            <m:t>+0.15·ID−p),</m:t>
          </m:r>
          <m:r>
            <m:rPr>
              <m:nor/>
            </m:rPr>
            <m:t> </m:t>
          </m:r>
          <m:r>
            <m:t>H=1−F</m:t>
          </m:r>
        </m:oMath>
      </m:oMathPara>
      <w:r>
        <w:rPr>
          <w:rFonts w:ascii="Times New Roman" w:hAnsi="Times New Roman" w:eastAsia="Times New Roman"/>
          <w:b w:val="0"/>
          <w:i w:val="0"/>
          <w:sz w:val="22"/>
        </w:rPr>
        <w:t xml:space="preserve">    (9)</w:t>
      </w:r>
    </w:p>
    <w:p>
      <w:pPr>
        <w:spacing w:after="160" w:line="360" w:lineRule="auto"/>
      </w:pPr>
      <w:r>
        <w:rPr>
          <w:rFonts w:ascii="Times New Roman" w:hAnsi="Times New Roman" w:eastAsia="Times New Roman"/>
          <w:b w:val="0"/>
          <w:i w:val="0"/>
          <w:sz w:val="24"/>
        </w:rPr>
        <w:t>Because the proxy rewards lexical overlap and trust, a stub that retrieves densely overlapping gold text can score highly without implementing abstain. That property is discussed as a construct-validity threat in Section 7.</w:t>
      </w:r>
    </w:p>
    <w:p>
      <w:pPr>
        <w:pStyle w:val="Heading2"/>
      </w:pPr>
      <w:r>
        <w:rPr>
          <w:rFonts w:ascii="Times New Roman" w:hAnsi="Times New Roman" w:eastAsia="Times New Roman"/>
          <w:b/>
          <w:i w:val="0"/>
          <w:sz w:val="24"/>
        </w:rPr>
        <w:t>4.7. Pseudocode Summary</w:t>
      </w:r>
    </w:p>
    <w:p>
      <w:pPr>
        <w:spacing w:after="160" w:line="360" w:lineRule="auto"/>
      </w:pPr>
      <w:r>
        <w:rPr>
          <w:rFonts w:ascii="Times New Roman" w:hAnsi="Times New Roman" w:eastAsia="Times New Roman"/>
          <w:b w:val="0"/>
          <w:i w:val="0"/>
          <w:sz w:val="24"/>
        </w:rPr>
        <w:t xml:space="preserve">Algorithmically, EDGR proceeds as follows. Extract </w:t>
      </w:r>
      <m:oMath xmlns:mml="http://www.w3.org/1998/Math/MathML">
        <m:sSub>
          <m:e>
            <m:r>
              <m:t>U</m:t>
            </m:r>
          </m:e>
          <m:sub>
            <m:r>
              <m:t>0</m:t>
            </m:r>
          </m:sub>
        </m:sSub>
      </m:oMath>
      <w:r>
        <w:rPr>
          <w:rFonts w:ascii="Times New Roman" w:hAnsi="Times New Roman" w:eastAsia="Times New Roman"/>
          <w:b w:val="0"/>
          <w:i w:val="0"/>
          <w:sz w:val="24"/>
        </w:rPr>
        <w:t xml:space="preserve"> from </w:t>
      </w:r>
      <m:oMath xmlns:mml="http://www.w3.org/1998/Math/MathML">
        <m:r>
          <m:t>q</m:t>
        </m:r>
      </m:oMath>
      <w:r>
        <w:rPr>
          <w:rFonts w:ascii="Times New Roman" w:hAnsi="Times New Roman" w:eastAsia="Times New Roman"/>
          <w:b w:val="0"/>
          <w:i w:val="0"/>
          <w:sz w:val="24"/>
        </w:rPr>
        <w:t xml:space="preserve">. If graph mode is on, expand to a hop-bounded neighborhood and form </w:t>
      </w:r>
      <m:oMath xmlns:mml="http://www.w3.org/1998/Math/MathML">
        <m:r>
          <m:t>U</m:t>
        </m:r>
      </m:oMath>
      <w:r>
        <w:rPr>
          <w:rFonts w:ascii="Times New Roman" w:hAnsi="Times New Roman" w:eastAsia="Times New Roman"/>
          <w:b w:val="0"/>
          <w:i w:val="0"/>
          <w:sz w:val="24"/>
        </w:rPr>
        <w:t xml:space="preserve">. Apply temporal filtering to neighbors while retaining seeds. Retrieve </w:t>
      </w:r>
      <m:oMath xmlns:mml="http://www.w3.org/1998/Math/MathML">
        <m:r>
          <m:rPr>
            <m:sty m:val="p"/>
          </m:rPr>
          <m:t>Vec</m:t>
        </m:r>
        <m:r>
          <m:t>(q)</m:t>
        </m:r>
      </m:oMath>
      <w:r>
        <w:rPr>
          <w:rFonts w:ascii="Times New Roman" w:hAnsi="Times New Roman" w:eastAsia="Times New Roman"/>
          <w:b w:val="0"/>
          <w:i w:val="0"/>
          <w:sz w:val="24"/>
        </w:rPr>
        <w:t xml:space="preserve"> and </w:t>
      </w:r>
      <m:oMath xmlns:mml="http://www.w3.org/1998/Math/MathML">
        <m:r>
          <m:rPr>
            <m:sty m:val="p"/>
          </m:rPr>
          <m:t>Ent</m:t>
        </m:r>
        <m:r>
          <m:t>(U)</m:t>
        </m:r>
      </m:oMath>
      <w:r>
        <w:rPr>
          <w:rFonts w:ascii="Times New Roman" w:hAnsi="Times New Roman" w:eastAsia="Times New Roman"/>
          <w:b w:val="0"/>
          <w:i w:val="0"/>
          <w:sz w:val="24"/>
        </w:rPr>
        <w:t xml:space="preserve">, merge, and rank. For each ranked chunk, compute </w:t>
      </w:r>
      <m:oMath xmlns:mml="http://www.w3.org/1998/Math/MathML">
        <m:r>
          <m:t>R,F,G,S</m:t>
        </m:r>
      </m:oMath>
      <w:r>
        <w:rPr>
          <w:rFonts w:ascii="Times New Roman" w:hAnsi="Times New Roman" w:eastAsia="Times New Roman"/>
          <w:b w:val="0"/>
          <w:i w:val="0"/>
          <w:sz w:val="24"/>
        </w:rPr>
        <w:t xml:space="preserve">, then </w:t>
      </w:r>
      <m:oMath xmlns:mml="http://www.w3.org/1998/Math/MathML">
        <m:r>
          <m:t>τ</m:t>
        </m:r>
      </m:oMath>
      <w:r>
        <w:rPr>
          <w:rFonts w:ascii="Times New Roman" w:hAnsi="Times New Roman" w:eastAsia="Times New Roman"/>
          <w:b w:val="0"/>
          <w:i w:val="0"/>
          <w:sz w:val="24"/>
        </w:rPr>
        <w:t xml:space="preserve"> and </w:t>
      </w:r>
      <m:oMath xmlns:mml="http://www.w3.org/1998/Math/MathML">
        <m:r>
          <m:t>ρ</m:t>
        </m:r>
      </m:oMath>
      <w:r>
        <w:rPr>
          <w:rFonts w:ascii="Times New Roman" w:hAnsi="Times New Roman" w:eastAsia="Times New Roman"/>
          <w:b w:val="0"/>
          <w:i w:val="0"/>
          <w:sz w:val="24"/>
        </w:rPr>
        <w:t xml:space="preserve">. If the gate is on, keep only items with </w:t>
      </w:r>
      <m:oMath xmlns:mml="http://www.w3.org/1998/Math/MathML">
        <m:r>
          <m:t>ρ≤θ</m:t>
        </m:r>
      </m:oMath>
      <w:r>
        <w:rPr>
          <w:rFonts w:ascii="Times New Roman" w:hAnsi="Times New Roman" w:eastAsia="Times New Roman"/>
          <w:b w:val="0"/>
          <w:i w:val="0"/>
          <w:sz w:val="24"/>
        </w:rPr>
        <w:t xml:space="preserve">. If unknown CVEs are present, or the safe set is empty, or trusted text lacks query CVEs, return Abstain. Otherwise return </w:t>
      </w:r>
      <m:oMath xmlns:mml="http://www.w3.org/1998/Math/MathML">
        <m:r>
          <m:rPr>
            <m:sty m:val="p"/>
          </m:rPr>
          <m:t>Gen</m:t>
        </m:r>
        <m:r>
          <m:t>(q,</m:t>
        </m:r>
        <m:sSup>
          <m:e>
            <m:r>
              <m:t>E</m:t>
            </m:r>
          </m:e>
          <m:sup>
            <m:r>
              <m:t>*</m:t>
            </m:r>
          </m:sup>
        </m:sSup>
        <m:r>
          <m:t>)</m:t>
        </m:r>
      </m:oMath>
      <w:r>
        <w:rPr>
          <w:rFonts w:ascii="Times New Roman" w:hAnsi="Times New Roman" w:eastAsia="Times New Roman"/>
          <w:b w:val="0"/>
          <w:i w:val="0"/>
          <w:sz w:val="24"/>
        </w:rPr>
        <w:t xml:space="preserve"> with selected evidence attached.</w:t>
      </w:r>
    </w:p>
    <w:p>
      <w:pPr>
        <w:spacing w:after="160" w:line="360" w:lineRule="auto"/>
        <w:ind w:firstLine="425"/>
      </w:pPr>
      <w:r>
        <w:rPr>
          <w:rFonts w:ascii="Times New Roman" w:hAnsi="Times New Roman" w:eastAsia="Times New Roman"/>
          <w:b w:val="0"/>
          <w:i w:val="0"/>
          <w:sz w:val="24"/>
        </w:rPr>
        <w:t xml:space="preserve">Generation in the research prototype is evidence-constrained synthesis over the trusted set rather than unconstrained open generation. That design choice keeps the scientific focus on retrieval control. Stronger generators can be substituted later without changing the gate semantics, provided they consume only </w:t>
      </w:r>
      <m:oMath xmlns:mml="http://www.w3.org/1998/Math/MathML">
        <m:sSup>
          <m:e>
            <m:r>
              <m:t>E</m:t>
            </m:r>
          </m:e>
          <m:sup>
            <m:r>
              <m:t>*</m:t>
            </m:r>
          </m:sup>
        </m:sSup>
      </m:oMath>
      <w:r>
        <w:rPr>
          <w:rFonts w:ascii="Times New Roman" w:hAnsi="Times New Roman" w:eastAsia="Times New Roman"/>
          <w:b w:val="0"/>
          <w:i w:val="0"/>
          <w:sz w:val="24"/>
        </w:rPr>
        <w:t>.</w:t>
      </w:r>
    </w:p>
    <w:p>
      <w:pPr>
        <w:pStyle w:val="Heading2"/>
      </w:pPr>
      <w:r>
        <w:rPr>
          <w:rFonts w:ascii="Times New Roman" w:hAnsi="Times New Roman" w:eastAsia="Times New Roman"/>
          <w:b/>
          <w:i w:val="0"/>
          <w:sz w:val="24"/>
        </w:rPr>
        <w:t>4.8. Design Rationale and Rejected Alternatives</w:t>
      </w:r>
    </w:p>
    <w:p>
      <w:pPr>
        <w:spacing w:after="160" w:line="360" w:lineRule="auto"/>
        <w:ind w:firstLine="425"/>
      </w:pPr>
      <w:r>
        <w:rPr>
          <w:rFonts w:ascii="Times New Roman" w:hAnsi="Times New Roman" w:eastAsia="Times New Roman"/>
          <w:b w:val="0"/>
          <w:i w:val="0"/>
          <w:sz w:val="24"/>
        </w:rPr>
        <w:t>Several alternatives were considered and rejected for the research prototype. A fully learned re-ranker was deferred because the seed corpus is too small to train without severe overfitting, and because SOC reviewers need visible ranking features. A single scalar LLM-as-judge score was rejected as the primary gate because it is hard to audit and easy to circularly validate. Hard-deleting historical CVEs by timestamp was rejected because operational questions about Log4Shell remain valid years later; freshness therefore softens trust rather than erasing seeds. Finally, forcing an answer whenever any passage is retrieved was rejected because that policy recreates the unsupported-identifier failure mode the work aims to reduce.</w:t>
      </w:r>
    </w:p>
    <w:p>
      <w:pPr>
        <w:pStyle w:val="Heading1"/>
      </w:pPr>
      <w:r>
        <w:rPr>
          <w:rFonts w:ascii="Times New Roman" w:hAnsi="Times New Roman" w:eastAsia="Times New Roman"/>
          <w:b/>
          <w:i w:val="0"/>
          <w:sz w:val="28"/>
        </w:rPr>
        <w:t>5. Experimental Setup</w:t>
      </w:r>
    </w:p>
    <w:p>
      <w:pPr>
        <w:pStyle w:val="Heading2"/>
      </w:pPr>
      <w:r>
        <w:rPr>
          <w:rFonts w:ascii="Times New Roman" w:hAnsi="Times New Roman" w:eastAsia="Times New Roman"/>
          <w:b/>
          <w:i w:val="0"/>
          <w:sz w:val="24"/>
        </w:rPr>
        <w:t>5.1. Dataset and Corpus</w:t>
      </w:r>
    </w:p>
    <w:p>
      <w:pPr>
        <w:spacing w:after="160" w:line="360" w:lineRule="auto"/>
        <w:ind w:firstLine="425"/>
      </w:pPr>
      <w:r>
        <w:rPr>
          <w:rFonts w:ascii="Times New Roman" w:hAnsi="Times New Roman" w:eastAsia="Times New Roman"/>
          <w:b w:val="0"/>
          <w:i w:val="0"/>
          <w:sz w:val="24"/>
        </w:rPr>
        <w:t xml:space="preserve">The evaluation uses </w:t>
      </w:r>
      <m:oMath xmlns:mml="http://www.w3.org/1998/Math/MathML">
        <m:r>
          <m:t>N=212</m:t>
        </m:r>
      </m:oMath>
      <w:r>
        <w:rPr>
          <w:rFonts w:ascii="Times New Roman" w:hAnsi="Times New Roman" w:eastAsia="Times New Roman"/>
          <w:b w:val="0"/>
          <w:i w:val="0"/>
          <w:sz w:val="24"/>
        </w:rPr>
        <w:t xml:space="preserve"> IDS/CTI question–answer items spanning Log4Shell (CVE-2021-44228), APT techniques, NIDS lateral movement, malware delivery chains, KEV prioritization, temporal and multi-hop items, graph-derived relation questions, gate-theory probes, and a large OOD abstain bank (</w:t>
      </w:r>
      <m:oMath xmlns:mml="http://www.w3.org/1998/Math/MathML">
        <m:r>
          <m:t>n=44</m:t>
        </m:r>
      </m:oMath>
      <w:r>
        <w:rPr>
          <w:rFonts w:ascii="Times New Roman" w:hAnsi="Times New Roman" w:eastAsia="Times New Roman"/>
          <w:b w:val="0"/>
          <w:i w:val="0"/>
          <w:sz w:val="24"/>
        </w:rPr>
        <w:t xml:space="preserve">). Items include gold answers and, where applicable, gold evidence IDs or gold entities. Live corpus scale at measurement: </w:t>
      </w:r>
      <m:oMath xmlns:mml="http://www.w3.org/1998/Math/MathML">
        <m:r>
          <m:t>N=212</m:t>
        </m:r>
      </m:oMath>
      <w:r>
        <w:rPr>
          <w:rFonts w:ascii="Times New Roman" w:hAnsi="Times New Roman" w:eastAsia="Times New Roman"/>
          <w:b w:val="0"/>
          <w:i w:val="0"/>
          <w:sz w:val="24"/>
        </w:rPr>
        <w:t xml:space="preserve">, </w:t>
      </w:r>
      <m:oMath xmlns:mml="http://www.w3.org/1998/Math/MathML">
        <m:r>
          <m:t>|𝒟|=106</m:t>
        </m:r>
      </m:oMath>
      <w:r>
        <w:rPr>
          <w:rFonts w:ascii="Times New Roman" w:hAnsi="Times New Roman" w:eastAsia="Times New Roman"/>
          <w:b w:val="0"/>
          <w:i w:val="0"/>
          <w:sz w:val="24"/>
        </w:rPr>
        <w:t xml:space="preserve">, </w:t>
      </w:r>
      <m:oMath xmlns:mml="http://www.w3.org/1998/Math/MathML">
        <m:r>
          <m:t>V=97</m:t>
        </m:r>
      </m:oMath>
      <w:r>
        <w:rPr>
          <w:rFonts w:ascii="Times New Roman" w:hAnsi="Times New Roman" w:eastAsia="Times New Roman"/>
          <w:b w:val="0"/>
          <w:i w:val="0"/>
          <w:sz w:val="24"/>
        </w:rPr>
        <w:t xml:space="preserve">, </w:t>
      </w:r>
      <m:oMath xmlns:mml="http://www.w3.org/1998/Math/MathML">
        <m:r>
          <m:t>E=123</m:t>
        </m:r>
      </m:oMath>
      <w:r>
        <w:rPr>
          <w:rFonts w:ascii="Times New Roman" w:hAnsi="Times New Roman" w:eastAsia="Times New Roman"/>
          <w:b w:val="0"/>
          <w:i w:val="0"/>
          <w:sz w:val="24"/>
        </w:rPr>
        <w:t>.</w:t>
      </w:r>
    </w:p>
    <w:p>
      <w:pPr>
        <w:pStyle w:val="Heading2"/>
      </w:pPr>
      <w:r>
        <w:rPr>
          <w:rFonts w:ascii="Times New Roman" w:hAnsi="Times New Roman" w:eastAsia="Times New Roman"/>
          <w:b/>
          <w:i w:val="0"/>
          <w:sz w:val="24"/>
        </w:rPr>
        <w:t>5.2. Baselines and Disclosure</w:t>
      </w:r>
    </w:p>
    <w:p>
      <w:pPr>
        <w:spacing w:after="160" w:line="360" w:lineRule="auto"/>
        <w:ind w:firstLine="425"/>
      </w:pPr>
      <w:r>
        <w:rPr>
          <w:rFonts w:ascii="Times New Roman" w:hAnsi="Times New Roman" w:eastAsia="Times New Roman"/>
          <w:b w:val="0"/>
          <w:i w:val="0"/>
          <w:sz w:val="24"/>
        </w:rPr>
        <w:t>Baselines run on the same store as thickened reference-family policies: flat RAG; GraphRAG-, LightRAG-, and HippoRAG-style reference-family policies; Self-RAG and Corrective-RAG policies; and full EDGR. Non-EDGR methods share evidence and graph resources where applicable but do not apply EDGR’s ρ-gate. They are research-faithful reference-family policies, not vendor codebases. This design isolates the effect of EDGR’s control contract under matched data access; it does not authorize claims of parity with published systems’ full engineering stacks.</w:t>
      </w:r>
    </w:p>
    <w:p>
      <w:pPr>
        <w:pStyle w:val="Heading2"/>
      </w:pPr>
      <w:r>
        <w:rPr>
          <w:rFonts w:ascii="Times New Roman" w:hAnsi="Times New Roman" w:eastAsia="Times New Roman"/>
          <w:b/>
          <w:i w:val="0"/>
          <w:sz w:val="24"/>
        </w:rPr>
        <w:t>5.3. Metrics and Statistics</w:t>
      </w:r>
    </w:p>
    <w:p>
      <w:pPr>
        <w:spacing w:after="160" w:line="360" w:lineRule="auto"/>
        <w:ind w:firstLine="425"/>
      </w:pPr>
      <w:r>
        <w:rPr>
          <w:rFonts w:ascii="Times New Roman" w:hAnsi="Times New Roman" w:eastAsia="Times New Roman"/>
          <w:b w:val="0"/>
          <w:i w:val="0"/>
          <w:sz w:val="24"/>
        </w:rPr>
        <w:t xml:space="preserve">Primary metric is Trusted Answer Score (TAS: answerable faithfulness + identifier safety + hard OOD abstain credit); lexical faithfulness </w:t>
      </w:r>
      <m:oMath xmlns:mml="http://www.w3.org/1998/Math/MathML">
        <m:r>
          <m:t>F</m:t>
        </m:r>
      </m:oMath>
      <w:r>
        <w:rPr>
          <w:rFonts w:ascii="Times New Roman" w:hAnsi="Times New Roman" w:eastAsia="Times New Roman"/>
          <w:b w:val="0"/>
          <w:i w:val="0"/>
          <w:sz w:val="24"/>
        </w:rPr>
        <w:t xml:space="preserve"> and </w:t>
      </w:r>
      <m:oMath xmlns:mml="http://www.w3.org/1998/Math/MathML">
        <m:r>
          <m:t>H=1−F</m:t>
        </m:r>
      </m:oMath>
      <w:r>
        <w:rPr>
          <w:rFonts w:ascii="Times New Roman" w:hAnsi="Times New Roman" w:eastAsia="Times New Roman"/>
          <w:b w:val="0"/>
          <w:i w:val="0"/>
          <w:sz w:val="24"/>
        </w:rPr>
        <w:t xml:space="preserve"> are secondary. Ranking quality is reported as P@</w:t>
      </w:r>
      <m:oMath xmlns:mml="http://www.w3.org/1998/Math/MathML">
        <m:r>
          <m:t>k</m:t>
        </m:r>
      </m:oMath>
      <w:r>
        <w:rPr>
          <w:rFonts w:ascii="Times New Roman" w:hAnsi="Times New Roman" w:eastAsia="Times New Roman"/>
          <w:b w:val="0"/>
          <w:i w:val="0"/>
          <w:sz w:val="24"/>
        </w:rPr>
        <w:t>, R@</w:t>
      </w:r>
      <m:oMath xmlns:mml="http://www.w3.org/1998/Math/MathML">
        <m:r>
          <m:t>k</m:t>
        </m:r>
      </m:oMath>
      <w:r>
        <w:rPr>
          <w:rFonts w:ascii="Times New Roman" w:hAnsi="Times New Roman" w:eastAsia="Times New Roman"/>
          <w:b w:val="0"/>
          <w:i w:val="0"/>
          <w:sz w:val="24"/>
        </w:rPr>
        <w:t xml:space="preserve">, and MRR against gold evidence IDs when available. Latency is wall-clock milliseconds on the prototype stack. Statistical analysis uses bootstrap percentile intervals with </w:t>
      </w:r>
      <m:oMath xmlns:mml="http://www.w3.org/1998/Math/MathML">
        <m:sSub>
          <m:e>
            <m:r>
              <m:t>n</m:t>
            </m:r>
          </m:e>
          <m:sub>
            <m:r>
              <m:rPr>
                <m:sty m:val="p"/>
              </m:rPr>
              <m:t>boot</m:t>
            </m:r>
          </m:sub>
        </m:sSub>
        <m:r>
          <m:t>=1000</m:t>
        </m:r>
      </m:oMath>
      <w:r>
        <w:rPr>
          <w:rFonts w:ascii="Times New Roman" w:hAnsi="Times New Roman" w:eastAsia="Times New Roman"/>
          <w:b w:val="0"/>
          <w:i w:val="0"/>
          <w:sz w:val="24"/>
        </w:rPr>
        <w:t xml:space="preserve"> and </w:t>
      </w:r>
      <m:oMath xmlns:mml="http://www.w3.org/1998/Math/MathML">
        <m:r>
          <m:t>α=0.05</m:t>
        </m:r>
      </m:oMath>
      <w:r>
        <w:rPr>
          <w:rFonts w:ascii="Times New Roman" w:hAnsi="Times New Roman" w:eastAsia="Times New Roman"/>
          <w:b w:val="0"/>
          <w:i w:val="0"/>
          <w:sz w:val="24"/>
        </w:rPr>
        <w:t>, paired comparisons of primary TAS and secondary faithfulness, and McNemar’s exact test on TAS</w:t>
      </w:r>
      <m:oMath xmlns:mml="http://www.w3.org/1998/Math/MathML">
        <m:r>
          <m:t>≥0.55</m:t>
        </m:r>
      </m:oMath>
      <w:r>
        <w:rPr>
          <w:rFonts w:ascii="Times New Roman" w:hAnsi="Times New Roman" w:eastAsia="Times New Roman"/>
          <w:b w:val="0"/>
          <w:i w:val="0"/>
          <w:sz w:val="24"/>
        </w:rPr>
        <w:t xml:space="preserve"> success derived from per-item thresholds. Dataset-level ablations disable one module at a time.</w:t>
      </w:r>
    </w:p>
    <w:p>
      <w:pPr>
        <w:pStyle w:val="Heading2"/>
      </w:pPr>
      <w:r>
        <w:rPr>
          <w:rFonts w:ascii="Times New Roman" w:hAnsi="Times New Roman" w:eastAsia="Times New Roman"/>
          <w:b/>
          <w:i w:val="0"/>
          <w:sz w:val="24"/>
        </w:rPr>
        <w:t>5.4. Hypotheses and Evidence Map</w:t>
      </w:r>
    </w:p>
    <w:p>
      <w:pPr>
        <w:spacing w:after="160" w:line="360" w:lineRule="auto"/>
      </w:pPr>
      <w:r>
        <w:rPr>
          <w:rFonts w:ascii="Times New Roman" w:hAnsi="Times New Roman" w:eastAsia="Times New Roman"/>
          <w:b w:val="0"/>
          <w:i w:val="0"/>
          <w:sz w:val="24"/>
        </w:rPr>
        <w:t>Each hypothesis is stated as a falsifiable claim and mapped to the figure/table that tests it. This map is the logical spine of Section 6–7.</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20"/>
              </w:rPr>
              <w:t>ID</w:t>
            </w:r>
          </w:p>
        </w:tc>
        <w:tc>
          <w:tcPr>
            <w:tcW w:type="dxa" w:w="2351"/>
          </w:tcPr>
          <w:p>
            <w:r/>
            <w:r>
              <w:rPr>
                <w:rFonts w:ascii="Times New Roman" w:hAnsi="Times New Roman" w:eastAsia="Times New Roman"/>
                <w:b/>
                <w:i w:val="0"/>
                <w:sz w:val="20"/>
              </w:rPr>
              <w:t>Claim (falsifiable)</w:t>
            </w:r>
          </w:p>
        </w:tc>
        <w:tc>
          <w:tcPr>
            <w:tcW w:type="dxa" w:w="2351"/>
          </w:tcPr>
          <w:p>
            <w:r/>
            <w:r>
              <w:rPr>
                <w:rFonts w:ascii="Times New Roman" w:hAnsi="Times New Roman" w:eastAsia="Times New Roman"/>
                <w:b/>
                <w:i w:val="0"/>
                <w:sz w:val="20"/>
              </w:rPr>
              <w:t>Primary evidence</w:t>
            </w:r>
          </w:p>
        </w:tc>
        <w:tc>
          <w:tcPr>
            <w:tcW w:type="dxa" w:w="2351"/>
          </w:tcPr>
          <w:p>
            <w:r/>
            <w:r>
              <w:rPr>
                <w:rFonts w:ascii="Times New Roman" w:hAnsi="Times New Roman" w:eastAsia="Times New Roman"/>
                <w:b/>
                <w:i w:val="0"/>
                <w:sz w:val="20"/>
              </w:rPr>
              <w:t>Decision rule</w:t>
            </w:r>
          </w:p>
        </w:tc>
      </w:tr>
      <w:tr>
        <w:tc>
          <w:tcPr>
            <w:tcW w:type="dxa" w:w="2351"/>
          </w:tcPr>
          <w:p>
            <w:r/>
            <w:r>
              <w:rPr>
                <w:rFonts w:ascii="Times New Roman" w:hAnsi="Times New Roman" w:eastAsia="Times New Roman"/>
                <w:b w:val="0"/>
                <w:i w:val="0"/>
                <w:sz w:val="20"/>
              </w:rPr>
              <w:t>H1</w:t>
            </w:r>
          </w:p>
        </w:tc>
        <w:tc>
          <w:tcPr>
            <w:tcW w:type="dxa" w:w="2351"/>
          </w:tcPr>
          <w:p>
            <w:r/>
            <w:r>
              <w:rPr>
                <w:rFonts w:ascii="Times New Roman" w:hAnsi="Times New Roman" w:eastAsia="Times New Roman"/>
                <w:b w:val="0"/>
                <w:i w:val="0"/>
                <w:sz w:val="20"/>
              </w:rPr>
              <w:t>mean F(EDGR) &gt; mean F(RAG), same store</w:t>
            </w:r>
          </w:p>
        </w:tc>
        <w:tc>
          <w:tcPr>
            <w:tcW w:type="dxa" w:w="2351"/>
          </w:tcPr>
          <w:p>
            <w:r/>
            <w:r>
              <w:rPr>
                <w:rFonts w:ascii="Times New Roman" w:hAnsi="Times New Roman" w:eastAsia="Times New Roman"/>
                <w:b w:val="0"/>
                <w:i w:val="0"/>
                <w:sz w:val="20"/>
              </w:rPr>
              <w:t>Table 1; Fig. 2; Fig. 4 (paired Δ CI)</w:t>
            </w:r>
          </w:p>
        </w:tc>
        <w:tc>
          <w:tcPr>
            <w:tcW w:type="dxa" w:w="2351"/>
          </w:tcPr>
          <w:p>
            <w:r/>
            <w:r>
              <w:rPr>
                <w:rFonts w:ascii="Times New Roman" w:hAnsi="Times New Roman" w:eastAsia="Times New Roman"/>
                <w:b w:val="0"/>
                <w:i w:val="0"/>
                <w:sz w:val="20"/>
              </w:rPr>
              <w:t>Support if Δ CI excludes 0</w:t>
            </w:r>
          </w:p>
        </w:tc>
      </w:tr>
      <w:tr>
        <w:tc>
          <w:tcPr>
            <w:tcW w:type="dxa" w:w="2351"/>
          </w:tcPr>
          <w:p>
            <w:r/>
            <w:r>
              <w:rPr>
                <w:rFonts w:ascii="Times New Roman" w:hAnsi="Times New Roman" w:eastAsia="Times New Roman"/>
                <w:b w:val="0"/>
                <w:i w:val="0"/>
                <w:sz w:val="20"/>
              </w:rPr>
              <w:t>H2</w:t>
            </w:r>
          </w:p>
        </w:tc>
        <w:tc>
          <w:tcPr>
            <w:tcW w:type="dxa" w:w="2351"/>
          </w:tcPr>
          <w:p>
            <w:r/>
            <w:r>
              <w:rPr>
                <w:rFonts w:ascii="Times New Roman" w:hAnsi="Times New Roman" w:eastAsia="Times New Roman"/>
                <w:b w:val="0"/>
                <w:i w:val="0"/>
                <w:sz w:val="20"/>
              </w:rPr>
              <w:t>OOD CVE queries → abstain (no invented dossier)</w:t>
            </w:r>
          </w:p>
        </w:tc>
        <w:tc>
          <w:tcPr>
            <w:tcW w:type="dxa" w:w="2351"/>
          </w:tcPr>
          <w:p>
            <w:r/>
            <w:r>
              <w:rPr>
                <w:rFonts w:ascii="Times New Roman" w:hAnsi="Times New Roman" w:eastAsia="Times New Roman"/>
                <w:b w:val="0"/>
                <w:i w:val="0"/>
                <w:sz w:val="20"/>
              </w:rPr>
              <w:t>Category OOD=1.0; case §6.4</w:t>
            </w:r>
          </w:p>
        </w:tc>
        <w:tc>
          <w:tcPr>
            <w:tcW w:type="dxa" w:w="2351"/>
          </w:tcPr>
          <w:p>
            <w:r/>
            <w:r>
              <w:rPr>
                <w:rFonts w:ascii="Times New Roman" w:hAnsi="Times New Roman" w:eastAsia="Times New Roman"/>
                <w:b w:val="0"/>
                <w:i w:val="0"/>
                <w:sz w:val="20"/>
              </w:rPr>
              <w:t>Support if gate refuses unsupported CVE</w:t>
            </w:r>
          </w:p>
        </w:tc>
      </w:tr>
      <w:tr>
        <w:tc>
          <w:tcPr>
            <w:tcW w:type="dxa" w:w="2351"/>
          </w:tcPr>
          <w:p>
            <w:r/>
            <w:r>
              <w:rPr>
                <w:rFonts w:ascii="Times New Roman" w:hAnsi="Times New Roman" w:eastAsia="Times New Roman"/>
                <w:b w:val="0"/>
                <w:i w:val="0"/>
                <w:sz w:val="20"/>
              </w:rPr>
              <w:t>H3</w:t>
            </w:r>
          </w:p>
        </w:tc>
        <w:tc>
          <w:tcPr>
            <w:tcW w:type="dxa" w:w="2351"/>
          </w:tcPr>
          <w:p>
            <w:r/>
            <w:r>
              <w:rPr>
                <w:rFonts w:ascii="Times New Roman" w:hAnsi="Times New Roman" w:eastAsia="Times New Roman"/>
                <w:b w:val="0"/>
                <w:i w:val="0"/>
                <w:sz w:val="20"/>
              </w:rPr>
              <w:t>Removing graph (or trust/gate) lowers mean F</w:t>
            </w:r>
          </w:p>
        </w:tc>
        <w:tc>
          <w:tcPr>
            <w:tcW w:type="dxa" w:w="2351"/>
          </w:tcPr>
          <w:p>
            <w:r/>
            <w:r>
              <w:rPr>
                <w:rFonts w:ascii="Times New Roman" w:hAnsi="Times New Roman" w:eastAsia="Times New Roman"/>
                <w:b w:val="0"/>
                <w:i w:val="0"/>
                <w:sz w:val="20"/>
              </w:rPr>
              <w:t>Table 3; Fig. 3</w:t>
            </w:r>
          </w:p>
        </w:tc>
        <w:tc>
          <w:tcPr>
            <w:tcW w:type="dxa" w:w="2351"/>
          </w:tcPr>
          <w:p>
            <w:r/>
            <w:r>
              <w:rPr>
                <w:rFonts w:ascii="Times New Roman" w:hAnsi="Times New Roman" w:eastAsia="Times New Roman"/>
                <w:b w:val="0"/>
                <w:i w:val="0"/>
                <w:sz w:val="20"/>
              </w:rPr>
              <w:t>Support if Δ_graph ≪ 0 with separated CIs</w:t>
            </w:r>
          </w:p>
        </w:tc>
      </w:tr>
      <w:tr>
        <w:tc>
          <w:tcPr>
            <w:tcW w:type="dxa" w:w="2351"/>
          </w:tcPr>
          <w:p>
            <w:r/>
            <w:r>
              <w:rPr>
                <w:rFonts w:ascii="Times New Roman" w:hAnsi="Times New Roman" w:eastAsia="Times New Roman"/>
                <w:b w:val="0"/>
                <w:i w:val="0"/>
                <w:sz w:val="20"/>
              </w:rPr>
              <w:t>H4</w:t>
            </w:r>
          </w:p>
        </w:tc>
        <w:tc>
          <w:tcPr>
            <w:tcW w:type="dxa" w:w="2351"/>
          </w:tcPr>
          <w:p>
            <w:r/>
            <w:r>
              <w:rPr>
                <w:rFonts w:ascii="Times New Roman" w:hAnsi="Times New Roman" w:eastAsia="Times New Roman"/>
                <w:b w:val="0"/>
                <w:i w:val="0"/>
                <w:sz w:val="20"/>
              </w:rPr>
              <w:t>Same seed+config → same tables</w:t>
            </w:r>
          </w:p>
        </w:tc>
        <w:tc>
          <w:tcPr>
            <w:tcW w:type="dxa" w:w="2351"/>
          </w:tcPr>
          <w:p>
            <w:r/>
            <w:r>
              <w:rPr>
                <w:rFonts w:ascii="Times New Roman" w:hAnsi="Times New Roman" w:eastAsia="Times New Roman"/>
                <w:b w:val="0"/>
                <w:i w:val="0"/>
                <w:sz w:val="20"/>
              </w:rPr>
              <w:t>Re-run checklist §7.6</w:t>
            </w:r>
          </w:p>
        </w:tc>
        <w:tc>
          <w:tcPr>
            <w:tcW w:type="dxa" w:w="2351"/>
          </w:tcPr>
          <w:p>
            <w:r/>
            <w:r>
              <w:rPr>
                <w:rFonts w:ascii="Times New Roman" w:hAnsi="Times New Roman" w:eastAsia="Times New Roman"/>
                <w:b w:val="0"/>
                <w:i w:val="0"/>
                <w:sz w:val="20"/>
              </w:rPr>
              <w:t>Support if point estimates stable</w:t>
            </w:r>
          </w:p>
        </w:tc>
      </w:tr>
    </w:tbl>
    <w:p/>
    <w:p>
      <w:pPr>
        <w:spacing w:after="160" w:line="360" w:lineRule="auto"/>
      </w:pPr>
      <w:r>
        <w:rPr>
          <w:rFonts w:ascii="Times New Roman" w:hAnsi="Times New Roman" w:eastAsia="Times New Roman"/>
          <w:b w:val="0"/>
          <w:i w:val="0"/>
          <w:sz w:val="20"/>
        </w:rPr>
        <w:t>Table H. Hypothesis–evidence map used throughout the results narrative.</w:t>
      </w:r>
    </w:p>
    <w:p>
      <w:pPr>
        <w:spacing w:after="160" w:line="360" w:lineRule="auto"/>
        <w:ind w:firstLine="425"/>
      </w:pPr>
      <w:r>
        <w:rPr>
          <w:rFonts w:ascii="Times New Roman" w:hAnsi="Times New Roman" w:eastAsia="Times New Roman"/>
          <w:b w:val="0"/>
          <w:i w:val="0"/>
          <w:sz w:val="24"/>
        </w:rPr>
        <w:t>H1: mean faithfulness of EDGR exceeds flat RAG on the same store. H2: on OOD CVE queries, EDGR abstains. H3: disabling graph expansion reduces dataset-mean faithfulness relative to full EDGR. H4: identical seed and configuration reproduce the metric tables. Significant McNemar tests on TAS success are reported alongside continuous CIs; lexical-</w:t>
      </w:r>
      <m:oMath xmlns:mml="http://www.w3.org/1998/Math/MathML">
        <m:r>
          <m:t>F</m:t>
        </m:r>
      </m:oMath>
      <w:r>
        <w:rPr>
          <w:rFonts w:ascii="Times New Roman" w:hAnsi="Times New Roman" w:eastAsia="Times New Roman"/>
          <w:b w:val="0"/>
          <w:i w:val="0"/>
          <w:sz w:val="24"/>
        </w:rPr>
        <w:t xml:space="preserve"> rankings that favor ungated stubs are retained as construct warnings; they do not override H1’s continuous-margin evidence, but they bound how strongly binary superiority may be claimed.</w:t>
      </w:r>
    </w:p>
    <w:p>
      <w:pPr>
        <w:pStyle w:val="Heading2"/>
      </w:pPr>
      <w:r>
        <w:rPr>
          <w:rFonts w:ascii="Times New Roman" w:hAnsi="Times New Roman" w:eastAsia="Times New Roman"/>
          <w:b/>
          <w:i w:val="0"/>
          <w:sz w:val="24"/>
        </w:rPr>
        <w:t>5.5. Procedure</w:t>
      </w:r>
    </w:p>
    <w:p>
      <w:pPr>
        <w:spacing w:after="160" w:line="360" w:lineRule="auto"/>
        <w:ind w:firstLine="425"/>
      </w:pPr>
      <w:r>
        <w:rPr>
          <w:rFonts w:ascii="Times New Roman" w:hAnsi="Times New Roman" w:eastAsia="Times New Roman"/>
          <w:b w:val="0"/>
          <w:i w:val="0"/>
          <w:sz w:val="24"/>
        </w:rPr>
        <w:t>Each reported table comes from a live run of the prototype evaluation services against the loaded seed. Full EDGR evaluation iterates all fifty-four QA items, records faithfulness, hallucination rate, ranking metrics, and latency, then aggregates means and category breakdowns. Dataset-mean comparison iterates non-OOD items for each method family, collecting per-item faithfulness and computing bootstrap intervals. Ablations iterate the same non-OOD subset under each disabled module. Paired EDGR–RAG statistics compute per-item deltas and McNemar discordant counts. Human-evaluation κ is computed from the live-system dual panel under the published rubric.</w:t>
      </w:r>
    </w:p>
    <w:p>
      <w:pPr>
        <w:spacing w:after="160" w:line="360" w:lineRule="auto"/>
        <w:ind w:firstLine="425"/>
      </w:pPr>
      <w:r>
        <w:rPr>
          <w:rFonts w:ascii="Times New Roman" w:hAnsi="Times New Roman" w:eastAsia="Times New Roman"/>
          <w:b w:val="0"/>
          <w:i w:val="0"/>
          <w:sz w:val="24"/>
        </w:rPr>
        <w:t xml:space="preserve">Randomness in the research stack is limited; bootstrap resampling is the main stochastic component in interval estimation. When live enrichment of external CVE feeds is enabled, timestamps and chunk inventory can drift between long sessions. The tables in this manuscript correspond to a fixed measurement window with health-check scale </w:t>
      </w:r>
      <m:oMath xmlns:mml="http://www.w3.org/1998/Math/MathML">
        <m:r>
          <m:t>N=212</m:t>
        </m:r>
      </m:oMath>
      <w:r>
        <w:rPr>
          <w:rFonts w:ascii="Times New Roman" w:hAnsi="Times New Roman" w:eastAsia="Times New Roman"/>
          <w:b w:val="0"/>
          <w:i w:val="0"/>
          <w:sz w:val="24"/>
        </w:rPr>
        <w:t xml:space="preserve">, </w:t>
      </w:r>
      <m:oMath xmlns:mml="http://www.w3.org/1998/Math/MathML">
        <m:r>
          <m:t>|𝒟|=106</m:t>
        </m:r>
      </m:oMath>
      <w:r>
        <w:rPr>
          <w:rFonts w:ascii="Times New Roman" w:hAnsi="Times New Roman" w:eastAsia="Times New Roman"/>
          <w:b w:val="0"/>
          <w:i w:val="0"/>
          <w:sz w:val="24"/>
        </w:rPr>
        <w:t xml:space="preserve">, </w:t>
      </w:r>
      <m:oMath xmlns:mml="http://www.w3.org/1998/Math/MathML">
        <m:r>
          <m:t>V=97</m:t>
        </m:r>
      </m:oMath>
      <w:r>
        <w:rPr>
          <w:rFonts w:ascii="Times New Roman" w:hAnsi="Times New Roman" w:eastAsia="Times New Roman"/>
          <w:b w:val="0"/>
          <w:i w:val="0"/>
          <w:sz w:val="24"/>
        </w:rPr>
        <w:t xml:space="preserve">, </w:t>
      </w:r>
      <m:oMath xmlns:mml="http://www.w3.org/1998/Math/MathML">
        <m:r>
          <m:t>E=123</m:t>
        </m:r>
      </m:oMath>
      <w:r>
        <w:rPr>
          <w:rFonts w:ascii="Times New Roman" w:hAnsi="Times New Roman" w:eastAsia="Times New Roman"/>
          <w:b w:val="0"/>
          <w:i w:val="0"/>
          <w:sz w:val="24"/>
        </w:rPr>
        <w:t>. Re-runs after enrichment may shift point estimates slightly; the qualitative ordering versus flat RAG and the graph ablation direction have been stable across repeated prototype runs.</w:t>
      </w:r>
    </w:p>
    <w:p>
      <w:pPr>
        <w:pStyle w:val="Heading1"/>
      </w:pPr>
      <w:r>
        <w:rPr>
          <w:rFonts w:ascii="Times New Roman" w:hAnsi="Times New Roman" w:eastAsia="Times New Roman"/>
          <w:b/>
          <w:i w:val="0"/>
          <w:sz w:val="28"/>
        </w:rPr>
        <w:t>6. Results: Claims, Evidence, and Interpretation</w:t>
      </w:r>
    </w:p>
    <w:p>
      <w:pPr>
        <w:spacing w:after="160" w:line="360" w:lineRule="auto"/>
      </w:pPr>
      <w:r>
        <w:rPr>
          <w:rFonts w:ascii="Times New Roman" w:hAnsi="Times New Roman" w:eastAsia="Times New Roman"/>
          <w:b w:val="0"/>
          <w:i w:val="0"/>
          <w:sz w:val="24"/>
        </w:rPr>
        <w:t>Results are presented as an argument chain rather than a flat dump of numbers. For each major claim we state the claim, show the evidence (table/figure), interpret what the evidence warrants, and note what it does not warrant. Citations to prior art anchor why the comparison is scientifically meaningful [1–8]; CTI ontology references anchor why relational structure matters [9–12].</w:t>
      </w:r>
    </w:p>
    <w:p>
      <w:pPr>
        <w:pStyle w:val="Heading2"/>
      </w:pPr>
      <w:r>
        <w:rPr>
          <w:rFonts w:ascii="Times New Roman" w:hAnsi="Times New Roman" w:eastAsia="Times New Roman"/>
          <w:b/>
          <w:i w:val="0"/>
          <w:sz w:val="24"/>
        </w:rPr>
        <w:t>6.1. Evidence A — Primary TAS Ranking Supports H1 (Lexical F Secondary)</w:t>
      </w:r>
    </w:p>
    <w:p>
      <w:pPr>
        <w:spacing w:after="160" w:line="360" w:lineRule="auto"/>
        <w:ind w:firstLine="425"/>
      </w:pPr>
      <w:r>
        <w:rPr>
          <w:rFonts w:ascii="Times New Roman" w:hAnsi="Times New Roman" w:eastAsia="Times New Roman"/>
          <w:b w:val="0"/>
          <w:i w:val="0"/>
          <w:sz w:val="24"/>
        </w:rPr>
        <w:t>Claim A. Under matched access to the same evidence store, EDGR’s primary Trusted Answer Score (TAS) exceeds classical flat RAG [1] and ranks above thickened reference-family policies; lexical faithfulness alone is secondary and may favor ungated stubs.</w:t>
      </w:r>
    </w:p>
    <w:p>
      <w:pPr>
        <w:spacing w:after="160" w:line="360" w:lineRule="auto"/>
        <w:ind w:firstLine="425"/>
      </w:pPr>
      <w:r>
        <w:rPr>
          <w:rFonts w:ascii="Times New Roman" w:hAnsi="Times New Roman" w:eastAsia="Times New Roman"/>
          <w:b w:val="0"/>
          <w:i w:val="0"/>
          <w:sz w:val="24"/>
        </w:rPr>
        <w:t xml:space="preserve">Evidence A. Table 1 and Figure 2 report primary TAS over </w:t>
      </w:r>
      <m:oMath xmlns:mml="http://www.w3.org/1998/Math/MathML">
        <m:r>
          <m:t>N=212</m:t>
        </m:r>
      </m:oMath>
      <w:r>
        <w:rPr>
          <w:rFonts w:ascii="Times New Roman" w:hAnsi="Times New Roman" w:eastAsia="Times New Roman"/>
          <w:b w:val="0"/>
          <w:i w:val="0"/>
          <w:sz w:val="24"/>
        </w:rPr>
        <w:t xml:space="preserve"> (including OOD) and secondary lexical </w:t>
      </w:r>
      <m:oMath xmlns:mml="http://www.w3.org/1998/Math/MathML">
        <m:r>
          <m:t>F</m:t>
        </m:r>
      </m:oMath>
      <w:r>
        <w:rPr>
          <w:rFonts w:ascii="Times New Roman" w:hAnsi="Times New Roman" w:eastAsia="Times New Roman"/>
          <w:b w:val="0"/>
          <w:i w:val="0"/>
          <w:sz w:val="24"/>
        </w:rPr>
        <w:t xml:space="preserve"> on </w:t>
      </w:r>
      <m:oMath xmlns:mml="http://www.w3.org/1998/Math/MathML">
        <m:r>
          <m:t>n=168</m:t>
        </m:r>
      </m:oMath>
      <w:r>
        <w:rPr>
          <w:rFonts w:ascii="Times New Roman" w:hAnsi="Times New Roman" w:eastAsia="Times New Roman"/>
          <w:b w:val="0"/>
          <w:i w:val="0"/>
          <w:sz w:val="24"/>
        </w:rPr>
        <w:t xml:space="preserve"> answerable items. EDGR: TAS </w:t>
      </w:r>
      <m:oMath xmlns:mml="http://www.w3.org/1998/Math/MathML">
        <m:r>
          <m:t>=0.752</m:t>
        </m:r>
      </m:oMath>
      <w:r>
        <w:rPr>
          <w:rFonts w:ascii="Times New Roman" w:hAnsi="Times New Roman" w:eastAsia="Times New Roman"/>
          <w:b w:val="0"/>
          <w:i w:val="0"/>
          <w:sz w:val="24"/>
        </w:rPr>
        <w:t xml:space="preserve"> </w:t>
      </w:r>
      <m:oMath xmlns:mml="http://www.w3.org/1998/Math/MathML">
        <m:r>
          <m:t>[0.732,0.772]</m:t>
        </m:r>
      </m:oMath>
      <w:r>
        <w:rPr>
          <w:rFonts w:ascii="Times New Roman" w:hAnsi="Times New Roman" w:eastAsia="Times New Roman"/>
          <w:b w:val="0"/>
          <w:i w:val="0"/>
          <w:sz w:val="24"/>
        </w:rPr>
        <w:t xml:space="preserve">, </w:t>
      </w:r>
      <m:oMath xmlns:mml="http://www.w3.org/1998/Math/MathML">
        <m:r>
          <m:t>F=0.523</m:t>
        </m:r>
      </m:oMath>
      <w:r>
        <w:rPr>
          <w:rFonts w:ascii="Times New Roman" w:hAnsi="Times New Roman" w:eastAsia="Times New Roman"/>
          <w:b w:val="0"/>
          <w:i w:val="0"/>
          <w:sz w:val="24"/>
        </w:rPr>
        <w:t xml:space="preserve"> </w:t>
      </w:r>
      <m:oMath xmlns:mml="http://www.w3.org/1998/Math/MathML">
        <m:r>
          <m:t>[0.499,0.547]</m:t>
        </m:r>
      </m:oMath>
      <w:r>
        <w:rPr>
          <w:rFonts w:ascii="Times New Roman" w:hAnsi="Times New Roman" w:eastAsia="Times New Roman"/>
          <w:b w:val="0"/>
          <w:i w:val="0"/>
          <w:sz w:val="24"/>
        </w:rPr>
        <w:t xml:space="preserve">. RAG: TAS </w:t>
      </w:r>
      <m:oMath xmlns:mml="http://www.w3.org/1998/Math/MathML">
        <m:r>
          <m:t>=0.521</m:t>
        </m:r>
      </m:oMath>
      <w:r>
        <w:rPr>
          <w:rFonts w:ascii="Times New Roman" w:hAnsi="Times New Roman" w:eastAsia="Times New Roman"/>
          <w:b w:val="0"/>
          <w:i w:val="0"/>
          <w:sz w:val="24"/>
        </w:rPr>
        <w:t xml:space="preserve">, </w:t>
      </w:r>
      <m:oMath xmlns:mml="http://www.w3.org/1998/Math/MathML">
        <m:r>
          <m:t>F=0.438</m:t>
        </m:r>
      </m:oMath>
      <w:r>
        <w:rPr>
          <w:rFonts w:ascii="Times New Roman" w:hAnsi="Times New Roman" w:eastAsia="Times New Roman"/>
          <w:b w:val="0"/>
          <w:i w:val="0"/>
          <w:sz w:val="24"/>
        </w:rPr>
        <w:t xml:space="preserve">. LightRAG reference-family [5]: TAS </w:t>
      </w:r>
      <m:oMath xmlns:mml="http://www.w3.org/1998/Math/MathML">
        <m:r>
          <m:t>=0.610</m:t>
        </m:r>
      </m:oMath>
      <w:r>
        <w:rPr>
          <w:rFonts w:ascii="Times New Roman" w:hAnsi="Times New Roman" w:eastAsia="Times New Roman"/>
          <w:b w:val="0"/>
          <w:i w:val="0"/>
          <w:sz w:val="24"/>
        </w:rPr>
        <w:t xml:space="preserve"> but lexical </w:t>
      </w:r>
      <m:oMath xmlns:mml="http://www.w3.org/1998/Math/MathML">
        <m:r>
          <m:t>F=0.679</m:t>
        </m:r>
      </m:oMath>
      <w:r>
        <w:rPr>
          <w:rFonts w:ascii="Times New Roman" w:hAnsi="Times New Roman" w:eastAsia="Times New Roman"/>
          <w:b w:val="0"/>
          <w:i w:val="0"/>
          <w:sz w:val="24"/>
        </w:rPr>
        <w:t xml:space="preserve">†—higher </w:t>
      </w:r>
      <m:oMath xmlns:mml="http://www.w3.org/1998/Math/MathML">
        <m:r>
          <m:t>F</m:t>
        </m:r>
      </m:oMath>
      <w:r>
        <w:rPr>
          <w:rFonts w:ascii="Times New Roman" w:hAnsi="Times New Roman" w:eastAsia="Times New Roman"/>
          <w:b w:val="0"/>
          <w:i w:val="0"/>
          <w:sz w:val="24"/>
        </w:rPr>
        <w:t xml:space="preserve">, lower TAS—because ungated policies score </w:t>
      </w:r>
      <m:oMath xmlns:mml="http://www.w3.org/1998/Math/MathML">
        <m:r>
          <m:t>0.0</m:t>
        </m:r>
      </m:oMath>
      <w:r>
        <w:rPr>
          <w:rFonts w:ascii="Times New Roman" w:hAnsi="Times New Roman" w:eastAsia="Times New Roman"/>
          <w:b w:val="0"/>
          <w:i w:val="0"/>
          <w:sz w:val="24"/>
        </w:rPr>
        <w:t xml:space="preserve"> on the OOD safety stratum while EDGR scores </w:t>
      </w:r>
      <m:oMath xmlns:mml="http://www.w3.org/1998/Math/MathML">
        <m:r>
          <m:t>1.0</m:t>
        </m:r>
      </m:oMath>
      <w:r>
        <w:rPr>
          <w:rFonts w:ascii="Times New Roman" w:hAnsi="Times New Roman" w:eastAsia="Times New Roman"/>
          <w:b w:val="0"/>
          <w:i w:val="0"/>
          <w:sz w:val="24"/>
        </w:rPr>
        <w:t xml:space="preserve"> (</w:t>
      </w:r>
      <m:oMath xmlns:mml="http://www.w3.org/1998/Math/MathML">
        <m:r>
          <m:t>n=44</m:t>
        </m:r>
      </m:oMath>
      <w:r>
        <w:rPr>
          <w:rFonts w:ascii="Times New Roman" w:hAnsi="Times New Roman" w:eastAsia="Times New Roman"/>
          <w:b w:val="0"/>
          <w:i w:val="0"/>
          <w:sz w:val="24"/>
        </w:rPr>
        <w:t>). HippoRAG/GraphRAG/Self-RAG/CRAG reference-family policies [4,6–8] trail on TAS. The dual-column table is retained deliberately so reviewers see both scoreboards.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Times New Roman"/>
                <w:b/>
                <w:i w:val="0"/>
                <w:sz w:val="20"/>
              </w:rPr>
              <w:t>Method</w:t>
            </w:r>
          </w:p>
        </w:tc>
        <w:tc>
          <w:tcPr>
            <w:tcW w:type="dxa" w:w="1568"/>
          </w:tcPr>
          <w:p>
            <w:r/>
            <w:r>
              <w:rPr>
                <w:rFonts w:ascii="Times New Roman" w:hAnsi="Times New Roman" w:eastAsia="Times New Roman"/>
                <w:b/>
                <w:i w:val="0"/>
                <w:sz w:val="20"/>
              </w:rPr>
              <w:t>TAS ↑</w:t>
            </w:r>
          </w:p>
        </w:tc>
        <w:tc>
          <w:tcPr>
            <w:tcW w:type="dxa" w:w="1568"/>
          </w:tcPr>
          <w:p>
            <w:r/>
            <w:r>
              <w:rPr>
                <w:rFonts w:ascii="Times New Roman" w:hAnsi="Times New Roman" w:eastAsia="Times New Roman"/>
                <w:b/>
                <w:i w:val="0"/>
                <w:sz w:val="20"/>
              </w:rPr>
              <w:t>95% CI (TAS)</w:t>
            </w:r>
          </w:p>
        </w:tc>
        <w:tc>
          <w:tcPr>
            <w:tcW w:type="dxa" w:w="1568"/>
          </w:tcPr>
          <w:p>
            <w:r/>
            <w:r>
              <w:rPr>
                <w:rFonts w:ascii="Times New Roman" w:hAnsi="Times New Roman" w:eastAsia="Times New Roman"/>
                <w:b/>
                <w:i w:val="0"/>
                <w:sz w:val="20"/>
              </w:rPr>
              <w:t>Lex. F ↑</w:t>
            </w:r>
          </w:p>
        </w:tc>
        <w:tc>
          <w:tcPr>
            <w:tcW w:type="dxa" w:w="1568"/>
          </w:tcPr>
          <w:p>
            <w:r/>
            <w:r>
              <w:rPr>
                <w:rFonts w:ascii="Times New Roman" w:hAnsi="Times New Roman" w:eastAsia="Times New Roman"/>
                <w:b/>
                <w:i w:val="0"/>
                <w:sz w:val="20"/>
              </w:rPr>
              <w:t>OOD TAS</w:t>
            </w:r>
          </w:p>
        </w:tc>
        <w:tc>
          <w:tcPr>
            <w:tcW w:type="dxa" w:w="1568"/>
          </w:tcPr>
          <w:p>
            <w:r/>
            <w:r>
              <w:rPr>
                <w:rFonts w:ascii="Times New Roman" w:hAnsi="Times New Roman" w:eastAsia="Times New Roman"/>
                <w:b/>
                <w:i w:val="0"/>
                <w:sz w:val="20"/>
              </w:rPr>
              <w:t>Reads as</w:t>
            </w:r>
          </w:p>
        </w:tc>
      </w:tr>
      <w:tr>
        <w:tc>
          <w:tcPr>
            <w:tcW w:type="dxa" w:w="1568"/>
          </w:tcPr>
          <w:p>
            <w:r/>
            <w:r>
              <w:rPr>
                <w:rFonts w:ascii="Times New Roman" w:hAnsi="Times New Roman" w:eastAsia="Times New Roman"/>
                <w:b w:val="0"/>
                <w:i w:val="0"/>
                <w:sz w:val="20"/>
              </w:rPr>
              <w:t>RAG [1]</w:t>
            </w:r>
          </w:p>
        </w:tc>
        <w:tc>
          <w:tcPr>
            <w:tcW w:type="dxa" w:w="1568"/>
          </w:tcPr>
          <w:p>
            <w:r/>
            <w:r>
              <w:rPr>
                <w:rFonts w:ascii="Times New Roman" w:hAnsi="Times New Roman" w:eastAsia="Times New Roman"/>
                <w:b w:val="0"/>
                <w:i w:val="0"/>
                <w:sz w:val="20"/>
              </w:rPr>
              <w:t>0.521</w:t>
            </w:r>
          </w:p>
        </w:tc>
        <w:tc>
          <w:tcPr>
            <w:tcW w:type="dxa" w:w="1568"/>
          </w:tcPr>
          <w:p>
            <w:r/>
            <w:r>
              <w:rPr>
                <w:rFonts w:ascii="Times New Roman" w:hAnsi="Times New Roman" w:eastAsia="Times New Roman"/>
                <w:b w:val="0"/>
                <w:i w:val="0"/>
                <w:sz w:val="20"/>
              </w:rPr>
              <w:t>[0.485, 0.556]</w:t>
            </w:r>
          </w:p>
        </w:tc>
        <w:tc>
          <w:tcPr>
            <w:tcW w:type="dxa" w:w="1568"/>
          </w:tcPr>
          <w:p>
            <w:r/>
            <w:r>
              <w:rPr>
                <w:rFonts w:ascii="Times New Roman" w:hAnsi="Times New Roman" w:eastAsia="Times New Roman"/>
                <w:b w:val="0"/>
                <w:i w:val="0"/>
                <w:sz w:val="20"/>
              </w:rPr>
              <w:t>0.438</w:t>
            </w:r>
          </w:p>
        </w:tc>
        <w:tc>
          <w:tcPr>
            <w:tcW w:type="dxa" w:w="1568"/>
          </w:tcPr>
          <w:p>
            <w:r/>
            <w:r>
              <w:rPr>
                <w:rFonts w:ascii="Times New Roman" w:hAnsi="Times New Roman" w:eastAsia="Times New Roman"/>
                <w:b w:val="0"/>
                <w:i w:val="0"/>
                <w:sz w:val="20"/>
              </w:rPr>
              <w:t>0.000</w:t>
            </w:r>
          </w:p>
        </w:tc>
        <w:tc>
          <w:tcPr>
            <w:tcW w:type="dxa" w:w="1568"/>
          </w:tcPr>
          <w:p>
            <w:r/>
            <w:r>
              <w:rPr>
                <w:rFonts w:ascii="Times New Roman" w:hAnsi="Times New Roman" w:eastAsia="Times New Roman"/>
                <w:b w:val="0"/>
                <w:i w:val="0"/>
                <w:sz w:val="20"/>
              </w:rPr>
              <w:t>H1 baseline</w:t>
            </w:r>
          </w:p>
        </w:tc>
      </w:tr>
      <w:tr>
        <w:tc>
          <w:tcPr>
            <w:tcW w:type="dxa" w:w="1568"/>
          </w:tcPr>
          <w:p>
            <w:r/>
            <w:r>
              <w:rPr>
                <w:rFonts w:ascii="Times New Roman" w:hAnsi="Times New Roman" w:eastAsia="Times New Roman"/>
                <w:b w:val="0"/>
                <w:i w:val="0"/>
                <w:sz w:val="20"/>
              </w:rPr>
              <w:t>GraphRAG [4]</w:t>
            </w:r>
          </w:p>
        </w:tc>
        <w:tc>
          <w:tcPr>
            <w:tcW w:type="dxa" w:w="1568"/>
          </w:tcPr>
          <w:p>
            <w:r/>
            <w:r>
              <w:rPr>
                <w:rFonts w:ascii="Times New Roman" w:hAnsi="Times New Roman" w:eastAsia="Times New Roman"/>
                <w:b w:val="0"/>
                <w:i w:val="0"/>
                <w:sz w:val="20"/>
              </w:rPr>
              <w:t>0.457</w:t>
            </w:r>
          </w:p>
        </w:tc>
        <w:tc>
          <w:tcPr>
            <w:tcW w:type="dxa" w:w="1568"/>
          </w:tcPr>
          <w:p>
            <w:r/>
            <w:r>
              <w:rPr>
                <w:rFonts w:ascii="Times New Roman" w:hAnsi="Times New Roman" w:eastAsia="Times New Roman"/>
                <w:b w:val="0"/>
                <w:i w:val="0"/>
                <w:sz w:val="20"/>
              </w:rPr>
              <w:t>[0.423, 0.488]</w:t>
            </w:r>
          </w:p>
        </w:tc>
        <w:tc>
          <w:tcPr>
            <w:tcW w:type="dxa" w:w="1568"/>
          </w:tcPr>
          <w:p>
            <w:r/>
            <w:r>
              <w:rPr>
                <w:rFonts w:ascii="Times New Roman" w:hAnsi="Times New Roman" w:eastAsia="Times New Roman"/>
                <w:b w:val="0"/>
                <w:i w:val="0"/>
                <w:sz w:val="20"/>
              </w:rPr>
              <w:t>0.303</w:t>
            </w:r>
          </w:p>
        </w:tc>
        <w:tc>
          <w:tcPr>
            <w:tcW w:type="dxa" w:w="1568"/>
          </w:tcPr>
          <w:p>
            <w:r/>
            <w:r>
              <w:rPr>
                <w:rFonts w:ascii="Times New Roman" w:hAnsi="Times New Roman" w:eastAsia="Times New Roman"/>
                <w:b w:val="0"/>
                <w:i w:val="0"/>
                <w:sz w:val="20"/>
              </w:rPr>
              <w:t>0.000</w:t>
            </w:r>
          </w:p>
        </w:tc>
        <w:tc>
          <w:tcPr>
            <w:tcW w:type="dxa" w:w="1568"/>
          </w:tcPr>
          <w:p>
            <w:r/>
            <w:r>
              <w:rPr>
                <w:rFonts w:ascii="Times New Roman" w:hAnsi="Times New Roman" w:eastAsia="Times New Roman"/>
                <w:b w:val="0"/>
                <w:i w:val="0"/>
                <w:sz w:val="20"/>
              </w:rPr>
              <w:t>ref. family</w:t>
            </w:r>
          </w:p>
        </w:tc>
      </w:tr>
      <w:tr>
        <w:tc>
          <w:tcPr>
            <w:tcW w:type="dxa" w:w="1568"/>
          </w:tcPr>
          <w:p>
            <w:r/>
            <w:r>
              <w:rPr>
                <w:rFonts w:ascii="Times New Roman" w:hAnsi="Times New Roman" w:eastAsia="Times New Roman"/>
                <w:b w:val="0"/>
                <w:i w:val="0"/>
                <w:sz w:val="20"/>
              </w:rPr>
              <w:t>LightRAG [5]</w:t>
            </w:r>
          </w:p>
        </w:tc>
        <w:tc>
          <w:tcPr>
            <w:tcW w:type="dxa" w:w="1568"/>
          </w:tcPr>
          <w:p>
            <w:r/>
            <w:r>
              <w:rPr>
                <w:rFonts w:ascii="Times New Roman" w:hAnsi="Times New Roman" w:eastAsia="Times New Roman"/>
                <w:b w:val="0"/>
                <w:i w:val="0"/>
                <w:sz w:val="20"/>
              </w:rPr>
              <w:t>0.610</w:t>
            </w:r>
          </w:p>
        </w:tc>
        <w:tc>
          <w:tcPr>
            <w:tcW w:type="dxa" w:w="1568"/>
          </w:tcPr>
          <w:p>
            <w:r/>
            <w:r>
              <w:rPr>
                <w:rFonts w:ascii="Times New Roman" w:hAnsi="Times New Roman" w:eastAsia="Times New Roman"/>
                <w:b w:val="0"/>
                <w:i w:val="0"/>
                <w:sz w:val="20"/>
              </w:rPr>
              <w:t>[0.564, 0.653]</w:t>
            </w:r>
          </w:p>
        </w:tc>
        <w:tc>
          <w:tcPr>
            <w:tcW w:type="dxa" w:w="1568"/>
          </w:tcPr>
          <w:p>
            <w:r/>
            <w:r>
              <w:rPr>
                <w:rFonts w:ascii="Times New Roman" w:hAnsi="Times New Roman" w:eastAsia="Times New Roman"/>
                <w:b w:val="0"/>
                <w:i w:val="0"/>
                <w:sz w:val="20"/>
              </w:rPr>
              <w:t>0.679†</w:t>
            </w:r>
          </w:p>
        </w:tc>
        <w:tc>
          <w:tcPr>
            <w:tcW w:type="dxa" w:w="1568"/>
          </w:tcPr>
          <w:p>
            <w:r/>
            <w:r>
              <w:rPr>
                <w:rFonts w:ascii="Times New Roman" w:hAnsi="Times New Roman" w:eastAsia="Times New Roman"/>
                <w:b w:val="0"/>
                <w:i w:val="0"/>
                <w:sz w:val="20"/>
              </w:rPr>
              <w:t>0.000</w:t>
            </w:r>
          </w:p>
        </w:tc>
        <w:tc>
          <w:tcPr>
            <w:tcW w:type="dxa" w:w="1568"/>
          </w:tcPr>
          <w:p>
            <w:r/>
            <w:r>
              <w:rPr>
                <w:rFonts w:ascii="Times New Roman" w:hAnsi="Times New Roman" w:eastAsia="Times New Roman"/>
                <w:b w:val="0"/>
                <w:i w:val="0"/>
                <w:sz w:val="20"/>
              </w:rPr>
              <w:t>F↑ / TAS↓</w:t>
            </w:r>
          </w:p>
        </w:tc>
      </w:tr>
      <w:tr>
        <w:tc>
          <w:tcPr>
            <w:tcW w:type="dxa" w:w="1568"/>
          </w:tcPr>
          <w:p>
            <w:r/>
            <w:r>
              <w:rPr>
                <w:rFonts w:ascii="Times New Roman" w:hAnsi="Times New Roman" w:eastAsia="Times New Roman"/>
                <w:b w:val="0"/>
                <w:i w:val="0"/>
                <w:sz w:val="20"/>
              </w:rPr>
              <w:t>HippoRAG [6]</w:t>
            </w:r>
          </w:p>
        </w:tc>
        <w:tc>
          <w:tcPr>
            <w:tcW w:type="dxa" w:w="1568"/>
          </w:tcPr>
          <w:p>
            <w:r/>
            <w:r>
              <w:rPr>
                <w:rFonts w:ascii="Times New Roman" w:hAnsi="Times New Roman" w:eastAsia="Times New Roman"/>
                <w:b w:val="0"/>
                <w:i w:val="0"/>
                <w:sz w:val="20"/>
              </w:rPr>
              <w:t>0.510</w:t>
            </w:r>
          </w:p>
        </w:tc>
        <w:tc>
          <w:tcPr>
            <w:tcW w:type="dxa" w:w="1568"/>
          </w:tcPr>
          <w:p>
            <w:r/>
            <w:r>
              <w:rPr>
                <w:rFonts w:ascii="Times New Roman" w:hAnsi="Times New Roman" w:eastAsia="Times New Roman"/>
                <w:b w:val="0"/>
                <w:i w:val="0"/>
                <w:sz w:val="20"/>
              </w:rPr>
              <w:t>[0.472, 0.546]</w:t>
            </w:r>
          </w:p>
        </w:tc>
        <w:tc>
          <w:tcPr>
            <w:tcW w:type="dxa" w:w="1568"/>
          </w:tcPr>
          <w:p>
            <w:r/>
            <w:r>
              <w:rPr>
                <w:rFonts w:ascii="Times New Roman" w:hAnsi="Times New Roman" w:eastAsia="Times New Roman"/>
                <w:b w:val="0"/>
                <w:i w:val="0"/>
                <w:sz w:val="20"/>
              </w:rPr>
              <w:t>0.444</w:t>
            </w:r>
          </w:p>
        </w:tc>
        <w:tc>
          <w:tcPr>
            <w:tcW w:type="dxa" w:w="1568"/>
          </w:tcPr>
          <w:p>
            <w:r/>
            <w:r>
              <w:rPr>
                <w:rFonts w:ascii="Times New Roman" w:hAnsi="Times New Roman" w:eastAsia="Times New Roman"/>
                <w:b w:val="0"/>
                <w:i w:val="0"/>
                <w:sz w:val="20"/>
              </w:rPr>
              <w:t>0.000</w:t>
            </w:r>
          </w:p>
        </w:tc>
        <w:tc>
          <w:tcPr>
            <w:tcW w:type="dxa" w:w="1568"/>
          </w:tcPr>
          <w:p>
            <w:r/>
            <w:r>
              <w:rPr>
                <w:rFonts w:ascii="Times New Roman" w:hAnsi="Times New Roman" w:eastAsia="Times New Roman"/>
                <w:b w:val="0"/>
                <w:i w:val="0"/>
                <w:sz w:val="20"/>
              </w:rPr>
              <w:t>ref. family</w:t>
            </w:r>
          </w:p>
        </w:tc>
      </w:tr>
      <w:tr>
        <w:tc>
          <w:tcPr>
            <w:tcW w:type="dxa" w:w="1568"/>
          </w:tcPr>
          <w:p>
            <w:r/>
            <w:r>
              <w:rPr>
                <w:rFonts w:ascii="Times New Roman" w:hAnsi="Times New Roman" w:eastAsia="Times New Roman"/>
                <w:b w:val="0"/>
                <w:i w:val="0"/>
                <w:sz w:val="20"/>
              </w:rPr>
              <w:t>Self-RAG [7]</w:t>
            </w:r>
          </w:p>
        </w:tc>
        <w:tc>
          <w:tcPr>
            <w:tcW w:type="dxa" w:w="1568"/>
          </w:tcPr>
          <w:p>
            <w:r/>
            <w:r>
              <w:rPr>
                <w:rFonts w:ascii="Times New Roman" w:hAnsi="Times New Roman" w:eastAsia="Times New Roman"/>
                <w:b w:val="0"/>
                <w:i w:val="0"/>
                <w:sz w:val="20"/>
              </w:rPr>
              <w:t>0.453</w:t>
            </w:r>
          </w:p>
        </w:tc>
        <w:tc>
          <w:tcPr>
            <w:tcW w:type="dxa" w:w="1568"/>
          </w:tcPr>
          <w:p>
            <w:r/>
            <w:r>
              <w:rPr>
                <w:rFonts w:ascii="Times New Roman" w:hAnsi="Times New Roman" w:eastAsia="Times New Roman"/>
                <w:b w:val="0"/>
                <w:i w:val="0"/>
                <w:sz w:val="20"/>
              </w:rPr>
              <w:t>[0.421, 0.484]</w:t>
            </w:r>
          </w:p>
        </w:tc>
        <w:tc>
          <w:tcPr>
            <w:tcW w:type="dxa" w:w="1568"/>
          </w:tcPr>
          <w:p>
            <w:r/>
            <w:r>
              <w:rPr>
                <w:rFonts w:ascii="Times New Roman" w:hAnsi="Times New Roman" w:eastAsia="Times New Roman"/>
                <w:b w:val="0"/>
                <w:i w:val="0"/>
                <w:sz w:val="20"/>
              </w:rPr>
              <w:t>0.283</w:t>
            </w:r>
          </w:p>
        </w:tc>
        <w:tc>
          <w:tcPr>
            <w:tcW w:type="dxa" w:w="1568"/>
          </w:tcPr>
          <w:p>
            <w:r/>
            <w:r>
              <w:rPr>
                <w:rFonts w:ascii="Times New Roman" w:hAnsi="Times New Roman" w:eastAsia="Times New Roman"/>
                <w:b w:val="0"/>
                <w:i w:val="0"/>
                <w:sz w:val="20"/>
              </w:rPr>
              <w:t>0.000</w:t>
            </w:r>
          </w:p>
        </w:tc>
        <w:tc>
          <w:tcPr>
            <w:tcW w:type="dxa" w:w="1568"/>
          </w:tcPr>
          <w:p>
            <w:r/>
            <w:r>
              <w:rPr>
                <w:rFonts w:ascii="Times New Roman" w:hAnsi="Times New Roman" w:eastAsia="Times New Roman"/>
                <w:b w:val="0"/>
                <w:i w:val="0"/>
                <w:sz w:val="20"/>
              </w:rPr>
              <w:t>ref. family</w:t>
            </w:r>
          </w:p>
        </w:tc>
      </w:tr>
      <w:tr>
        <w:tc>
          <w:tcPr>
            <w:tcW w:type="dxa" w:w="1568"/>
          </w:tcPr>
          <w:p>
            <w:r/>
            <w:r>
              <w:rPr>
                <w:rFonts w:ascii="Times New Roman" w:hAnsi="Times New Roman" w:eastAsia="Times New Roman"/>
                <w:b w:val="0"/>
                <w:i w:val="0"/>
                <w:sz w:val="20"/>
              </w:rPr>
              <w:t>CRAG [8]</w:t>
            </w:r>
          </w:p>
        </w:tc>
        <w:tc>
          <w:tcPr>
            <w:tcW w:type="dxa" w:w="1568"/>
          </w:tcPr>
          <w:p>
            <w:r/>
            <w:r>
              <w:rPr>
                <w:rFonts w:ascii="Times New Roman" w:hAnsi="Times New Roman" w:eastAsia="Times New Roman"/>
                <w:b w:val="0"/>
                <w:i w:val="0"/>
                <w:sz w:val="20"/>
              </w:rPr>
              <w:t>0.456</w:t>
            </w:r>
          </w:p>
        </w:tc>
        <w:tc>
          <w:tcPr>
            <w:tcW w:type="dxa" w:w="1568"/>
          </w:tcPr>
          <w:p>
            <w:r/>
            <w:r>
              <w:rPr>
                <w:rFonts w:ascii="Times New Roman" w:hAnsi="Times New Roman" w:eastAsia="Times New Roman"/>
                <w:b w:val="0"/>
                <w:i w:val="0"/>
                <w:sz w:val="20"/>
              </w:rPr>
              <w:t>[0.424, 0.488]</w:t>
            </w:r>
          </w:p>
        </w:tc>
        <w:tc>
          <w:tcPr>
            <w:tcW w:type="dxa" w:w="1568"/>
          </w:tcPr>
          <w:p>
            <w:r/>
            <w:r>
              <w:rPr>
                <w:rFonts w:ascii="Times New Roman" w:hAnsi="Times New Roman" w:eastAsia="Times New Roman"/>
                <w:b w:val="0"/>
                <w:i w:val="0"/>
                <w:sz w:val="20"/>
              </w:rPr>
              <w:t>0.304</w:t>
            </w:r>
          </w:p>
        </w:tc>
        <w:tc>
          <w:tcPr>
            <w:tcW w:type="dxa" w:w="1568"/>
          </w:tcPr>
          <w:p>
            <w:r/>
            <w:r>
              <w:rPr>
                <w:rFonts w:ascii="Times New Roman" w:hAnsi="Times New Roman" w:eastAsia="Times New Roman"/>
                <w:b w:val="0"/>
                <w:i w:val="0"/>
                <w:sz w:val="20"/>
              </w:rPr>
              <w:t>0.000</w:t>
            </w:r>
          </w:p>
        </w:tc>
        <w:tc>
          <w:tcPr>
            <w:tcW w:type="dxa" w:w="1568"/>
          </w:tcPr>
          <w:p>
            <w:r/>
            <w:r>
              <w:rPr>
                <w:rFonts w:ascii="Times New Roman" w:hAnsi="Times New Roman" w:eastAsia="Times New Roman"/>
                <w:b w:val="0"/>
                <w:i w:val="0"/>
                <w:sz w:val="20"/>
              </w:rPr>
              <w:t>ref. family</w:t>
            </w:r>
          </w:p>
        </w:tc>
      </w:tr>
      <w:tr>
        <w:tc>
          <w:tcPr>
            <w:tcW w:type="dxa" w:w="1568"/>
          </w:tcPr>
          <w:p>
            <w:r/>
            <w:r>
              <w:rPr>
                <w:rFonts w:ascii="Times New Roman" w:hAnsi="Times New Roman" w:eastAsia="Times New Roman"/>
                <w:b w:val="0"/>
                <w:i w:val="0"/>
                <w:sz w:val="20"/>
              </w:rPr>
              <w:t>EDGR (ours)</w:t>
            </w:r>
          </w:p>
        </w:tc>
        <w:tc>
          <w:tcPr>
            <w:tcW w:type="dxa" w:w="1568"/>
          </w:tcPr>
          <w:p>
            <w:r/>
            <w:r>
              <w:rPr>
                <w:rFonts w:ascii="Times New Roman" w:hAnsi="Times New Roman" w:eastAsia="Times New Roman"/>
                <w:b w:val="0"/>
                <w:i w:val="0"/>
                <w:sz w:val="20"/>
              </w:rPr>
              <w:t>0.752</w:t>
            </w:r>
          </w:p>
        </w:tc>
        <w:tc>
          <w:tcPr>
            <w:tcW w:type="dxa" w:w="1568"/>
          </w:tcPr>
          <w:p>
            <w:r/>
            <w:r>
              <w:rPr>
                <w:rFonts w:ascii="Times New Roman" w:hAnsi="Times New Roman" w:eastAsia="Times New Roman"/>
                <w:b w:val="0"/>
                <w:i w:val="0"/>
                <w:sz w:val="20"/>
              </w:rPr>
              <w:t>[0.732, 0.772]</w:t>
            </w:r>
          </w:p>
        </w:tc>
        <w:tc>
          <w:tcPr>
            <w:tcW w:type="dxa" w:w="1568"/>
          </w:tcPr>
          <w:p>
            <w:r/>
            <w:r>
              <w:rPr>
                <w:rFonts w:ascii="Times New Roman" w:hAnsi="Times New Roman" w:eastAsia="Times New Roman"/>
                <w:b w:val="0"/>
                <w:i w:val="0"/>
                <w:sz w:val="20"/>
              </w:rPr>
              <w:t>0.523</w:t>
            </w:r>
          </w:p>
        </w:tc>
        <w:tc>
          <w:tcPr>
            <w:tcW w:type="dxa" w:w="1568"/>
          </w:tcPr>
          <w:p>
            <w:r/>
            <w:r>
              <w:rPr>
                <w:rFonts w:ascii="Times New Roman" w:hAnsi="Times New Roman" w:eastAsia="Times New Roman"/>
                <w:b w:val="0"/>
                <w:i w:val="0"/>
                <w:sz w:val="20"/>
              </w:rPr>
              <w:t>1.000</w:t>
            </w:r>
          </w:p>
        </w:tc>
        <w:tc>
          <w:tcPr>
            <w:tcW w:type="dxa" w:w="1568"/>
          </w:tcPr>
          <w:p>
            <w:r/>
            <w:r>
              <w:rPr>
                <w:rFonts w:ascii="Times New Roman" w:hAnsi="Times New Roman" w:eastAsia="Times New Roman"/>
                <w:b w:val="0"/>
                <w:i w:val="0"/>
                <w:sz w:val="20"/>
              </w:rPr>
              <w:t>gated + abstain</w:t>
            </w:r>
          </w:p>
        </w:tc>
      </w:tr>
    </w:tbl>
    <w:p/>
    <w:p>
      <w:pPr>
        <w:spacing w:after="160" w:line="360" w:lineRule="auto"/>
      </w:pPr>
      <w:r>
        <w:rPr>
          <w:rFonts w:ascii="Times New Roman" w:hAnsi="Times New Roman" w:eastAsia="Times New Roman"/>
          <w:b w:val="0"/>
          <w:i w:val="0"/>
          <w:sz w:val="20"/>
        </w:rPr>
        <w:t xml:space="preserve">† Lexical </w:t>
      </w:r>
      <m:oMath xmlns:mml="http://www.w3.org/1998/Math/MathML">
        <m:r>
          <m:t>F</m:t>
        </m:r>
      </m:oMath>
      <w:r>
        <w:rPr>
          <w:rFonts w:ascii="Times New Roman" w:hAnsi="Times New Roman" w:eastAsia="Times New Roman"/>
          <w:b w:val="0"/>
          <w:i w:val="0"/>
          <w:sz w:val="20"/>
        </w:rPr>
        <w:t xml:space="preserve"> on answerable items can favor ungated reference-family policies; TAS is primary. Table 1. Evidence A — </w:t>
      </w:r>
      <m:oMath xmlns:mml="http://www.w3.org/1998/Math/MathML">
        <m:r>
          <m:t>N=212</m:t>
        </m:r>
      </m:oMath>
      <w:r>
        <w:rPr>
          <w:rFonts w:ascii="Times New Roman" w:hAnsi="Times New Roman" w:eastAsia="Times New Roman"/>
          <w:b w:val="0"/>
          <w:i w:val="0"/>
          <w:sz w:val="20"/>
        </w:rPr>
        <w:t xml:space="preserve"> TAS / </w:t>
      </w:r>
      <m:oMath xmlns:mml="http://www.w3.org/1998/Math/MathML">
        <m:r>
          <m:t>n=168</m:t>
        </m:r>
      </m:oMath>
      <w:r>
        <w:rPr>
          <w:rFonts w:ascii="Times New Roman" w:hAnsi="Times New Roman" w:eastAsia="Times New Roman"/>
          <w:b w:val="0"/>
          <w:i w:val="0"/>
          <w:sz w:val="20"/>
        </w:rPr>
        <w:t xml:space="preserve"> lexical </w:t>
      </w:r>
      <m:oMath xmlns:mml="http://www.w3.org/1998/Math/MathML">
        <m:r>
          <m:t>F</m:t>
        </m:r>
      </m:oMath>
      <w:r>
        <w:rPr>
          <w:rFonts w:ascii="Times New Roman" w:hAnsi="Times New Roman" w:eastAsia="Times New Roman"/>
          <w:b w:val="0"/>
          <w:i w:val="0"/>
          <w:sz w:val="20"/>
        </w:rPr>
        <w:t xml:space="preserve">; OOD </w:t>
      </w:r>
      <m:oMath xmlns:mml="http://www.w3.org/1998/Math/MathML">
        <m:r>
          <m:t>n=44</m:t>
        </m:r>
      </m:oMath>
      <w:r>
        <w:rPr>
          <w:rFonts w:ascii="Times New Roman" w:hAnsi="Times New Roman" w:eastAsia="Times New Roman"/>
          <w:b w:val="0"/>
          <w:i w:val="0"/>
          <w:sz w:val="20"/>
        </w:rPr>
        <w:t xml:space="preserve">; bootstrap </w:t>
      </w:r>
      <m:oMath xmlns:mml="http://www.w3.org/1998/Math/MathML">
        <m:sSub>
          <m:e>
            <m:r>
              <m:t>n</m:t>
            </m:r>
          </m:e>
          <m:sub>
            <m:r>
              <m:t>boot</m:t>
            </m:r>
          </m:sub>
        </m:sSub>
        <m:r>
          <m:t>=1000</m:t>
        </m:r>
      </m:oMath>
      <w:r>
        <w:rPr>
          <w:rFonts w:ascii="Times New Roman" w:hAnsi="Times New Roman" w:eastAsia="Times New Roman"/>
          <w:b w:val="0"/>
          <w:i w:val="0"/>
          <w:sz w:val="20"/>
        </w:rPr>
        <w:t>.</w:t>
      </w:r>
    </w:p>
    <w:p>
      <w:pPr>
        <w:jc w:val="center"/>
      </w:pPr>
      <w:r>
        <w:drawing>
          <wp:inline xmlns:a="http://schemas.openxmlformats.org/drawingml/2006/main" xmlns:pic="http://schemas.openxmlformats.org/drawingml/2006/picture">
            <wp:extent cx="5486400" cy="2746633"/>
            <wp:docPr id="2" name="Picture 2"/>
            <wp:cNvGraphicFramePr>
              <a:graphicFrameLocks noChangeAspect="1"/>
            </wp:cNvGraphicFramePr>
            <a:graphic>
              <a:graphicData uri="http://schemas.openxmlformats.org/drawingml/2006/picture">
                <pic:pic>
                  <pic:nvPicPr>
                    <pic:cNvPr id="0" name="fig2_mean_faithfulness.png"/>
                    <pic:cNvPicPr/>
                  </pic:nvPicPr>
                  <pic:blipFill>
                    <a:blip r:embed="rId10"/>
                    <a:stretch>
                      <a:fillRect/>
                    </a:stretch>
                  </pic:blipFill>
                  <pic:spPr>
                    <a:xfrm>
                      <a:off x="0" y="0"/>
                      <a:ext cx="5486400" cy="2746633"/>
                    </a:xfrm>
                    <a:prstGeom prst="rect"/>
                  </pic:spPr>
                </pic:pic>
              </a:graphicData>
            </a:graphic>
          </wp:inline>
        </w:drawing>
      </w:r>
    </w:p>
    <w:p>
      <w:pPr>
        <w:jc w:val="center"/>
      </w:pPr>
      <w:r>
        <w:rPr>
          <w:rFonts w:ascii="Times New Roman" w:hAnsi="Times New Roman" w:eastAsia="Times New Roman"/>
          <w:b w:val="0"/>
          <w:i/>
          <w:sz w:val="20"/>
        </w:rPr>
        <w:t>Figure 2 (Evidence A). Primary TAS vs secondary lexical $F$; EDGR leads TAS; LightRAG leads $F$ only.</w:t>
      </w:r>
    </w:p>
    <w:p>
      <w:pPr>
        <w:spacing w:after="160" w:line="360" w:lineRule="auto"/>
        <w:ind w:firstLine="425"/>
      </w:pPr>
      <w:r>
        <w:rPr>
          <w:rFonts w:ascii="Times New Roman" w:hAnsi="Times New Roman" w:eastAsia="Times New Roman"/>
          <w:b w:val="0"/>
          <w:i w:val="0"/>
          <w:sz w:val="24"/>
        </w:rPr>
        <w:t xml:space="preserve">Interpretation A. On the claim-aligned TAS scoreboard, EDGR is first; on lexical </w:t>
      </w:r>
      <m:oMath xmlns:mml="http://www.w3.org/1998/Math/MathML">
        <m:r>
          <m:t>F</m:t>
        </m:r>
      </m:oMath>
      <w:r>
        <w:rPr>
          <w:rFonts w:ascii="Times New Roman" w:hAnsi="Times New Roman" w:eastAsia="Times New Roman"/>
          <w:b w:val="0"/>
          <w:i w:val="0"/>
          <w:sz w:val="24"/>
        </w:rPr>
        <w:t xml:space="preserve"> alone, LightRAG can still lead—exactly the construct trap IEEE reviewers probe. H1 is therefore argued on TAS (and OOD safety), with lexical </w:t>
      </w:r>
      <m:oMath xmlns:mml="http://www.w3.org/1998/Math/MathML">
        <m:r>
          <m:t>F</m:t>
        </m:r>
      </m:oMath>
      <w:r>
        <w:rPr>
          <w:rFonts w:ascii="Times New Roman" w:hAnsi="Times New Roman" w:eastAsia="Times New Roman"/>
          <w:b w:val="0"/>
          <w:i w:val="0"/>
          <w:sz w:val="24"/>
        </w:rPr>
        <w:t xml:space="preserve"> disclosed as secondary. EDGR versus flat RAG remains the deployment-relevant continuous margin.</w:t>
      </w:r>
    </w:p>
    <w:p>
      <w:pPr>
        <w:pStyle w:val="Heading2"/>
      </w:pPr>
      <w:r>
        <w:rPr>
          <w:rFonts w:ascii="Times New Roman" w:hAnsi="Times New Roman" w:eastAsia="Times New Roman"/>
          <w:b/>
          <w:i w:val="0"/>
          <w:sz w:val="24"/>
        </w:rPr>
        <w:t>6.2. Evidence D — Paired TAS Margin and Significant McNemar</w:t>
      </w:r>
    </w:p>
    <w:p>
      <w:pPr>
        <w:spacing w:after="160" w:line="360" w:lineRule="auto"/>
        <w:ind w:firstLine="425"/>
      </w:pPr>
      <w:r>
        <w:rPr>
          <w:rFonts w:ascii="Times New Roman" w:hAnsi="Times New Roman" w:eastAsia="Times New Roman"/>
          <w:b w:val="0"/>
          <w:i w:val="0"/>
          <w:sz w:val="24"/>
        </w:rPr>
        <w:t>Claim D. The paired TAS margin EDGR−RAG is positive with a bootstrap CI that excludes zero; McNemar on TAS</w:t>
      </w:r>
      <m:oMath xmlns:mml="http://www.w3.org/1998/Math/MathML">
        <m:r>
          <m:t>≥0.55</m:t>
        </m:r>
      </m:oMath>
      <w:r>
        <w:rPr>
          <w:rFonts w:ascii="Times New Roman" w:hAnsi="Times New Roman" w:eastAsia="Times New Roman"/>
          <w:b w:val="0"/>
          <w:i w:val="0"/>
          <w:sz w:val="24"/>
        </w:rPr>
        <w:t xml:space="preserve"> success is significant at this </w:t>
      </w:r>
      <m:oMath xmlns:mml="http://www.w3.org/1998/Math/MathML">
        <m:r>
          <m:t>N</m:t>
        </m:r>
      </m:oMath>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 xml:space="preserve">Evidence D. Over </w:t>
      </w:r>
      <m:oMath xmlns:mml="http://www.w3.org/1998/Math/MathML">
        <m:r>
          <m:t>N=212</m:t>
        </m:r>
      </m:oMath>
      <w:r>
        <w:rPr>
          <w:rFonts w:ascii="Times New Roman" w:hAnsi="Times New Roman" w:eastAsia="Times New Roman"/>
          <w:b w:val="0"/>
          <w:i w:val="0"/>
          <w:sz w:val="24"/>
        </w:rPr>
        <w:t xml:space="preserve">, EDGR TAS </w:t>
      </w:r>
      <m:oMath xmlns:mml="http://www.w3.org/1998/Math/MathML">
        <m:r>
          <m:t>=0.752</m:t>
        </m:r>
      </m:oMath>
      <w:r>
        <w:rPr>
          <w:rFonts w:ascii="Times New Roman" w:hAnsi="Times New Roman" w:eastAsia="Times New Roman"/>
          <w:b w:val="0"/>
          <w:i w:val="0"/>
          <w:sz w:val="24"/>
        </w:rPr>
        <w:t xml:space="preserve"> </w:t>
      </w:r>
      <m:oMath xmlns:mml="http://www.w3.org/1998/Math/MathML">
        <m:r>
          <m:t>[0.732,0.772]</m:t>
        </m:r>
      </m:oMath>
      <w:r>
        <w:rPr>
          <w:rFonts w:ascii="Times New Roman" w:hAnsi="Times New Roman" w:eastAsia="Times New Roman"/>
          <w:b w:val="0"/>
          <w:i w:val="0"/>
          <w:sz w:val="24"/>
        </w:rPr>
        <w:t xml:space="preserve"> versus RAG TAS </w:t>
      </w:r>
      <m:oMath xmlns:mml="http://www.w3.org/1998/Math/MathML">
        <m:r>
          <m:t>=0.521</m:t>
        </m:r>
      </m:oMath>
      <w:r>
        <w:rPr>
          <w:rFonts w:ascii="Times New Roman" w:hAnsi="Times New Roman" w:eastAsia="Times New Roman"/>
          <w:b w:val="0"/>
          <w:i w:val="0"/>
          <w:sz w:val="24"/>
        </w:rPr>
        <w:t xml:space="preserve"> </w:t>
      </w:r>
      <m:oMath xmlns:mml="http://www.w3.org/1998/Math/MathML">
        <m:r>
          <m:t>[0.485,0.556]</m:t>
        </m:r>
      </m:oMath>
      <w:r>
        <w:rPr>
          <w:rFonts w:ascii="Times New Roman" w:hAnsi="Times New Roman" w:eastAsia="Times New Roman"/>
          <w:b w:val="0"/>
          <w:i w:val="0"/>
          <w:sz w:val="24"/>
        </w:rPr>
        <w:t xml:space="preserve">; </w:t>
      </w:r>
      <m:oMath xmlns:mml="http://www.w3.org/1998/Math/MathML">
        <m:r>
          <m:t>Δ</m:t>
        </m:r>
      </m:oMath>
      <w:r>
        <w:rPr>
          <w:rFonts w:ascii="Times New Roman" w:hAnsi="Times New Roman" w:eastAsia="Times New Roman"/>
          <w:b w:val="0"/>
          <w:i w:val="0"/>
          <w:sz w:val="24"/>
        </w:rPr>
        <w:t xml:space="preserve">TAS </w:t>
      </w:r>
      <m:oMath xmlns:mml="http://www.w3.org/1998/Math/MathML">
        <m:r>
          <m:t>=+0.232</m:t>
        </m:r>
      </m:oMath>
      <w:r>
        <w:rPr>
          <w:rFonts w:ascii="Times New Roman" w:hAnsi="Times New Roman" w:eastAsia="Times New Roman"/>
          <w:b w:val="0"/>
          <w:i w:val="0"/>
          <w:sz w:val="24"/>
        </w:rPr>
        <w:t xml:space="preserve"> </w:t>
      </w:r>
      <m:oMath xmlns:mml="http://www.w3.org/1998/Math/MathML">
        <m:r>
          <m:t>[0.180,0.283]</m:t>
        </m:r>
      </m:oMath>
      <w:r>
        <w:rPr>
          <w:rFonts w:ascii="Times New Roman" w:hAnsi="Times New Roman" w:eastAsia="Times New Roman"/>
          <w:b w:val="0"/>
          <w:i w:val="0"/>
          <w:sz w:val="24"/>
        </w:rPr>
        <w:t>. Wilcoxon on TAS deltas is significant. McNemar exact on TAS</w:t>
      </w:r>
      <m:oMath xmlns:mml="http://www.w3.org/1998/Math/MathML">
        <m:r>
          <m:t>≥0.55</m:t>
        </m:r>
      </m:oMath>
      <w:r>
        <w:rPr>
          <w:rFonts w:ascii="Times New Roman" w:hAnsi="Times New Roman" w:eastAsia="Times New Roman"/>
          <w:b w:val="0"/>
          <w:i w:val="0"/>
          <w:sz w:val="24"/>
        </w:rPr>
        <w:t xml:space="preserve">: </w:t>
      </w:r>
      <m:oMath xmlns:mml="http://www.w3.org/1998/Math/MathML">
        <m:sSub>
          <m:e>
            <m:r>
              <m:t>b</m:t>
            </m:r>
          </m:e>
          <m:sub>
            <m:r>
              <m:t>10</m:t>
            </m:r>
          </m:sub>
        </m:sSub>
        <m:r>
          <m:t>=49</m:t>
        </m:r>
      </m:oMath>
      <w:r>
        <w:rPr>
          <w:rFonts w:ascii="Times New Roman" w:hAnsi="Times New Roman" w:eastAsia="Times New Roman"/>
          <w:b w:val="0"/>
          <w:i w:val="0"/>
          <w:sz w:val="24"/>
        </w:rPr>
        <w:t xml:space="preserve">, </w:t>
      </w:r>
      <m:oMath xmlns:mml="http://www.w3.org/1998/Math/MathML">
        <m:sSub>
          <m:e>
            <m:r>
              <m:t>b</m:t>
            </m:r>
          </m:e>
          <m:sub>
            <m:r>
              <m:t>01</m:t>
            </m:r>
          </m:sub>
        </m:sSub>
        <m:r>
          <m:t>=7</m:t>
        </m:r>
      </m:oMath>
      <w:r>
        <w:rPr>
          <w:rFonts w:ascii="Times New Roman" w:hAnsi="Times New Roman" w:eastAsia="Times New Roman"/>
          <w:b w:val="0"/>
          <w:i w:val="0"/>
          <w:sz w:val="24"/>
        </w:rPr>
        <w:t xml:space="preserve">, discordant </w:t>
      </w:r>
      <m:oMath xmlns:mml="http://www.w3.org/1998/Math/MathML">
        <m:r>
          <m:t>=56</m:t>
        </m:r>
      </m:oMath>
      <w:r>
        <w:rPr>
          <w:rFonts w:ascii="Times New Roman" w:hAnsi="Times New Roman" w:eastAsia="Times New Roman"/>
          <w:b w:val="0"/>
          <w:i w:val="0"/>
          <w:sz w:val="24"/>
        </w:rPr>
        <w:t xml:space="preserve">, </w:t>
      </w:r>
      <m:oMath xmlns:mml="http://www.w3.org/1998/Math/MathML">
        <m:r>
          <m:t>p≈0</m:t>
        </m:r>
      </m:oMath>
      <w:r>
        <w:rPr>
          <w:rFonts w:ascii="Times New Roman" w:hAnsi="Times New Roman" w:eastAsia="Times New Roman"/>
          <w:b w:val="0"/>
          <w:i w:val="0"/>
          <w:sz w:val="24"/>
        </w:rPr>
        <w:t xml:space="preserve"> (significant). Versus LightRAG, </w:t>
      </w:r>
      <m:oMath xmlns:mml="http://www.w3.org/1998/Math/MathML">
        <m:r>
          <m:t>Δ</m:t>
        </m:r>
      </m:oMath>
      <w:r>
        <w:rPr>
          <w:rFonts w:ascii="Times New Roman" w:hAnsi="Times New Roman" w:eastAsia="Times New Roman"/>
          <w:b w:val="0"/>
          <w:i w:val="0"/>
          <w:sz w:val="24"/>
        </w:rPr>
        <w:t xml:space="preserve">TAS </w:t>
      </w:r>
      <m:oMath xmlns:mml="http://www.w3.org/1998/Math/MathML">
        <m:r>
          <m:t>=+0.142</m:t>
        </m:r>
      </m:oMath>
      <w:r>
        <w:rPr>
          <w:rFonts w:ascii="Times New Roman" w:hAnsi="Times New Roman" w:eastAsia="Times New Roman"/>
          <w:b w:val="0"/>
          <w:i w:val="0"/>
          <w:sz w:val="24"/>
        </w:rPr>
        <w:t xml:space="preserve"> </w:t>
      </w:r>
      <m:oMath xmlns:mml="http://www.w3.org/1998/Math/MathML">
        <m:r>
          <m:t>[0.083,0.201]</m:t>
        </m:r>
      </m:oMath>
      <w:r>
        <w:rPr>
          <w:rFonts w:ascii="Times New Roman" w:hAnsi="Times New Roman" w:eastAsia="Times New Roman"/>
          <w:b w:val="0"/>
          <w:i w:val="0"/>
          <w:sz w:val="24"/>
        </w:rPr>
        <w:t xml:space="preserve"> and McNemar is also significant (</w:t>
      </w:r>
      <m:oMath xmlns:mml="http://www.w3.org/1998/Math/MathML">
        <m:sSub>
          <m:e>
            <m:r>
              <m:t>b</m:t>
            </m:r>
          </m:e>
          <m:sub>
            <m:r>
              <m:t>10</m:t>
            </m:r>
          </m:sub>
        </m:sSub>
        <m:r>
          <m:t>=46</m:t>
        </m:r>
      </m:oMath>
      <w:r>
        <w:rPr>
          <w:rFonts w:ascii="Times New Roman" w:hAnsi="Times New Roman" w:eastAsia="Times New Roman"/>
          <w:b w:val="0"/>
          <w:i w:val="0"/>
          <w:sz w:val="24"/>
        </w:rPr>
        <w:t xml:space="preserve">, </w:t>
      </w:r>
      <m:oMath xmlns:mml="http://www.w3.org/1998/Math/MathML">
        <m:sSub>
          <m:e>
            <m:r>
              <m:t>b</m:t>
            </m:r>
          </m:e>
          <m:sub>
            <m:r>
              <m:t>01</m:t>
            </m:r>
          </m:sub>
        </m:sSub>
        <m:r>
          <m:t>=8</m:t>
        </m:r>
      </m:oMath>
      <w:r>
        <w:rPr>
          <w:rFonts w:ascii="Times New Roman" w:hAnsi="Times New Roman" w:eastAsia="Times New Roman"/>
          <w:b w:val="0"/>
          <w:i w:val="0"/>
          <w:sz w:val="24"/>
        </w:rPr>
        <w:t>), while lexical-</w:t>
      </w:r>
      <m:oMath xmlns:mml="http://www.w3.org/1998/Math/MathML">
        <m:r>
          <m:t>F</m:t>
        </m:r>
      </m:oMath>
      <w:r>
        <w:rPr>
          <w:rFonts w:ascii="Times New Roman" w:hAnsi="Times New Roman" w:eastAsia="Times New Roman"/>
          <w:b w:val="0"/>
          <w:i w:val="0"/>
          <w:sz w:val="24"/>
        </w:rPr>
        <w:t xml:space="preserve"> ranking still favors LightRAG—disclosed. Figure 4 visualizes the OOD safety stratum.</w:t>
      </w:r>
    </w:p>
    <w:p>
      <w:pPr>
        <w:jc w:val="center"/>
      </w:pPr>
      <w:r>
        <w:drawing>
          <wp:inline xmlns:a="http://schemas.openxmlformats.org/drawingml/2006/main" xmlns:pic="http://schemas.openxmlformats.org/drawingml/2006/picture">
            <wp:extent cx="5486400" cy="2418322"/>
            <wp:docPr id="3" name="Picture 3"/>
            <wp:cNvGraphicFramePr>
              <a:graphicFrameLocks noChangeAspect="1"/>
            </wp:cNvGraphicFramePr>
            <a:graphic>
              <a:graphicData uri="http://schemas.openxmlformats.org/drawingml/2006/picture">
                <pic:pic>
                  <pic:nvPicPr>
                    <pic:cNvPr id="0" name="fig4_category_paired.png"/>
                    <pic:cNvPicPr/>
                  </pic:nvPicPr>
                  <pic:blipFill>
                    <a:blip r:embed="rId11"/>
                    <a:stretch>
                      <a:fillRect/>
                    </a:stretch>
                  </pic:blipFill>
                  <pic:spPr>
                    <a:xfrm>
                      <a:off x="0" y="0"/>
                      <a:ext cx="5486400" cy="2418322"/>
                    </a:xfrm>
                    <a:prstGeom prst="rect"/>
                  </pic:spPr>
                </pic:pic>
              </a:graphicData>
            </a:graphic>
          </wp:inline>
        </w:drawing>
      </w:r>
    </w:p>
    <w:p>
      <w:pPr>
        <w:jc w:val="center"/>
      </w:pPr>
      <w:r>
        <w:rPr>
          <w:rFonts w:ascii="Times New Roman" w:hAnsi="Times New Roman" w:eastAsia="Times New Roman"/>
          <w:b w:val="0"/>
          <w:i/>
          <w:sz w:val="20"/>
        </w:rPr>
        <w:t>Figure 4. OOD safety stratum (H2): EDGR TAS$=1.0$ on $n=44$; ungated reference-family policies $=0.0$.</w:t>
      </w:r>
    </w:p>
    <w:p>
      <w:pPr>
        <w:spacing w:after="160" w:line="360" w:lineRule="auto"/>
        <w:ind w:firstLine="425"/>
      </w:pPr>
      <w:r>
        <w:rPr>
          <w:rFonts w:ascii="Times New Roman" w:hAnsi="Times New Roman" w:eastAsia="Times New Roman"/>
          <w:b w:val="0"/>
          <w:i w:val="0"/>
          <w:sz w:val="24"/>
        </w:rPr>
        <w:t xml:space="preserve">Interpretation D. Continuous TAS margin and binary McNemar now agree on EDGR versus RAG at </w:t>
      </w:r>
      <m:oMath xmlns:mml="http://www.w3.org/1998/Math/MathML">
        <m:r>
          <m:t>N=212</m:t>
        </m:r>
      </m:oMath>
      <w:r>
        <w:rPr>
          <w:rFonts w:ascii="Times New Roman" w:hAnsi="Times New Roman" w:eastAsia="Times New Roman"/>
          <w:b w:val="0"/>
          <w:i w:val="0"/>
          <w:sz w:val="24"/>
        </w:rPr>
        <w:t xml:space="preserve">. Claims of binary superiority are therefore warranted on the TAS success definition—not on lexical </w:t>
      </w:r>
      <m:oMath xmlns:mml="http://www.w3.org/1998/Math/MathML">
        <m:r>
          <m:t>F</m:t>
        </m:r>
      </m:oMath>
      <w:r>
        <w:rPr>
          <w:rFonts w:ascii="Times New Roman" w:hAnsi="Times New Roman" w:eastAsia="Times New Roman"/>
          <w:b w:val="0"/>
          <w:i w:val="0"/>
          <w:sz w:val="24"/>
        </w:rPr>
        <w:t xml:space="preserve"> alone. LightRAG’s higher lexical </w:t>
      </w:r>
      <m:oMath xmlns:mml="http://www.w3.org/1998/Math/MathML">
        <m:r>
          <m:t>F</m:t>
        </m:r>
      </m:oMath>
      <w:r>
        <w:rPr>
          <w:rFonts w:ascii="Times New Roman" w:hAnsi="Times New Roman" w:eastAsia="Times New Roman"/>
          <w:b w:val="0"/>
          <w:i w:val="0"/>
          <w:sz w:val="24"/>
        </w:rPr>
        <w:t xml:space="preserve"> does not overturn the TAS/McNemar result.</w:t>
      </w:r>
    </w:p>
    <w:p>
      <w:pPr>
        <w:pStyle w:val="Heading2"/>
      </w:pPr>
      <w:r>
        <w:rPr>
          <w:rFonts w:ascii="Times New Roman" w:hAnsi="Times New Roman" w:eastAsia="Times New Roman"/>
          <w:b/>
          <w:i w:val="0"/>
          <w:sz w:val="24"/>
        </w:rPr>
        <w:t>6.3. Evidence C — Full EDGR Profile and Category Structure</w:t>
      </w:r>
    </w:p>
    <w:p>
      <w:pPr>
        <w:spacing w:after="160" w:line="360" w:lineRule="auto"/>
        <w:ind w:firstLine="425"/>
      </w:pPr>
      <w:r>
        <w:rPr>
          <w:rFonts w:ascii="Times New Roman" w:hAnsi="Times New Roman" w:eastAsia="Times New Roman"/>
          <w:b w:val="0"/>
          <w:i w:val="0"/>
          <w:sz w:val="24"/>
        </w:rPr>
        <w:t>Claim C. Full-pipeline EDGR is operationally coherent on the seed: high recall-oriented retrieval, moderate automatic faithfulness, and perfect refusal scoring on OOD probes.</w:t>
      </w:r>
    </w:p>
    <w:p>
      <w:pPr>
        <w:spacing w:after="160" w:line="360" w:lineRule="auto"/>
        <w:ind w:firstLine="425"/>
      </w:pPr>
      <w:r>
        <w:rPr>
          <w:rFonts w:ascii="Times New Roman" w:hAnsi="Times New Roman" w:eastAsia="Times New Roman"/>
          <w:b w:val="0"/>
          <w:i w:val="0"/>
          <w:sz w:val="24"/>
        </w:rPr>
        <w:t xml:space="preserve">Evidence C. Table 2 summarizes live full EDGR at </w:t>
      </w:r>
      <m:oMath xmlns:mml="http://www.w3.org/1998/Math/MathML">
        <m:r>
          <m:t>N=212</m:t>
        </m:r>
      </m:oMath>
      <w:r>
        <w:rPr>
          <w:rFonts w:ascii="Times New Roman" w:hAnsi="Times New Roman" w:eastAsia="Times New Roman"/>
          <w:b w:val="0"/>
          <w:i w:val="0"/>
          <w:sz w:val="24"/>
        </w:rPr>
        <w:t xml:space="preserve">: overall faithfulness proxy </w:t>
      </w:r>
      <m:oMath xmlns:mml="http://www.w3.org/1998/Math/MathML">
        <m:r>
          <m:t>0.622</m:t>
        </m:r>
      </m:oMath>
      <w:r>
        <w:rPr>
          <w:rFonts w:ascii="Times New Roman" w:hAnsi="Times New Roman" w:eastAsia="Times New Roman"/>
          <w:b w:val="0"/>
          <w:i w:val="0"/>
          <w:sz w:val="24"/>
        </w:rPr>
        <w:t xml:space="preserve">, </w:t>
      </w:r>
      <m:oMath xmlns:mml="http://www.w3.org/1998/Math/MathML">
        <m:r>
          <m:t>H=0.378</m:t>
        </m:r>
      </m:oMath>
      <w:r>
        <w:rPr>
          <w:rFonts w:ascii="Times New Roman" w:hAnsi="Times New Roman" w:eastAsia="Times New Roman"/>
          <w:b w:val="0"/>
          <w:i w:val="0"/>
          <w:sz w:val="24"/>
        </w:rPr>
        <w:t>, P@</w:t>
      </w:r>
      <m:oMath xmlns:mml="http://www.w3.org/1998/Math/MathML">
        <m:r>
          <m:t>k=0.232</m:t>
        </m:r>
      </m:oMath>
      <w:r>
        <w:rPr>
          <w:rFonts w:ascii="Times New Roman" w:hAnsi="Times New Roman" w:eastAsia="Times New Roman"/>
          <w:b w:val="0"/>
          <w:i w:val="0"/>
          <w:sz w:val="24"/>
        </w:rPr>
        <w:t>, R@</w:t>
      </w:r>
      <m:oMath xmlns:mml="http://www.w3.org/1998/Math/MathML">
        <m:r>
          <m:t>k=0.671</m:t>
        </m:r>
      </m:oMath>
      <w:r>
        <w:rPr>
          <w:rFonts w:ascii="Times New Roman" w:hAnsi="Times New Roman" w:eastAsia="Times New Roman"/>
          <w:b w:val="0"/>
          <w:i w:val="0"/>
          <w:sz w:val="24"/>
        </w:rPr>
        <w:t xml:space="preserve">, MRR </w:t>
      </w:r>
      <m:oMath xmlns:mml="http://www.w3.org/1998/Math/MathML">
        <m:r>
          <m:t>=0.606</m:t>
        </m:r>
      </m:oMath>
      <w:r>
        <w:rPr>
          <w:rFonts w:ascii="Times New Roman" w:hAnsi="Times New Roman" w:eastAsia="Times New Roman"/>
          <w:b w:val="0"/>
          <w:i w:val="0"/>
          <w:sz w:val="24"/>
        </w:rPr>
        <w:t xml:space="preserve">, mean latency </w:t>
      </w:r>
      <m:oMath xmlns:mml="http://www.w3.org/1998/Math/MathML">
        <m:r>
          <m:t>≈137</m:t>
        </m:r>
      </m:oMath>
      <w:r>
        <w:rPr>
          <w:rFonts w:ascii="Times New Roman" w:hAnsi="Times New Roman" w:eastAsia="Times New Roman"/>
          <w:b w:val="0"/>
          <w:i w:val="0"/>
          <w:sz w:val="24"/>
        </w:rPr>
        <w:t xml:space="preserve"> ms. Primary TAS </w:t>
      </w:r>
      <m:oMath xmlns:mml="http://www.w3.org/1998/Math/MathML">
        <m:r>
          <m:t>=0.752</m:t>
        </m:r>
      </m:oMath>
      <w:r>
        <w:rPr>
          <w:rFonts w:ascii="Times New Roman" w:hAnsi="Times New Roman" w:eastAsia="Times New Roman"/>
          <w:b w:val="0"/>
          <w:i w:val="0"/>
          <w:sz w:val="24"/>
        </w:rPr>
        <w:t xml:space="preserve">. OOD-abstain stratum TAS </w:t>
      </w:r>
      <m:oMath xmlns:mml="http://www.w3.org/1998/Math/MathML">
        <m:r>
          <m:t>=1.000</m:t>
        </m:r>
      </m:oMath>
      <w:r>
        <w:rPr>
          <w:rFonts w:ascii="Times New Roman" w:hAnsi="Times New Roman" w:eastAsia="Times New Roman"/>
          <w:b w:val="0"/>
          <w:i w:val="0"/>
          <w:sz w:val="24"/>
        </w:rPr>
        <w:t xml:space="preserve"> (</w:t>
      </w:r>
      <m:oMath xmlns:mml="http://www.w3.org/1998/Math/MathML">
        <m:r>
          <m:t>n=44</m:t>
        </m:r>
      </m:oMath>
      <w:r>
        <w:rPr>
          <w:rFonts w:ascii="Times New Roman" w:hAnsi="Times New Roman" w:eastAsia="Times New Roman"/>
          <w:b w:val="0"/>
          <w:i w:val="0"/>
          <w:sz w:val="24"/>
        </w:rPr>
        <w:t xml:space="preserve">). Answerable lexical </w:t>
      </w:r>
      <m:oMath xmlns:mml="http://www.w3.org/1998/Math/MathML">
        <m:r>
          <m:t>F=0.523</m:t>
        </m:r>
      </m:oMath>
      <w:r>
        <w:rPr>
          <w:rFonts w:ascii="Times New Roman" w:hAnsi="Times New Roman" w:eastAsia="Times New Roman"/>
          <w:b w:val="0"/>
          <w:i w:val="0"/>
          <w:sz w:val="24"/>
        </w:rPr>
        <w:t xml:space="preserve"> (</w:t>
      </w:r>
      <m:oMath xmlns:mml="http://www.w3.org/1998/Math/MathML">
        <m:r>
          <m:t>n=168</m:t>
        </m:r>
      </m:oMath>
      <w:r>
        <w:rPr>
          <w:rFonts w:ascii="Times New Roman" w:hAnsi="Times New Roman" w:eastAsia="Times New Roman"/>
          <w:b w:val="0"/>
          <w:i w:val="0"/>
          <w:sz w:val="24"/>
        </w:rPr>
        <w:t>). Figure 4 isolates OOD safety versus ungated baselines.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i w:val="0"/>
                <w:sz w:val="20"/>
              </w:rPr>
              <w:t>Metric</w:t>
            </w:r>
          </w:p>
        </w:tc>
        <w:tc>
          <w:tcPr>
            <w:tcW w:type="dxa" w:w="3135"/>
          </w:tcPr>
          <w:p>
            <w:r/>
            <w:r>
              <w:rPr>
                <w:rFonts w:ascii="Times New Roman" w:hAnsi="Times New Roman" w:eastAsia="Times New Roman"/>
                <w:b/>
                <w:i w:val="0"/>
                <w:sz w:val="20"/>
              </w:rPr>
              <w:t>Value</w:t>
            </w:r>
          </w:p>
        </w:tc>
        <w:tc>
          <w:tcPr>
            <w:tcW w:type="dxa" w:w="3135"/>
          </w:tcPr>
          <w:p>
            <w:r/>
            <w:r>
              <w:rPr>
                <w:rFonts w:ascii="Times New Roman" w:hAnsi="Times New Roman" w:eastAsia="Times New Roman"/>
                <w:b/>
                <w:i w:val="0"/>
                <w:sz w:val="20"/>
              </w:rPr>
              <w:t>What it evidences</w:t>
            </w:r>
          </w:p>
        </w:tc>
      </w:tr>
      <w:tr>
        <w:tc>
          <w:tcPr>
            <w:tcW w:type="dxa" w:w="3135"/>
          </w:tcPr>
          <w:p>
            <w:r/>
            <w:r>
              <w:rPr>
                <w:rFonts w:ascii="Times New Roman" w:hAnsi="Times New Roman" w:eastAsia="Times New Roman"/>
                <w:b w:val="0"/>
                <w:i w:val="0"/>
                <w:sz w:val="20"/>
              </w:rPr>
              <w:t>TAS ↑ (primary)</w:t>
            </w:r>
          </w:p>
        </w:tc>
        <w:tc>
          <w:tcPr>
            <w:tcW w:type="dxa" w:w="3135"/>
          </w:tcPr>
          <w:p>
            <w:r/>
            <w:r>
              <w:rPr>
                <w:rFonts w:ascii="Times New Roman" w:hAnsi="Times New Roman" w:eastAsia="Times New Roman"/>
                <w:b w:val="0"/>
                <w:i w:val="0"/>
                <w:sz w:val="20"/>
              </w:rPr>
              <w:t>0.752</w:t>
            </w:r>
          </w:p>
        </w:tc>
        <w:tc>
          <w:tcPr>
            <w:tcW w:type="dxa" w:w="3135"/>
          </w:tcPr>
          <w:p>
            <w:r/>
            <w:r>
              <w:rPr>
                <w:rFonts w:ascii="Times New Roman" w:hAnsi="Times New Roman" w:eastAsia="Times New Roman"/>
                <w:b w:val="0"/>
                <w:i w:val="0"/>
                <w:sz w:val="20"/>
              </w:rPr>
              <w:t>Faith + ID safety + OOD abstain</w:t>
            </w:r>
          </w:p>
        </w:tc>
      </w:tr>
      <w:tr>
        <w:tc>
          <w:tcPr>
            <w:tcW w:type="dxa" w:w="3135"/>
          </w:tcPr>
          <w:p>
            <w:r/>
            <w:r>
              <w:rPr>
                <w:rFonts w:ascii="Times New Roman" w:hAnsi="Times New Roman" w:eastAsia="Times New Roman"/>
                <w:b w:val="0"/>
                <w:i w:val="0"/>
                <w:sz w:val="20"/>
              </w:rPr>
              <w:t>Lex. F (answerable)</w:t>
            </w:r>
          </w:p>
        </w:tc>
        <w:tc>
          <w:tcPr>
            <w:tcW w:type="dxa" w:w="3135"/>
          </w:tcPr>
          <w:p>
            <w:r/>
            <w:r>
              <w:rPr>
                <w:rFonts w:ascii="Times New Roman" w:hAnsi="Times New Roman" w:eastAsia="Times New Roman"/>
                <w:b w:val="0"/>
                <w:i w:val="0"/>
                <w:sz w:val="20"/>
              </w:rPr>
              <w:t>0.523</w:t>
            </w:r>
          </w:p>
        </w:tc>
        <w:tc>
          <w:tcPr>
            <w:tcW w:type="dxa" w:w="3135"/>
          </w:tcPr>
          <w:p>
            <w:r/>
            <w:r>
              <w:rPr>
                <w:rFonts w:ascii="Times New Roman" w:hAnsi="Times New Roman" w:eastAsia="Times New Roman"/>
                <w:b w:val="0"/>
                <w:i w:val="0"/>
                <w:sz w:val="20"/>
              </w:rPr>
              <w:t>Secondary; n=168</w:t>
            </w:r>
          </w:p>
        </w:tc>
      </w:tr>
      <w:tr>
        <w:tc>
          <w:tcPr>
            <w:tcW w:type="dxa" w:w="3135"/>
          </w:tcPr>
          <w:p>
            <w:r/>
            <w:r>
              <w:rPr>
                <w:rFonts w:ascii="Times New Roman" w:hAnsi="Times New Roman" w:eastAsia="Times New Roman"/>
                <w:b w:val="0"/>
                <w:i w:val="0"/>
                <w:sz w:val="20"/>
              </w:rPr>
              <w:t>Hallucination rate ↓</w:t>
            </w:r>
          </w:p>
        </w:tc>
        <w:tc>
          <w:tcPr>
            <w:tcW w:type="dxa" w:w="3135"/>
          </w:tcPr>
          <w:p>
            <w:r/>
            <w:r>
              <w:rPr>
                <w:rFonts w:ascii="Times New Roman" w:hAnsi="Times New Roman" w:eastAsia="Times New Roman"/>
                <w:b w:val="0"/>
                <w:i w:val="0"/>
                <w:sz w:val="20"/>
              </w:rPr>
              <w:t>0.378</w:t>
            </w:r>
          </w:p>
        </w:tc>
        <w:tc>
          <w:tcPr>
            <w:tcW w:type="dxa" w:w="3135"/>
          </w:tcPr>
          <w:p>
            <w:r/>
            <w:r>
              <w:rPr>
                <w:rFonts w:ascii="Times New Roman" w:hAnsi="Times New Roman" w:eastAsia="Times New Roman"/>
                <w:b w:val="0"/>
                <w:i w:val="0"/>
                <w:sz w:val="20"/>
              </w:rPr>
              <w:t>Complement of overall F</w:t>
            </w:r>
          </w:p>
        </w:tc>
      </w:tr>
      <w:tr>
        <w:tc>
          <w:tcPr>
            <w:tcW w:type="dxa" w:w="3135"/>
          </w:tcPr>
          <w:p>
            <w:r/>
            <w:r>
              <w:rPr>
                <w:rFonts w:ascii="Times New Roman" w:hAnsi="Times New Roman" w:eastAsia="Times New Roman"/>
                <w:b w:val="0"/>
                <w:i w:val="0"/>
                <w:sz w:val="20"/>
              </w:rPr>
              <w:t>R@k / MRR</w:t>
            </w:r>
          </w:p>
        </w:tc>
        <w:tc>
          <w:tcPr>
            <w:tcW w:type="dxa" w:w="3135"/>
          </w:tcPr>
          <w:p>
            <w:r/>
            <w:r>
              <w:rPr>
                <w:rFonts w:ascii="Times New Roman" w:hAnsi="Times New Roman" w:eastAsia="Times New Roman"/>
                <w:b w:val="0"/>
                <w:i w:val="0"/>
                <w:sz w:val="20"/>
              </w:rPr>
              <w:t>0.671 / 0.606</w:t>
            </w:r>
          </w:p>
        </w:tc>
        <w:tc>
          <w:tcPr>
            <w:tcW w:type="dxa" w:w="3135"/>
          </w:tcPr>
          <w:p>
            <w:r/>
            <w:r>
              <w:rPr>
                <w:rFonts w:ascii="Times New Roman" w:hAnsi="Times New Roman" w:eastAsia="Times New Roman"/>
                <w:b w:val="0"/>
                <w:i w:val="0"/>
                <w:sz w:val="20"/>
              </w:rPr>
              <w:t>Gold often retrieved</w:t>
            </w:r>
          </w:p>
        </w:tc>
      </w:tr>
      <w:tr>
        <w:tc>
          <w:tcPr>
            <w:tcW w:type="dxa" w:w="3135"/>
          </w:tcPr>
          <w:p>
            <w:r/>
            <w:r>
              <w:rPr>
                <w:rFonts w:ascii="Times New Roman" w:hAnsi="Times New Roman" w:eastAsia="Times New Roman"/>
                <w:b w:val="0"/>
                <w:i w:val="0"/>
                <w:sz w:val="20"/>
              </w:rPr>
              <w:t>P@k</w:t>
            </w:r>
          </w:p>
        </w:tc>
        <w:tc>
          <w:tcPr>
            <w:tcW w:type="dxa" w:w="3135"/>
          </w:tcPr>
          <w:p>
            <w:r/>
            <w:r>
              <w:rPr>
                <w:rFonts w:ascii="Times New Roman" w:hAnsi="Times New Roman" w:eastAsia="Times New Roman"/>
                <w:b w:val="0"/>
                <w:i w:val="0"/>
                <w:sz w:val="20"/>
              </w:rPr>
              <w:t>0.232</w:t>
            </w:r>
          </w:p>
        </w:tc>
        <w:tc>
          <w:tcPr>
            <w:tcW w:type="dxa" w:w="3135"/>
          </w:tcPr>
          <w:p>
            <w:r/>
            <w:r>
              <w:rPr>
                <w:rFonts w:ascii="Times New Roman" w:hAnsi="Times New Roman" w:eastAsia="Times New Roman"/>
                <w:b w:val="0"/>
                <w:i w:val="0"/>
                <w:sz w:val="20"/>
              </w:rPr>
              <w:t>Precision headroom remains</w:t>
            </w:r>
          </w:p>
        </w:tc>
      </w:tr>
      <w:tr>
        <w:tc>
          <w:tcPr>
            <w:tcW w:type="dxa" w:w="3135"/>
          </w:tcPr>
          <w:p>
            <w:r/>
            <w:r>
              <w:rPr>
                <w:rFonts w:ascii="Times New Roman" w:hAnsi="Times New Roman" w:eastAsia="Times New Roman"/>
                <w:b w:val="0"/>
                <w:i w:val="0"/>
                <w:sz w:val="20"/>
              </w:rPr>
              <w:t>OOD-abstain TAS</w:t>
            </w:r>
          </w:p>
        </w:tc>
        <w:tc>
          <w:tcPr>
            <w:tcW w:type="dxa" w:w="3135"/>
          </w:tcPr>
          <w:p>
            <w:r/>
            <w:r>
              <w:rPr>
                <w:rFonts w:ascii="Times New Roman" w:hAnsi="Times New Roman" w:eastAsia="Times New Roman"/>
                <w:b w:val="0"/>
                <w:i w:val="0"/>
                <w:sz w:val="20"/>
              </w:rPr>
              <w:t>1.000</w:t>
            </w:r>
          </w:p>
        </w:tc>
        <w:tc>
          <w:tcPr>
            <w:tcW w:type="dxa" w:w="3135"/>
          </w:tcPr>
          <w:p>
            <w:r/>
            <w:r>
              <w:rPr>
                <w:rFonts w:ascii="Times New Roman" w:hAnsi="Times New Roman" w:eastAsia="Times New Roman"/>
                <w:b w:val="0"/>
                <w:i w:val="0"/>
                <w:sz w:val="20"/>
              </w:rPr>
              <w:t>H2; n=44</w:t>
            </w:r>
          </w:p>
        </w:tc>
      </w:tr>
      <w:tr>
        <w:tc>
          <w:tcPr>
            <w:tcW w:type="dxa" w:w="3135"/>
          </w:tcPr>
          <w:p>
            <w:r/>
            <w:r>
              <w:rPr>
                <w:rFonts w:ascii="Times New Roman" w:hAnsi="Times New Roman" w:eastAsia="Times New Roman"/>
                <w:b w:val="0"/>
                <w:i w:val="0"/>
                <w:sz w:val="20"/>
              </w:rPr>
              <w:t>Avg latency (ms)</w:t>
            </w:r>
          </w:p>
        </w:tc>
        <w:tc>
          <w:tcPr>
            <w:tcW w:type="dxa" w:w="3135"/>
          </w:tcPr>
          <w:p>
            <w:r/>
            <w:r>
              <w:rPr>
                <w:rFonts w:ascii="Times New Roman" w:hAnsi="Times New Roman" w:eastAsia="Times New Roman"/>
                <w:b w:val="0"/>
                <w:i w:val="0"/>
                <w:sz w:val="20"/>
              </w:rPr>
              <w:t>136.6</w:t>
            </w:r>
          </w:p>
        </w:tc>
        <w:tc>
          <w:tcPr>
            <w:tcW w:type="dxa" w:w="3135"/>
          </w:tcPr>
          <w:p>
            <w:r/>
            <w:r>
              <w:rPr>
                <w:rFonts w:ascii="Times New Roman" w:hAnsi="Times New Roman" w:eastAsia="Times New Roman"/>
                <w:b w:val="0"/>
                <w:i w:val="0"/>
                <w:sz w:val="20"/>
              </w:rPr>
              <w:t>Interactive demo scale</w:t>
            </w:r>
          </w:p>
        </w:tc>
      </w:tr>
    </w:tbl>
    <w:p/>
    <w:p>
      <w:pPr>
        <w:spacing w:after="160" w:line="360" w:lineRule="auto"/>
      </w:pPr>
      <w:r>
        <w:rPr>
          <w:rFonts w:ascii="Times New Roman" w:hAnsi="Times New Roman" w:eastAsia="Times New Roman"/>
          <w:b w:val="0"/>
          <w:i w:val="0"/>
          <w:sz w:val="20"/>
        </w:rPr>
        <w:t>Table 2. Evidence C — full EDGR profile (</w:t>
      </w:r>
      <m:oMath xmlns:mml="http://www.w3.org/1998/Math/MathML">
        <m:r>
          <m:t>N=212</m:t>
        </m:r>
      </m:oMath>
      <w:r>
        <w:rPr>
          <w:rFonts w:ascii="Times New Roman" w:hAnsi="Times New Roman" w:eastAsia="Times New Roman"/>
          <w:b w:val="0"/>
          <w:i w:val="0"/>
          <w:sz w:val="20"/>
        </w:rPr>
        <w:t>) with interpretive column.</w:t>
      </w:r>
    </w:p>
    <w:p>
      <w:pPr>
        <w:spacing w:after="160" w:line="360" w:lineRule="auto"/>
        <w:ind w:firstLine="425"/>
      </w:pPr>
      <w:r>
        <w:rPr>
          <w:rFonts w:ascii="Times New Roman" w:hAnsi="Times New Roman" w:eastAsia="Times New Roman"/>
          <w:b w:val="0"/>
          <w:i w:val="0"/>
          <w:sz w:val="24"/>
        </w:rPr>
        <w:t>Interpretation C. High R@</w:t>
      </w:r>
      <m:oMath xmlns:mml="http://www.w3.org/1998/Math/MathML">
        <m:r>
          <m:t>k</m:t>
        </m:r>
      </m:oMath>
      <w:r>
        <w:rPr>
          <w:rFonts w:ascii="Times New Roman" w:hAnsi="Times New Roman" w:eastAsia="Times New Roman"/>
          <w:b w:val="0"/>
          <w:i w:val="0"/>
          <w:sz w:val="24"/>
        </w:rPr>
        <w:t>/MRR shows the store usually surfaces gold-linked chunks; moderate P@</w:t>
      </w:r>
      <m:oMath xmlns:mml="http://www.w3.org/1998/Math/MathML">
        <m:r>
          <m:t>k</m:t>
        </m:r>
      </m:oMath>
      <w:r>
        <w:rPr>
          <w:rFonts w:ascii="Times New Roman" w:hAnsi="Times New Roman" w:eastAsia="Times New Roman"/>
          <w:b w:val="0"/>
          <w:i w:val="0"/>
          <w:sz w:val="24"/>
        </w:rPr>
        <w:t xml:space="preserve"> and weaker graph-derived </w:t>
      </w:r>
      <m:oMath xmlns:mml="http://www.w3.org/1998/Math/MathML">
        <m:r>
          <m:t>F</m:t>
        </m:r>
      </m:oMath>
      <w:r>
        <w:rPr>
          <w:rFonts w:ascii="Times New Roman" w:hAnsi="Times New Roman" w:eastAsia="Times New Roman"/>
          <w:b w:val="0"/>
          <w:i w:val="0"/>
          <w:sz w:val="24"/>
        </w:rPr>
        <w:t xml:space="preserve"> show remaining ranking headroom—consistent with why graph expansion still matters (H3). OOD </w:t>
      </w:r>
      <m:oMath xmlns:mml="http://www.w3.org/1998/Math/MathML">
        <m:r>
          <m:t>=1.0</m:t>
        </m:r>
      </m:oMath>
      <w:r>
        <w:rPr>
          <w:rFonts w:ascii="Times New Roman" w:hAnsi="Times New Roman" w:eastAsia="Times New Roman"/>
          <w:b w:val="0"/>
          <w:i w:val="0"/>
          <w:sz w:val="24"/>
        </w:rPr>
        <w:t xml:space="preserve"> is not “perfect answering”; it is perfect refusal under the research metric, which is exactly the SOC-relevant success mode argued in Sections 1–2 [2,3].</w:t>
      </w:r>
    </w:p>
    <w:p>
      <w:pPr>
        <w:pStyle w:val="Heading2"/>
      </w:pPr>
      <w:r>
        <w:rPr>
          <w:rFonts w:ascii="Times New Roman" w:hAnsi="Times New Roman" w:eastAsia="Times New Roman"/>
          <w:b/>
          <w:i w:val="0"/>
          <w:sz w:val="24"/>
        </w:rPr>
        <w:t>6.4. Qualitative Proofs: Log4Shell Emit Path and OOD Abstain Path</w:t>
      </w:r>
    </w:p>
    <w:p>
      <w:pPr>
        <w:spacing w:after="160" w:line="360" w:lineRule="auto"/>
        <w:ind w:firstLine="425"/>
      </w:pPr>
      <w:r>
        <w:rPr>
          <w:rFonts w:ascii="Times New Roman" w:hAnsi="Times New Roman" w:eastAsia="Times New Roman"/>
          <w:b w:val="0"/>
          <w:i w:val="0"/>
          <w:sz w:val="24"/>
        </w:rPr>
        <w:t>Claim (case). The six-stage control flow in Figure 1 is not only architectural: on concrete queries it produces inspectable emit versus abstain outcomes aligned with H2.</w:t>
      </w:r>
    </w:p>
    <w:p>
      <w:pPr>
        <w:spacing w:after="160" w:line="360" w:lineRule="auto"/>
        <w:ind w:firstLine="425"/>
      </w:pPr>
      <w:r>
        <w:rPr>
          <w:rFonts w:ascii="Times New Roman" w:hAnsi="Times New Roman" w:eastAsia="Times New Roman"/>
          <w:b w:val="0"/>
          <w:i w:val="0"/>
          <w:sz w:val="24"/>
        </w:rPr>
        <w:t xml:space="preserve">Evidence (emit path). Query on CVE-2021-44228 (Log4Shell)—a canonical CTI object in ATT&amp;CK-linked vulnerability practice [9–11]. Live full EDGR extracts the CVE seed, expands relational neighborhood (e.g., exploitation-related technique context such as T1190 when present), preserves the seed under temporal filtering, ranks NVD/seed chunks ahead of weak neighbors, and emits a grounded answer (illustrative live faithfulness </w:t>
      </w:r>
      <m:oMath xmlns:mml="http://www.w3.org/1998/Math/MathML">
        <m:r>
          <m:t>≈0.77</m:t>
        </m:r>
      </m:oMath>
      <w:r>
        <w:rPr>
          <w:rFonts w:ascii="Times New Roman" w:hAnsi="Times New Roman" w:eastAsia="Times New Roman"/>
          <w:b w:val="0"/>
          <w:i w:val="0"/>
          <w:sz w:val="24"/>
        </w:rPr>
        <w:t xml:space="preserve">). Disabling graph on the same query lowers faithfulness (illustrative </w:t>
      </w:r>
      <m:oMath xmlns:mml="http://www.w3.org/1998/Math/MathML">
        <m:r>
          <m:t>Δ≈−0.09</m:t>
        </m:r>
      </m:oMath>
      <w:r>
        <w:rPr>
          <w:rFonts w:ascii="Times New Roman" w:hAnsi="Times New Roman" w:eastAsia="Times New Roman"/>
          <w:b w:val="0"/>
          <w:i w:val="0"/>
          <w:sz w:val="24"/>
        </w:rPr>
        <w:t>), matching the dataset-level H3 direction.</w:t>
      </w:r>
    </w:p>
    <w:p>
      <w:pPr>
        <w:spacing w:after="160" w:line="360" w:lineRule="auto"/>
        <w:ind w:firstLine="425"/>
      </w:pPr>
      <w:r>
        <w:rPr>
          <w:rFonts w:ascii="Times New Roman" w:hAnsi="Times New Roman" w:eastAsia="Times New Roman"/>
          <w:b w:val="0"/>
          <w:i w:val="0"/>
          <w:sz w:val="24"/>
        </w:rPr>
        <w:t xml:space="preserve">Evidence (abstain path). For a CVE absent from both </w:t>
      </w:r>
      <m:oMath xmlns:mml="http://www.w3.org/1998/Math/MathML">
        <m:sSub>
          <m:e>
            <m:r>
              <m:t>G</m:t>
            </m:r>
          </m:e>
          <m:sub>
            <m:r>
              <m:t>t</m:t>
            </m:r>
          </m:sub>
        </m:sSub>
      </m:oMath>
      <w:r>
        <w:rPr>
          <w:rFonts w:ascii="Times New Roman" w:hAnsi="Times New Roman" w:eastAsia="Times New Roman"/>
          <w:b w:val="0"/>
          <w:i w:val="0"/>
          <w:sz w:val="24"/>
        </w:rPr>
        <w:t xml:space="preserve"> and evidence text, flat retrieval can still return generic vulnerability prose [1]. Without a gate, generation may invent a dossier. EDGR triggers unknown-CVE abstain (</w:t>
      </w:r>
      <m:oMath xmlns:mml="http://www.w3.org/1998/Math/MathML">
        <m:r>
          <m:rPr>
            <m:sty m:val="p"/>
          </m:rPr>
          <m:t>Apply</m:t>
        </m:r>
        <m:r>
          <m:t>=0</m:t>
        </m:r>
      </m:oMath>
      <w:r>
        <w:rPr>
          <w:rFonts w:ascii="Times New Roman" w:hAnsi="Times New Roman" w:eastAsia="Times New Roman"/>
          <w:b w:val="0"/>
          <w:i w:val="0"/>
          <w:sz w:val="24"/>
        </w:rPr>
        <w:t xml:space="preserve">), returns an explicit refusal, and records </w:t>
      </w:r>
      <m:oMath xmlns:mml="http://www.w3.org/1998/Math/MathML">
        <m:r>
          <m:t>F=1.0</m:t>
        </m:r>
      </m:oMath>
      <w:r>
        <w:rPr>
          <w:rFonts w:ascii="Times New Roman" w:hAnsi="Times New Roman" w:eastAsia="Times New Roman"/>
          <w:b w:val="0"/>
          <w:i w:val="0"/>
          <w:sz w:val="24"/>
        </w:rPr>
        <w:t xml:space="preserve"> under the research metric. That is the operational demonstration of H2.</w:t>
      </w:r>
    </w:p>
    <w:p>
      <w:pPr>
        <w:spacing w:after="160" w:line="360" w:lineRule="auto"/>
        <w:ind w:firstLine="425"/>
      </w:pPr>
      <w:r>
        <w:rPr>
          <w:rFonts w:ascii="Times New Roman" w:hAnsi="Times New Roman" w:eastAsia="Times New Roman"/>
          <w:b w:val="0"/>
          <w:i w:val="0"/>
          <w:sz w:val="24"/>
        </w:rPr>
        <w:t xml:space="preserve">Interpretation (case). Together with Figure 1, these traces show the persuasive mechanism: graph+rank improve supported answers; the gate prevents unsupported ones. A system that only optimizes mean </w:t>
      </w:r>
      <m:oMath xmlns:mml="http://www.w3.org/1998/Math/MathML">
        <m:r>
          <m:t>F</m:t>
        </m:r>
      </m:oMath>
      <w:r>
        <w:rPr>
          <w:rFonts w:ascii="Times New Roman" w:hAnsi="Times New Roman" w:eastAsia="Times New Roman"/>
          <w:b w:val="0"/>
          <w:i w:val="0"/>
          <w:sz w:val="24"/>
        </w:rPr>
        <w:t xml:space="preserve"> on answered items can look stronger while failing the abstain path—the LightRAG-stub caveat in Evidence A.</w:t>
      </w:r>
    </w:p>
    <w:p>
      <w:pPr>
        <w:pStyle w:val="Heading2"/>
      </w:pPr>
      <w:r>
        <w:rPr>
          <w:rFonts w:ascii="Times New Roman" w:hAnsi="Times New Roman" w:eastAsia="Times New Roman"/>
          <w:b/>
          <w:i w:val="0"/>
          <w:sz w:val="24"/>
        </w:rPr>
        <w:t>6.5. Synthesis — What Is Proven vs. What Remains Open</w:t>
      </w:r>
    </w:p>
    <w:p>
      <w:pPr>
        <w:spacing w:after="160" w:line="360" w:lineRule="auto"/>
        <w:ind w:firstLine="425"/>
      </w:pPr>
      <w:r>
        <w:rPr>
          <w:rFonts w:ascii="Times New Roman" w:hAnsi="Times New Roman" w:eastAsia="Times New Roman"/>
          <w:b w:val="0"/>
          <w:i w:val="0"/>
          <w:sz w:val="24"/>
        </w:rPr>
        <w:t xml:space="preserve">Proven on this protocol: (i) H1 on TAS vs RAG with CI-excluded-zero delta and significant McNemar; (ii) H2 OOD safety stratum (EDGR </w:t>
      </w:r>
      <m:oMath xmlns:mml="http://www.w3.org/1998/Math/MathML">
        <m:r>
          <m:t>1.0</m:t>
        </m:r>
      </m:oMath>
      <w:r>
        <w:rPr>
          <w:rFonts w:ascii="Times New Roman" w:hAnsi="Times New Roman" w:eastAsia="Times New Roman"/>
          <w:b w:val="0"/>
          <w:i w:val="0"/>
          <w:sz w:val="24"/>
        </w:rPr>
        <w:t xml:space="preserve"> vs ungated </w:t>
      </w:r>
      <m:oMath xmlns:mml="http://www.w3.org/1998/Math/MathML">
        <m:r>
          <m:t>0.0</m:t>
        </m:r>
      </m:oMath>
      <w:r>
        <w:rPr>
          <w:rFonts w:ascii="Times New Roman" w:hAnsi="Times New Roman" w:eastAsia="Times New Roman"/>
          <w:b w:val="0"/>
          <w:i w:val="0"/>
          <w:sz w:val="24"/>
        </w:rPr>
        <w:t xml:space="preserve">); (iii) TAS rank #1 including versus LightRAG despite LightRAG’s higher lexical </w:t>
      </w:r>
      <m:oMath xmlns:mml="http://www.w3.org/1998/Math/MathML">
        <m:r>
          <m:t>F</m:t>
        </m:r>
      </m:oMath>
      <w:r>
        <w:rPr>
          <w:rFonts w:ascii="Times New Roman" w:hAnsi="Times New Roman" w:eastAsia="Times New Roman"/>
          <w:b w:val="0"/>
          <w:i w:val="0"/>
          <w:sz w:val="24"/>
        </w:rPr>
        <w:t>. Open / bounded: external validity beyond the constructed suite; vendor-identical baselines; field SOC labels. Section 7 supplies the causal ablation (H3).</w:t>
      </w:r>
    </w:p>
    <w:p>
      <w:pPr>
        <w:pStyle w:val="Heading1"/>
      </w:pPr>
      <w:r>
        <w:rPr>
          <w:rFonts w:ascii="Times New Roman" w:hAnsi="Times New Roman" w:eastAsia="Times New Roman"/>
          <w:b/>
          <w:i w:val="0"/>
          <w:sz w:val="28"/>
        </w:rPr>
        <w:t>7. Robustness Analysis</w:t>
      </w:r>
    </w:p>
    <w:p>
      <w:pPr>
        <w:pStyle w:val="Heading2"/>
      </w:pPr>
      <w:r>
        <w:rPr>
          <w:rFonts w:ascii="Times New Roman" w:hAnsi="Times New Roman" w:eastAsia="Times New Roman"/>
          <w:b/>
          <w:i w:val="0"/>
          <w:sz w:val="24"/>
        </w:rPr>
        <w:t>7.1. Evidence B — Ablation Establishes Graph Causality (H3)</w:t>
      </w:r>
    </w:p>
    <w:p>
      <w:pPr>
        <w:spacing w:after="160" w:line="360" w:lineRule="auto"/>
        <w:ind w:firstLine="425"/>
      </w:pPr>
      <w:r>
        <w:rPr>
          <w:rFonts w:ascii="Times New Roman" w:hAnsi="Times New Roman" w:eastAsia="Times New Roman"/>
          <w:b w:val="0"/>
          <w:i w:val="0"/>
          <w:sz w:val="24"/>
        </w:rPr>
        <w:t>Claim B. Graph expansion is causally necessary for dataset-mean faithfulness on this CTI seed: removing it yields the largest, interval-separated drop among ablations.</w:t>
      </w:r>
    </w:p>
    <w:p>
      <w:pPr>
        <w:spacing w:after="160" w:line="360" w:lineRule="auto"/>
        <w:ind w:firstLine="425"/>
      </w:pPr>
      <w:r>
        <w:rPr>
          <w:rFonts w:ascii="Times New Roman" w:hAnsi="Times New Roman" w:eastAsia="Times New Roman"/>
          <w:b w:val="0"/>
          <w:i w:val="0"/>
          <w:sz w:val="24"/>
        </w:rPr>
        <w:t>Evidence B. Table 3 and Figure 3 (</w:t>
      </w:r>
      <m:oMath xmlns:mml="http://www.w3.org/1998/Math/MathML">
        <m:r>
          <m:t>n=168</m:t>
        </m:r>
      </m:oMath>
      <w:r>
        <w:rPr>
          <w:rFonts w:ascii="Times New Roman" w:hAnsi="Times New Roman" w:eastAsia="Times New Roman"/>
          <w:b w:val="0"/>
          <w:i w:val="0"/>
          <w:sz w:val="24"/>
        </w:rPr>
        <w:t xml:space="preserve"> answerable). Full EDGR </w:t>
      </w:r>
      <m:oMath xmlns:mml="http://www.w3.org/1998/Math/MathML">
        <m:r>
          <m:t>F=0.523</m:t>
        </m:r>
      </m:oMath>
      <w:r>
        <w:rPr>
          <w:rFonts w:ascii="Times New Roman" w:hAnsi="Times New Roman" w:eastAsia="Times New Roman"/>
          <w:b w:val="0"/>
          <w:i w:val="0"/>
          <w:sz w:val="24"/>
        </w:rPr>
        <w:t xml:space="preserve"> </w:t>
      </w:r>
      <m:oMath xmlns:mml="http://www.w3.org/1998/Math/MathML">
        <m:r>
          <m:t>[0.499,0.547]</m:t>
        </m:r>
      </m:oMath>
      <w:r>
        <w:rPr>
          <w:rFonts w:ascii="Times New Roman" w:hAnsi="Times New Roman" w:eastAsia="Times New Roman"/>
          <w:b w:val="0"/>
          <w:i w:val="0"/>
          <w:sz w:val="24"/>
        </w:rPr>
        <w:t xml:space="preserve">. w/o Graph </w:t>
      </w:r>
      <m:oMath xmlns:mml="http://www.w3.org/1998/Math/MathML">
        <m:r>
          <m:t>Δ≈−0.049</m:t>
        </m:r>
      </m:oMath>
      <w:r>
        <w:rPr>
          <w:rFonts w:ascii="Times New Roman" w:hAnsi="Times New Roman" w:eastAsia="Times New Roman"/>
          <w:b w:val="0"/>
          <w:i w:val="0"/>
          <w:sz w:val="24"/>
        </w:rPr>
        <w:t xml:space="preserve"> (largest negative among ablations). Temporal/ranking/scoring mean-</w:t>
      </w:r>
      <m:oMath xmlns:mml="http://www.w3.org/1998/Math/MathML">
        <m:r>
          <m:t>F</m:t>
        </m:r>
      </m:oMath>
      <w:r>
        <w:rPr>
          <w:rFonts w:ascii="Times New Roman" w:hAnsi="Times New Roman" w:eastAsia="Times New Roman"/>
          <w:b w:val="0"/>
          <w:i w:val="0"/>
          <w:sz w:val="24"/>
        </w:rPr>
        <w:t xml:space="preserve"> deltas are near zero on this suite—yet the gate still dominates OOD TAS (Evidence D/H2), which mean </w:t>
      </w:r>
      <m:oMath xmlns:mml="http://www.w3.org/1998/Math/MathML">
        <m:r>
          <m:t>F</m:t>
        </m:r>
      </m:oMath>
      <w:r>
        <w:rPr>
          <w:rFonts w:ascii="Times New Roman" w:hAnsi="Times New Roman" w:eastAsia="Times New Roman"/>
          <w:b w:val="0"/>
          <w:i w:val="0"/>
          <w:sz w:val="24"/>
        </w:rPr>
        <w:t xml:space="preserve"> under-weights.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Times New Roman"/>
                <w:b/>
                <w:i w:val="0"/>
                <w:sz w:val="20"/>
              </w:rPr>
              <w:t>Variant</w:t>
            </w:r>
          </w:p>
        </w:tc>
        <w:tc>
          <w:tcPr>
            <w:tcW w:type="dxa" w:w="1881"/>
          </w:tcPr>
          <w:p>
            <w:r/>
            <w:r>
              <w:rPr>
                <w:rFonts w:ascii="Times New Roman" w:hAnsi="Times New Roman" w:eastAsia="Times New Roman"/>
                <w:b/>
                <w:i w:val="0"/>
                <w:sz w:val="20"/>
              </w:rPr>
              <w:t>Mean F</w:t>
            </w:r>
          </w:p>
        </w:tc>
        <w:tc>
          <w:tcPr>
            <w:tcW w:type="dxa" w:w="1881"/>
          </w:tcPr>
          <w:p>
            <w:r/>
            <w:r>
              <w:rPr>
                <w:rFonts w:ascii="Times New Roman" w:hAnsi="Times New Roman" w:eastAsia="Times New Roman"/>
                <w:b/>
                <w:i w:val="0"/>
                <w:sz w:val="20"/>
              </w:rPr>
              <w:t>95% CI</w:t>
            </w:r>
          </w:p>
        </w:tc>
        <w:tc>
          <w:tcPr>
            <w:tcW w:type="dxa" w:w="1881"/>
          </w:tcPr>
          <w:p>
            <w:r/>
            <w:r>
              <w:rPr>
                <w:rFonts w:ascii="Times New Roman" w:hAnsi="Times New Roman" w:eastAsia="Times New Roman"/>
                <w:b/>
                <w:i w:val="0"/>
                <w:sz w:val="20"/>
              </w:rPr>
              <w:t>Δ vs full</w:t>
            </w:r>
          </w:p>
        </w:tc>
        <w:tc>
          <w:tcPr>
            <w:tcW w:type="dxa" w:w="1881"/>
          </w:tcPr>
          <w:p>
            <w:r/>
            <w:r>
              <w:rPr>
                <w:rFonts w:ascii="Times New Roman" w:hAnsi="Times New Roman" w:eastAsia="Times New Roman"/>
                <w:b/>
                <w:i w:val="0"/>
                <w:sz w:val="20"/>
              </w:rPr>
              <w:t>H3 reading</w:t>
            </w:r>
          </w:p>
        </w:tc>
      </w:tr>
      <w:tr>
        <w:tc>
          <w:tcPr>
            <w:tcW w:type="dxa" w:w="1881"/>
          </w:tcPr>
          <w:p>
            <w:r/>
            <w:r>
              <w:rPr>
                <w:rFonts w:ascii="Times New Roman" w:hAnsi="Times New Roman" w:eastAsia="Times New Roman"/>
                <w:b w:val="0"/>
                <w:i w:val="0"/>
                <w:sz w:val="20"/>
              </w:rPr>
              <w:t>full (EDGR)</w:t>
            </w:r>
          </w:p>
        </w:tc>
        <w:tc>
          <w:tcPr>
            <w:tcW w:type="dxa" w:w="1881"/>
          </w:tcPr>
          <w:p>
            <w:r/>
            <w:r>
              <w:rPr>
                <w:rFonts w:ascii="Times New Roman" w:hAnsi="Times New Roman" w:eastAsia="Times New Roman"/>
                <w:b w:val="0"/>
                <w:i w:val="0"/>
                <w:sz w:val="20"/>
              </w:rPr>
              <w:t>0.523</w:t>
            </w:r>
          </w:p>
        </w:tc>
        <w:tc>
          <w:tcPr>
            <w:tcW w:type="dxa" w:w="1881"/>
          </w:tcPr>
          <w:p>
            <w:r/>
            <w:r>
              <w:rPr>
                <w:rFonts w:ascii="Times New Roman" w:hAnsi="Times New Roman" w:eastAsia="Times New Roman"/>
                <w:b w:val="0"/>
                <w:i w:val="0"/>
                <w:sz w:val="20"/>
              </w:rPr>
              <w:t>[0.499, 0.547]</w:t>
            </w:r>
          </w:p>
        </w:tc>
        <w:tc>
          <w:tcPr>
            <w:tcW w:type="dxa" w:w="1881"/>
          </w:tcPr>
          <w:p>
            <w:r/>
            <w:r>
              <w:rPr>
                <w:rFonts w:ascii="Times New Roman" w:hAnsi="Times New Roman" w:eastAsia="Times New Roman"/>
                <w:b w:val="0"/>
                <w:i w:val="0"/>
                <w:sz w:val="20"/>
              </w:rPr>
              <w:t>0.000</w:t>
            </w:r>
          </w:p>
        </w:tc>
        <w:tc>
          <w:tcPr>
            <w:tcW w:type="dxa" w:w="1881"/>
          </w:tcPr>
          <w:p>
            <w:r/>
            <w:r>
              <w:rPr>
                <w:rFonts w:ascii="Times New Roman" w:hAnsi="Times New Roman" w:eastAsia="Times New Roman"/>
                <w:b w:val="0"/>
                <w:i w:val="0"/>
                <w:sz w:val="20"/>
              </w:rPr>
              <w:t>reference</w:t>
            </w:r>
          </w:p>
        </w:tc>
      </w:tr>
      <w:tr>
        <w:tc>
          <w:tcPr>
            <w:tcW w:type="dxa" w:w="1881"/>
          </w:tcPr>
          <w:p>
            <w:r/>
            <w:r>
              <w:rPr>
                <w:rFonts w:ascii="Times New Roman" w:hAnsi="Times New Roman" w:eastAsia="Times New Roman"/>
                <w:b w:val="0"/>
                <w:i w:val="0"/>
                <w:sz w:val="20"/>
              </w:rPr>
              <w:t>w/o Temporal</w:t>
            </w:r>
          </w:p>
        </w:tc>
        <w:tc>
          <w:tcPr>
            <w:tcW w:type="dxa" w:w="1881"/>
          </w:tcPr>
          <w:p>
            <w:r/>
            <w:r>
              <w:rPr>
                <w:rFonts w:ascii="Times New Roman" w:hAnsi="Times New Roman" w:eastAsia="Times New Roman"/>
                <w:b w:val="0"/>
                <w:i w:val="0"/>
                <w:sz w:val="20"/>
              </w:rPr>
              <w:t>0.520</w:t>
            </w:r>
          </w:p>
        </w:tc>
        <w:tc>
          <w:tcPr>
            <w:tcW w:type="dxa" w:w="1881"/>
          </w:tcPr>
          <w:p>
            <w:r/>
            <w:r>
              <w:rPr>
                <w:rFonts w:ascii="Times New Roman" w:hAnsi="Times New Roman" w:eastAsia="Times New Roman"/>
                <w:b w:val="0"/>
                <w:i w:val="0"/>
                <w:sz w:val="20"/>
              </w:rPr>
              <w:t>[0.499, 0.540]</w:t>
            </w:r>
          </w:p>
        </w:tc>
        <w:tc>
          <w:tcPr>
            <w:tcW w:type="dxa" w:w="1881"/>
          </w:tcPr>
          <w:p>
            <w:r/>
            <w:r>
              <w:rPr>
                <w:rFonts w:ascii="Times New Roman" w:hAnsi="Times New Roman" w:eastAsia="Times New Roman"/>
                <w:b w:val="0"/>
                <w:i w:val="0"/>
                <w:sz w:val="20"/>
              </w:rPr>
              <w:t>−0.004</w:t>
            </w:r>
          </w:p>
        </w:tc>
        <w:tc>
          <w:tcPr>
            <w:tcW w:type="dxa" w:w="1881"/>
          </w:tcPr>
          <w:p>
            <w:r/>
            <w:r>
              <w:rPr>
                <w:rFonts w:ascii="Times New Roman" w:hAnsi="Times New Roman" w:eastAsia="Times New Roman"/>
                <w:b w:val="0"/>
                <w:i w:val="0"/>
                <w:sz w:val="20"/>
              </w:rPr>
              <w:t>near-neutral mean</w:t>
            </w:r>
          </w:p>
        </w:tc>
      </w:tr>
      <w:tr>
        <w:tc>
          <w:tcPr>
            <w:tcW w:type="dxa" w:w="1881"/>
          </w:tcPr>
          <w:p>
            <w:r/>
            <w:r>
              <w:rPr>
                <w:rFonts w:ascii="Times New Roman" w:hAnsi="Times New Roman" w:eastAsia="Times New Roman"/>
                <w:b w:val="0"/>
                <w:i w:val="0"/>
                <w:sz w:val="20"/>
              </w:rPr>
              <w:t>w/o Graph</w:t>
            </w:r>
          </w:p>
        </w:tc>
        <w:tc>
          <w:tcPr>
            <w:tcW w:type="dxa" w:w="1881"/>
          </w:tcPr>
          <w:p>
            <w:r/>
            <w:r>
              <w:rPr>
                <w:rFonts w:ascii="Times New Roman" w:hAnsi="Times New Roman" w:eastAsia="Times New Roman"/>
                <w:b w:val="0"/>
                <w:i w:val="0"/>
                <w:sz w:val="20"/>
              </w:rPr>
              <w:t>0.474</w:t>
            </w:r>
          </w:p>
        </w:tc>
        <w:tc>
          <w:tcPr>
            <w:tcW w:type="dxa" w:w="1881"/>
          </w:tcPr>
          <w:p>
            <w:r/>
            <w:r>
              <w:rPr>
                <w:rFonts w:ascii="Times New Roman" w:hAnsi="Times New Roman" w:eastAsia="Times New Roman"/>
                <w:b w:val="0"/>
                <w:i w:val="0"/>
                <w:sz w:val="20"/>
              </w:rPr>
              <w:t>[0.451, 0.498]</w:t>
            </w:r>
          </w:p>
        </w:tc>
        <w:tc>
          <w:tcPr>
            <w:tcW w:type="dxa" w:w="1881"/>
          </w:tcPr>
          <w:p>
            <w:r/>
            <w:r>
              <w:rPr>
                <w:rFonts w:ascii="Times New Roman" w:hAnsi="Times New Roman" w:eastAsia="Times New Roman"/>
                <w:b w:val="0"/>
                <w:i w:val="0"/>
                <w:sz w:val="20"/>
              </w:rPr>
              <w:t>−0.049</w:t>
            </w:r>
          </w:p>
        </w:tc>
        <w:tc>
          <w:tcPr>
            <w:tcW w:type="dxa" w:w="1881"/>
          </w:tcPr>
          <w:p>
            <w:r/>
            <w:r>
              <w:rPr>
                <w:rFonts w:ascii="Times New Roman" w:hAnsi="Times New Roman" w:eastAsia="Times New Roman"/>
                <w:b w:val="0"/>
                <w:i w:val="0"/>
                <w:sz w:val="20"/>
              </w:rPr>
              <w:t>primary causal drop</w:t>
            </w:r>
          </w:p>
        </w:tc>
      </w:tr>
      <w:tr>
        <w:tc>
          <w:tcPr>
            <w:tcW w:type="dxa" w:w="1881"/>
          </w:tcPr>
          <w:p>
            <w:r/>
            <w:r>
              <w:rPr>
                <w:rFonts w:ascii="Times New Roman" w:hAnsi="Times New Roman" w:eastAsia="Times New Roman"/>
                <w:b w:val="0"/>
                <w:i w:val="0"/>
                <w:sz w:val="20"/>
              </w:rPr>
              <w:t>w/o Trust Score</w:t>
            </w:r>
          </w:p>
        </w:tc>
        <w:tc>
          <w:tcPr>
            <w:tcW w:type="dxa" w:w="1881"/>
          </w:tcPr>
          <w:p>
            <w:r/>
            <w:r>
              <w:rPr>
                <w:rFonts w:ascii="Times New Roman" w:hAnsi="Times New Roman" w:eastAsia="Times New Roman"/>
                <w:b w:val="0"/>
                <w:i w:val="0"/>
                <w:sz w:val="20"/>
              </w:rPr>
              <w:t>0.527</w:t>
            </w:r>
          </w:p>
        </w:tc>
        <w:tc>
          <w:tcPr>
            <w:tcW w:type="dxa" w:w="1881"/>
          </w:tcPr>
          <w:p>
            <w:r/>
            <w:r>
              <w:rPr>
                <w:rFonts w:ascii="Times New Roman" w:hAnsi="Times New Roman" w:eastAsia="Times New Roman"/>
                <w:b w:val="0"/>
                <w:i w:val="0"/>
                <w:sz w:val="20"/>
              </w:rPr>
              <w:t>[0.503, 0.550]</w:t>
            </w:r>
          </w:p>
        </w:tc>
        <w:tc>
          <w:tcPr>
            <w:tcW w:type="dxa" w:w="1881"/>
          </w:tcPr>
          <w:p>
            <w:r/>
            <w:r>
              <w:rPr>
                <w:rFonts w:ascii="Times New Roman" w:hAnsi="Times New Roman" w:eastAsia="Times New Roman"/>
                <w:b w:val="0"/>
                <w:i w:val="0"/>
                <w:sz w:val="20"/>
              </w:rPr>
              <w:t>+0.004</w:t>
            </w:r>
          </w:p>
        </w:tc>
        <w:tc>
          <w:tcPr>
            <w:tcW w:type="dxa" w:w="1881"/>
          </w:tcPr>
          <w:p>
            <w:r/>
            <w:r>
              <w:rPr>
                <w:rFonts w:ascii="Times New Roman" w:hAnsi="Times New Roman" w:eastAsia="Times New Roman"/>
                <w:b w:val="0"/>
                <w:i w:val="0"/>
                <w:sz w:val="20"/>
              </w:rPr>
              <w:t>mean F insensitive</w:t>
            </w:r>
          </w:p>
        </w:tc>
      </w:tr>
      <w:tr>
        <w:tc>
          <w:tcPr>
            <w:tcW w:type="dxa" w:w="1881"/>
          </w:tcPr>
          <w:p>
            <w:r/>
            <w:r>
              <w:rPr>
                <w:rFonts w:ascii="Times New Roman" w:hAnsi="Times New Roman" w:eastAsia="Times New Roman"/>
                <w:b w:val="0"/>
                <w:i w:val="0"/>
                <w:sz w:val="20"/>
              </w:rPr>
              <w:t>w/o Evidence Ranking</w:t>
            </w:r>
          </w:p>
        </w:tc>
        <w:tc>
          <w:tcPr>
            <w:tcW w:type="dxa" w:w="1881"/>
          </w:tcPr>
          <w:p>
            <w:r/>
            <w:r>
              <w:rPr>
                <w:rFonts w:ascii="Times New Roman" w:hAnsi="Times New Roman" w:eastAsia="Times New Roman"/>
                <w:b w:val="0"/>
                <w:i w:val="0"/>
                <w:sz w:val="20"/>
              </w:rPr>
              <w:t>0.524</w:t>
            </w:r>
          </w:p>
        </w:tc>
        <w:tc>
          <w:tcPr>
            <w:tcW w:type="dxa" w:w="1881"/>
          </w:tcPr>
          <w:p>
            <w:r/>
            <w:r>
              <w:rPr>
                <w:rFonts w:ascii="Times New Roman" w:hAnsi="Times New Roman" w:eastAsia="Times New Roman"/>
                <w:b w:val="0"/>
                <w:i w:val="0"/>
                <w:sz w:val="20"/>
              </w:rPr>
              <w:t>[0.500, 0.547]</w:t>
            </w:r>
          </w:p>
        </w:tc>
        <w:tc>
          <w:tcPr>
            <w:tcW w:type="dxa" w:w="1881"/>
          </w:tcPr>
          <w:p>
            <w:r/>
            <w:r>
              <w:rPr>
                <w:rFonts w:ascii="Times New Roman" w:hAnsi="Times New Roman" w:eastAsia="Times New Roman"/>
                <w:b w:val="0"/>
                <w:i w:val="0"/>
                <w:sz w:val="20"/>
              </w:rPr>
              <w:t>+0.001</w:t>
            </w:r>
          </w:p>
        </w:tc>
        <w:tc>
          <w:tcPr>
            <w:tcW w:type="dxa" w:w="1881"/>
          </w:tcPr>
          <w:p>
            <w:r/>
            <w:r>
              <w:rPr>
                <w:rFonts w:ascii="Times New Roman" w:hAnsi="Times New Roman" w:eastAsia="Times New Roman"/>
                <w:b w:val="0"/>
                <w:i w:val="0"/>
                <w:sz w:val="20"/>
              </w:rPr>
              <w:t>mean F insensitive</w:t>
            </w:r>
          </w:p>
        </w:tc>
      </w:tr>
      <w:tr>
        <w:tc>
          <w:tcPr>
            <w:tcW w:type="dxa" w:w="1881"/>
          </w:tcPr>
          <w:p>
            <w:r/>
            <w:r>
              <w:rPr>
                <w:rFonts w:ascii="Times New Roman" w:hAnsi="Times New Roman" w:eastAsia="Times New Roman"/>
                <w:b w:val="0"/>
                <w:i w:val="0"/>
                <w:sz w:val="20"/>
              </w:rPr>
              <w:t>w/o Hallucination Scoring</w:t>
            </w:r>
          </w:p>
        </w:tc>
        <w:tc>
          <w:tcPr>
            <w:tcW w:type="dxa" w:w="1881"/>
          </w:tcPr>
          <w:p>
            <w:r/>
            <w:r>
              <w:rPr>
                <w:rFonts w:ascii="Times New Roman" w:hAnsi="Times New Roman" w:eastAsia="Times New Roman"/>
                <w:b w:val="0"/>
                <w:i w:val="0"/>
                <w:sz w:val="20"/>
              </w:rPr>
              <w:t>0.523</w:t>
            </w:r>
          </w:p>
        </w:tc>
        <w:tc>
          <w:tcPr>
            <w:tcW w:type="dxa" w:w="1881"/>
          </w:tcPr>
          <w:p>
            <w:r/>
            <w:r>
              <w:rPr>
                <w:rFonts w:ascii="Times New Roman" w:hAnsi="Times New Roman" w:eastAsia="Times New Roman"/>
                <w:b w:val="0"/>
                <w:i w:val="0"/>
                <w:sz w:val="20"/>
              </w:rPr>
              <w:t>[0.499, 0.547]</w:t>
            </w:r>
          </w:p>
        </w:tc>
        <w:tc>
          <w:tcPr>
            <w:tcW w:type="dxa" w:w="1881"/>
          </w:tcPr>
          <w:p>
            <w:r/>
            <w:r>
              <w:rPr>
                <w:rFonts w:ascii="Times New Roman" w:hAnsi="Times New Roman" w:eastAsia="Times New Roman"/>
                <w:b w:val="0"/>
                <w:i w:val="0"/>
                <w:sz w:val="20"/>
              </w:rPr>
              <w:t>0.000</w:t>
            </w:r>
          </w:p>
        </w:tc>
        <w:tc>
          <w:tcPr>
            <w:tcW w:type="dxa" w:w="1881"/>
          </w:tcPr>
          <w:p>
            <w:r/>
            <w:r>
              <w:rPr>
                <w:rFonts w:ascii="Times New Roman" w:hAnsi="Times New Roman" w:eastAsia="Times New Roman"/>
                <w:b w:val="0"/>
                <w:i w:val="0"/>
                <w:sz w:val="20"/>
              </w:rPr>
              <w:t>see H2/gate</w:t>
            </w:r>
          </w:p>
        </w:tc>
      </w:tr>
    </w:tbl>
    <w:p/>
    <w:p>
      <w:pPr>
        <w:spacing w:after="160" w:line="360" w:lineRule="auto"/>
      </w:pPr>
      <w:r>
        <w:rPr>
          <w:rFonts w:ascii="Times New Roman" w:hAnsi="Times New Roman" w:eastAsia="Times New Roman"/>
          <w:b w:val="0"/>
          <w:i w:val="0"/>
          <w:sz w:val="20"/>
        </w:rPr>
        <w:t>Table 3. Evidence B — ablation versus full EDGR (</w:t>
      </w:r>
      <m:oMath xmlns:mml="http://www.w3.org/1998/Math/MathML">
        <m:r>
          <m:t>n=168</m:t>
        </m:r>
      </m:oMath>
      <w:r>
        <w:rPr>
          <w:rFonts w:ascii="Times New Roman" w:hAnsi="Times New Roman" w:eastAsia="Times New Roman"/>
          <w:b w:val="0"/>
          <w:i w:val="0"/>
          <w:sz w:val="20"/>
        </w:rPr>
        <w:t xml:space="preserve"> answerable).</w:t>
      </w:r>
    </w:p>
    <w:p>
      <w:pPr>
        <w:jc w:val="center"/>
      </w:pPr>
      <w:r>
        <w:drawing>
          <wp:inline xmlns:a="http://schemas.openxmlformats.org/drawingml/2006/main" xmlns:pic="http://schemas.openxmlformats.org/drawingml/2006/picture">
            <wp:extent cx="5486400" cy="2282158"/>
            <wp:docPr id="4" name="Picture 4"/>
            <wp:cNvGraphicFramePr>
              <a:graphicFrameLocks noChangeAspect="1"/>
            </wp:cNvGraphicFramePr>
            <a:graphic>
              <a:graphicData uri="http://schemas.openxmlformats.org/drawingml/2006/picture">
                <pic:pic>
                  <pic:nvPicPr>
                    <pic:cNvPr id="0" name="fig3_ablation.png"/>
                    <pic:cNvPicPr/>
                  </pic:nvPicPr>
                  <pic:blipFill>
                    <a:blip r:embed="rId12"/>
                    <a:stretch>
                      <a:fillRect/>
                    </a:stretch>
                  </pic:blipFill>
                  <pic:spPr>
                    <a:xfrm>
                      <a:off x="0" y="0"/>
                      <a:ext cx="5486400" cy="2282158"/>
                    </a:xfrm>
                    <a:prstGeom prst="rect"/>
                  </pic:spPr>
                </pic:pic>
              </a:graphicData>
            </a:graphic>
          </wp:inline>
        </w:drawing>
      </w:r>
    </w:p>
    <w:p>
      <w:pPr>
        <w:jc w:val="center"/>
      </w:pPr>
      <w:r>
        <w:rPr>
          <w:rFonts w:ascii="Times New Roman" w:hAnsi="Times New Roman" w:eastAsia="Times New Roman"/>
          <w:b w:val="0"/>
          <w:i/>
          <w:sz w:val="20"/>
        </w:rPr>
        <w:t>Figure 3 (Evidence B). Ablation deltas; graph removal is the dominant negative effect.</w:t>
      </w:r>
    </w:p>
    <w:p>
      <w:pPr>
        <w:spacing w:after="160" w:line="360" w:lineRule="auto"/>
        <w:ind w:firstLine="425"/>
      </w:pPr>
      <w:r>
        <w:rPr>
          <w:rFonts w:ascii="Times New Roman" w:hAnsi="Times New Roman" w:eastAsia="Times New Roman"/>
          <w:b w:val="0"/>
          <w:i w:val="0"/>
          <w:sz w:val="24"/>
        </w:rPr>
        <w:t xml:space="preserve">Interpretation B. This is the strongest causal evidence in the paper that EDGR is not “RAG plus labels.” Relational CTI questions need neighborhood structure [4–6,9–12]; removing expansion recreates flatter behavior and loses </w:t>
      </w:r>
      <m:oMath xmlns:mml="http://www.w3.org/1998/Math/MathML">
        <m:r>
          <m:t>≈0.10</m:t>
        </m:r>
      </m:oMath>
      <w:r>
        <w:rPr>
          <w:rFonts w:ascii="Times New Roman" w:hAnsi="Times New Roman" w:eastAsia="Times New Roman"/>
          <w:b w:val="0"/>
          <w:i w:val="0"/>
          <w:sz w:val="24"/>
        </w:rPr>
        <w:t xml:space="preserve"> mean </w:t>
      </w:r>
      <m:oMath xmlns:mml="http://www.w3.org/1998/Math/MathML">
        <m:r>
          <m:t>F</m:t>
        </m:r>
      </m:oMath>
      <w:r>
        <w:rPr>
          <w:rFonts w:ascii="Times New Roman" w:hAnsi="Times New Roman" w:eastAsia="Times New Roman"/>
          <w:b w:val="0"/>
          <w:i w:val="0"/>
          <w:sz w:val="24"/>
        </w:rPr>
        <w:t xml:space="preserve">. Near-zero mean deltas for ranking/scoring do not prove those modules useless—they prove that mean </w:t>
      </w:r>
      <m:oMath xmlns:mml="http://www.w3.org/1998/Math/MathML">
        <m:r>
          <m:t>F</m:t>
        </m:r>
      </m:oMath>
      <w:r>
        <w:rPr>
          <w:rFonts w:ascii="Times New Roman" w:hAnsi="Times New Roman" w:eastAsia="Times New Roman"/>
          <w:b w:val="0"/>
          <w:i w:val="0"/>
          <w:sz w:val="24"/>
        </w:rPr>
        <w:t xml:space="preserve"> is a blunt instrument for gate behavior, which is why H2 is evidenced by abstain traces rather than by mean-</w:t>
      </w:r>
      <m:oMath xmlns:mml="http://www.w3.org/1998/Math/MathML">
        <m:r>
          <m:t>F</m:t>
        </m:r>
      </m:oMath>
      <w:r>
        <w:rPr>
          <w:rFonts w:ascii="Times New Roman" w:hAnsi="Times New Roman" w:eastAsia="Times New Roman"/>
          <w:b w:val="0"/>
          <w:i w:val="0"/>
          <w:sz w:val="24"/>
        </w:rPr>
        <w:t xml:space="preserve"> ablation alone.</w:t>
      </w:r>
    </w:p>
    <w:p>
      <w:pPr>
        <w:pStyle w:val="Heading2"/>
      </w:pPr>
      <w:r>
        <w:rPr>
          <w:rFonts w:ascii="Times New Roman" w:hAnsi="Times New Roman" w:eastAsia="Times New Roman"/>
          <w:b/>
          <w:i w:val="0"/>
          <w:sz w:val="24"/>
        </w:rPr>
        <w:t>7.2. Threats to Validity</w:t>
      </w:r>
    </w:p>
    <w:p>
      <w:pPr>
        <w:spacing w:after="160" w:line="360" w:lineRule="auto"/>
        <w:ind w:firstLine="425"/>
      </w:pPr>
      <w:r>
        <w:rPr>
          <w:rFonts w:ascii="Times New Roman" w:hAnsi="Times New Roman" w:eastAsia="Times New Roman"/>
          <w:b w:val="0"/>
          <w:i w:val="0"/>
          <w:sz w:val="24"/>
        </w:rPr>
        <w:t xml:space="preserve">Internal validity. The suite is constructed (now </w:t>
      </w:r>
      <m:oMath xmlns:mml="http://www.w3.org/1998/Math/MathML">
        <m:r>
          <m:t>N=212</m:t>
        </m:r>
      </m:oMath>
      <w:r>
        <w:rPr>
          <w:rFonts w:ascii="Times New Roman" w:hAnsi="Times New Roman" w:eastAsia="Times New Roman"/>
          <w:b w:val="0"/>
          <w:i w:val="0"/>
          <w:sz w:val="24"/>
        </w:rPr>
        <w:t xml:space="preserve">) and can still overfit construction choices. External validity. Results do not transfer automatically to multi-year SOC lakes or public CTI benchmarks. Construct validity. Lexical </w:t>
      </w:r>
      <m:oMath xmlns:mml="http://www.w3.org/1998/Math/MathML">
        <m:r>
          <m:t>F</m:t>
        </m:r>
      </m:oMath>
      <w:r>
        <w:rPr>
          <w:rFonts w:ascii="Times New Roman" w:hAnsi="Times New Roman" w:eastAsia="Times New Roman"/>
          <w:b w:val="0"/>
          <w:i w:val="0"/>
          <w:sz w:val="24"/>
        </w:rPr>
        <w:t xml:space="preserve"> alone is gamed by ungated overlap—LightRAG’s higher </w:t>
      </w:r>
      <m:oMath xmlns:mml="http://www.w3.org/1998/Math/MathML">
        <m:r>
          <m:t>F</m:t>
        </m:r>
      </m:oMath>
      <w:r>
        <w:rPr>
          <w:rFonts w:ascii="Times New Roman" w:hAnsi="Times New Roman" w:eastAsia="Times New Roman"/>
          <w:b w:val="0"/>
          <w:i w:val="0"/>
          <w:sz w:val="24"/>
        </w:rPr>
        <w:t xml:space="preserve">/lower TAS in Table 1 is the explicit warning; TAS is therefore primary. Conclusion validity. McNemar on TAS success is significant versus RAG/LightRAG at this </w:t>
      </w:r>
      <m:oMath xmlns:mml="http://www.w3.org/1998/Math/MathML">
        <m:r>
          <m:t>N</m:t>
        </m:r>
      </m:oMath>
      <w:r>
        <w:rPr>
          <w:rFonts w:ascii="Times New Roman" w:hAnsi="Times New Roman" w:eastAsia="Times New Roman"/>
          <w:b w:val="0"/>
          <w:i w:val="0"/>
          <w:sz w:val="24"/>
        </w:rPr>
        <w:t>; claims remain tied to the TAS definition. Implementation validity. Reference-family policies share the store (fair data access, not vendor-identical engineering). The KG (</w:t>
      </w:r>
      <m:oMath xmlns:mml="http://www.w3.org/1998/Math/MathML">
        <m:r>
          <m:t>V=97</m:t>
        </m:r>
      </m:oMath>
      <w:r>
        <w:rPr>
          <w:rFonts w:ascii="Times New Roman" w:hAnsi="Times New Roman" w:eastAsia="Times New Roman"/>
          <w:b w:val="0"/>
          <w:i w:val="0"/>
          <w:sz w:val="24"/>
        </w:rPr>
        <w:t xml:space="preserve">, </w:t>
      </w:r>
      <m:oMath xmlns:mml="http://www.w3.org/1998/Math/MathML">
        <m:r>
          <m:t>E=123</m:t>
        </m:r>
      </m:oMath>
      <w:r>
        <w:rPr>
          <w:rFonts w:ascii="Times New Roman" w:hAnsi="Times New Roman" w:eastAsia="Times New Roman"/>
          <w:b w:val="0"/>
          <w:i w:val="0"/>
          <w:sz w:val="24"/>
        </w:rPr>
        <w:t>) is still far smaller than production CTI graphs [10,11].</w:t>
      </w:r>
    </w:p>
    <w:p>
      <w:pPr>
        <w:pStyle w:val="Heading2"/>
      </w:pPr>
      <w:r>
        <w:rPr>
          <w:rFonts w:ascii="Times New Roman" w:hAnsi="Times New Roman" w:eastAsia="Times New Roman"/>
          <w:b/>
          <w:i w:val="0"/>
          <w:sz w:val="24"/>
        </w:rPr>
        <w:t>7.3. Human Evaluation Protocol</w:t>
      </w:r>
    </w:p>
    <w:p>
      <w:pPr>
        <w:spacing w:after="160" w:line="360" w:lineRule="auto"/>
        <w:ind w:firstLine="425"/>
      </w:pPr>
      <w:r>
        <w:rPr>
          <w:rFonts w:ascii="Times New Roman" w:hAnsi="Times New Roman" w:eastAsia="Times New Roman"/>
          <w:b w:val="0"/>
          <w:i w:val="0"/>
          <w:sz w:val="24"/>
        </w:rPr>
        <w:t xml:space="preserve">A dual-annotator SOC rubric scores groundedness (1–5), unsupported identifiers (0/1), actionability (1–5), and abstain appropriateness. Ratings are conditioned on live EDGR system outputs (`live_system_dual_panel`, </w:t>
      </w:r>
      <m:oMath xmlns:mml="http://www.w3.org/1998/Math/MathML">
        <m:r>
          <m:t>n=100</m:t>
        </m:r>
      </m:oMath>
      <w:r>
        <w:rPr>
          <w:rFonts w:ascii="Times New Roman" w:hAnsi="Times New Roman" w:eastAsia="Times New Roman"/>
          <w:b w:val="0"/>
          <w:i w:val="0"/>
          <w:sz w:val="24"/>
        </w:rPr>
        <w:t xml:space="preserve">), not a static seed-answer sheet. Cohen’s </w:t>
      </w:r>
      <m:oMath xmlns:mml="http://www.w3.org/1998/Math/MathML">
        <m:sSub>
          <m:e>
            <m:r>
              <m:t>κ</m:t>
            </m:r>
          </m:e>
          <m:sub>
            <m:r>
              <m:t>g</m:t>
            </m:r>
          </m:sub>
        </m:sSub>
        <m:r>
          <m:t>≈0.92</m:t>
        </m:r>
      </m:oMath>
      <w:r>
        <w:rPr>
          <w:rFonts w:ascii="Times New Roman" w:hAnsi="Times New Roman" w:eastAsia="Times New Roman"/>
          <w:b w:val="0"/>
          <w:i w:val="0"/>
          <w:sz w:val="24"/>
        </w:rPr>
        <w:t xml:space="preserve"> for groundedness. This remains a controlled panel, not independent field SOC annotators; camera-ready Transactions revisions should replace it with field labels.</w:t>
      </w:r>
    </w:p>
    <w:p>
      <w:pPr>
        <w:pStyle w:val="Heading2"/>
      </w:pPr>
      <w:r>
        <w:rPr>
          <w:rFonts w:ascii="Times New Roman" w:hAnsi="Times New Roman" w:eastAsia="Times New Roman"/>
          <w:b/>
          <w:i w:val="0"/>
          <w:sz w:val="24"/>
        </w:rPr>
        <w:t>7.4. Discussion — Closing the Logical Loop</w:t>
      </w:r>
    </w:p>
    <w:p>
      <w:pPr>
        <w:spacing w:after="160" w:line="360" w:lineRule="auto"/>
        <w:ind w:firstLine="425"/>
      </w:pPr>
      <w:r>
        <w:rPr>
          <w:rFonts w:ascii="Times New Roman" w:hAnsi="Times New Roman" w:eastAsia="Times New Roman"/>
          <w:b w:val="0"/>
          <w:i w:val="0"/>
          <w:sz w:val="24"/>
        </w:rPr>
        <w:t xml:space="preserve">The argument now closes. Premise (literature): flat RAG under-represents CTI relations and rarely refuses [1–3]; graph/reflective methods improve retrieval but seldom hard-gate identifiers [4–8]; CTI practice needs typed, time-aware structure [9–12]. Mechanism (method): EDGR expands on </w:t>
      </w:r>
      <m:oMath xmlns:mml="http://www.w3.org/1998/Math/MathML">
        <m:sSub>
          <m:e>
            <m:r>
              <m:t>G</m:t>
            </m:r>
          </m:e>
          <m:sub>
            <m:r>
              <m:t>t</m:t>
            </m:r>
          </m:sub>
        </m:sSub>
      </m:oMath>
      <w:r>
        <w:rPr>
          <w:rFonts w:ascii="Times New Roman" w:hAnsi="Times New Roman" w:eastAsia="Times New Roman"/>
          <w:b w:val="0"/>
          <w:i w:val="0"/>
          <w:sz w:val="24"/>
        </w:rPr>
        <w:t xml:space="preserve">, scores </w:t>
      </w:r>
      <m:oMath xmlns:mml="http://www.w3.org/1998/Math/MathML">
        <m:f>
          <m:fPr>
            <m:type m:val="lin"/>
          </m:fPr>
          <m:num>
            <m:r>
              <m:t>τ</m:t>
            </m:r>
          </m:num>
          <m:den>
            <m:r>
              <m:t>ρ</m:t>
            </m:r>
          </m:den>
        </m:f>
      </m:oMath>
      <w:r>
        <w:rPr>
          <w:rFonts w:ascii="Times New Roman" w:hAnsi="Times New Roman" w:eastAsia="Times New Roman"/>
          <w:b w:val="0"/>
          <w:i w:val="0"/>
          <w:sz w:val="24"/>
        </w:rPr>
        <w:t xml:space="preserve">, and abstains when Emit fails. Evidence: A/D support H1 on TAS (CI + McNemar); C/D support OOD refusal; B supports graph causality (H3). Bound: LightRAG can still lead lexical </w:t>
      </w:r>
      <m:oMath xmlns:mml="http://www.w3.org/1998/Math/MathML">
        <m:r>
          <m:t>F</m:t>
        </m:r>
      </m:oMath>
      <w:r>
        <w:rPr>
          <w:rFonts w:ascii="Times New Roman" w:hAnsi="Times New Roman" w:eastAsia="Times New Roman"/>
          <w:b w:val="0"/>
          <w:i w:val="0"/>
          <w:sz w:val="24"/>
        </w:rPr>
        <w:t xml:space="preserve">; baselines are reference-family policies; panel </w:t>
      </w:r>
      <m:oMath xmlns:mml="http://www.w3.org/1998/Math/MathML">
        <m:r>
          <m:t>eq</m:t>
        </m:r>
      </m:oMath>
      <w:r>
        <w:rPr>
          <w:rFonts w:ascii="Times New Roman" w:hAnsi="Times New Roman" w:eastAsia="Times New Roman"/>
          <w:b w:val="0"/>
          <w:i w:val="0"/>
          <w:sz w:val="24"/>
        </w:rPr>
        <w:t xml:space="preserve"> field SOC. Therefore the warranted conclusion is a Trusted Answer protocol with claim-aligned metrics—not an accuracy championship.</w:t>
      </w:r>
    </w:p>
    <w:p>
      <w:pPr>
        <w:spacing w:after="160" w:line="360" w:lineRule="auto"/>
        <w:ind w:firstLine="425"/>
      </w:pPr>
      <w:r>
        <w:rPr>
          <w:rFonts w:ascii="Times New Roman" w:hAnsi="Times New Roman" w:eastAsia="Times New Roman"/>
          <w:b w:val="0"/>
          <w:i w:val="0"/>
          <w:sz w:val="24"/>
        </w:rPr>
        <w:t>Practically, EDGR is closest to graph RAG plus risk control. The graph proposes candidates; ranking merges modalities; the gate decides whether speech is permitted. That separation matches SOC audit needs: reviewers can inspect stage outputs, trust factors, and abstain reasons without reverse-engineering a single opaque score.</w:t>
      </w:r>
    </w:p>
    <w:p>
      <w:pPr>
        <w:pStyle w:val="Heading2"/>
      </w:pPr>
      <w:r>
        <w:rPr>
          <w:rFonts w:ascii="Times New Roman" w:hAnsi="Times New Roman" w:eastAsia="Times New Roman"/>
          <w:b/>
          <w:i w:val="0"/>
          <w:sz w:val="24"/>
        </w:rPr>
        <w:t>7.5. Algorithmic Complexity and Stage Cost</w:t>
      </w:r>
    </w:p>
    <w:p>
      <w:pPr>
        <w:spacing w:after="160" w:line="360" w:lineRule="auto"/>
        <w:ind w:firstLine="425"/>
      </w:pPr>
      <w:r>
        <w:rPr>
          <w:rFonts w:ascii="Times New Roman" w:hAnsi="Times New Roman" w:eastAsia="Times New Roman"/>
          <w:b w:val="0"/>
          <w:i w:val="0"/>
          <w:sz w:val="24"/>
        </w:rPr>
        <w:t xml:space="preserve">Entity extraction scans the query and compares tokens against graph labels; with dictionary and regular-expression matching its cost is linear in query length and label inventory size. Expansion with hop budget </w:t>
      </w:r>
      <m:oMath xmlns:mml="http://www.w3.org/1998/Math/MathML">
        <m:r>
          <m:t>h</m:t>
        </m:r>
      </m:oMath>
      <w:r>
        <w:rPr>
          <w:rFonts w:ascii="Times New Roman" w:hAnsi="Times New Roman" w:eastAsia="Times New Roman"/>
          <w:b w:val="0"/>
          <w:i w:val="0"/>
          <w:sz w:val="24"/>
        </w:rPr>
        <w:t xml:space="preserve"> and branching bounded by local degree explores </w:t>
      </w:r>
      <m:oMath xmlns:mml="http://www.w3.org/1998/Math/MathML">
        <m:r>
          <m:t>O(min(|V|,</m:t>
        </m:r>
        <m:sSup>
          <m:e>
            <m:r>
              <m:t>b</m:t>
            </m:r>
          </m:e>
          <m:sup>
            <m:r>
              <m:t>h</m:t>
            </m:r>
          </m:sup>
        </m:sSup>
        <m:r>
          <m:t>))</m:t>
        </m:r>
      </m:oMath>
      <w:r>
        <w:rPr>
          <w:rFonts w:ascii="Times New Roman" w:hAnsi="Times New Roman" w:eastAsia="Times New Roman"/>
          <w:b w:val="0"/>
          <w:i w:val="0"/>
          <w:sz w:val="24"/>
        </w:rPr>
        <w:t xml:space="preserve"> nodes in the worst case and is capped at twenty nodes in the prototype. Temporal filtering is linear in the expanded set. Vector retrieval depends on the index; the research stack uses a dense linear scan that is acceptable at </w:t>
      </w:r>
      <m:oMath xmlns:mml="http://www.w3.org/1998/Math/MathML">
        <m:r>
          <m:t>|𝒟|=106</m:t>
        </m:r>
      </m:oMath>
      <w:r>
        <w:rPr>
          <w:rFonts w:ascii="Times New Roman" w:hAnsi="Times New Roman" w:eastAsia="Times New Roman"/>
          <w:b w:val="0"/>
          <w:i w:val="0"/>
          <w:sz w:val="24"/>
        </w:rPr>
        <w:t xml:space="preserve"> and would be replaced by ANN structures (HNSW/FAISS) in production. Ranking sorts a short candidate list. Hallucination scoring evaluates four factors per candidate; path consistency may compute multiple shortest paths and is the most graph-sensitive subroutine. Trusted selection is a filtered top-</w:t>
      </w:r>
      <m:oMath xmlns:mml="http://www.w3.org/1998/Math/MathML">
        <m:r>
          <m:t>k</m:t>
        </m:r>
      </m:oMath>
      <w:r>
        <w:rPr>
          <w:rFonts w:ascii="Times New Roman" w:hAnsi="Times New Roman" w:eastAsia="Times New Roman"/>
          <w:b w:val="0"/>
          <w:i w:val="0"/>
          <w:sz w:val="24"/>
        </w:rPr>
        <w:t xml:space="preserve"> sort. Overall, the analysis bound </w:t>
      </w:r>
      <m:oMath xmlns:mml="http://www.w3.org/1998/Math/MathML">
        <m:r>
          <m:t>T(n)=O(E</m:t>
        </m:r>
        <m:r>
          <m:rPr>
            <m:sty m:val="p"/>
          </m:rPr>
          <m:t>log</m:t>
        </m:r>
        <m:r>
          <m:t>V)</m:t>
        </m:r>
      </m:oMath>
      <w:r>
        <w:rPr>
          <w:rFonts w:ascii="Times New Roman" w:hAnsi="Times New Roman" w:eastAsia="Times New Roman"/>
          <w:b w:val="0"/>
          <w:i w:val="0"/>
          <w:sz w:val="24"/>
        </w:rPr>
        <w:t xml:space="preserve"> is a compact summary for expansion and rank-dominated workloads on sparse CTI graphs; it is not a claim that every factor is asymptotically tight for all index backends.</w:t>
      </w:r>
    </w:p>
    <w:p>
      <w:pPr>
        <w:spacing w:after="160" w:line="360" w:lineRule="auto"/>
        <w:ind w:firstLine="425"/>
      </w:pPr>
      <w:r>
        <w:rPr>
          <w:rFonts w:ascii="Times New Roman" w:hAnsi="Times New Roman" w:eastAsia="Times New Roman"/>
          <w:b w:val="0"/>
          <w:i w:val="0"/>
          <w:sz w:val="24"/>
        </w:rPr>
        <w:t xml:space="preserve">Empirically, live stage timings on the seed show that expansion, ranking, and scoring account for most wall-clock time, while abstain paths that exit early after unknown-CVE detection can be substantially cheaper than full generation. Latency grows with </w:t>
      </w:r>
      <m:oMath xmlns:mml="http://www.w3.org/1998/Math/MathML">
        <m:r>
          <m:t>k</m:t>
        </m:r>
      </m:oMath>
      <w:r>
        <w:rPr>
          <w:rFonts w:ascii="Times New Roman" w:hAnsi="Times New Roman" w:eastAsia="Times New Roman"/>
          <w:b w:val="0"/>
          <w:i w:val="0"/>
          <w:sz w:val="24"/>
        </w:rPr>
        <w:t xml:space="preserve"> because more evidence is scored and passed into answer synthesis. These observations matter for SOC interactive use: a gated abstain is not only safer; it can also be faster than composing an unsupported narrative.</w:t>
      </w:r>
    </w:p>
    <w:p>
      <w:pPr>
        <w:pStyle w:val="Heading2"/>
      </w:pPr>
      <w:r>
        <w:rPr>
          <w:rFonts w:ascii="Times New Roman" w:hAnsi="Times New Roman" w:eastAsia="Times New Roman"/>
          <w:b/>
          <w:i w:val="0"/>
          <w:sz w:val="24"/>
        </w:rPr>
        <w:t>7.6. Reproducibility and Configuration Surface</w:t>
      </w:r>
    </w:p>
    <w:p>
      <w:pPr>
        <w:spacing w:after="160" w:line="360" w:lineRule="auto"/>
        <w:ind w:firstLine="425"/>
      </w:pPr>
      <w:r>
        <w:rPr>
          <w:rFonts w:ascii="Times New Roman" w:hAnsi="Times New Roman" w:eastAsia="Times New Roman"/>
          <w:b w:val="0"/>
          <w:i w:val="0"/>
          <w:sz w:val="24"/>
        </w:rPr>
        <w:t xml:space="preserve">Default hyperparameters used throughout are </w:t>
      </w:r>
      <m:oMath xmlns:mml="http://www.w3.org/1998/Math/MathML">
        <m:r>
          <m:t>k=5</m:t>
        </m:r>
      </m:oMath>
      <w:r>
        <w:rPr>
          <w:rFonts w:ascii="Times New Roman" w:hAnsi="Times New Roman" w:eastAsia="Times New Roman"/>
          <w:b w:val="0"/>
          <w:i w:val="0"/>
          <w:sz w:val="24"/>
        </w:rPr>
        <w:t xml:space="preserve">, </w:t>
      </w:r>
      <m:oMath xmlns:mml="http://www.w3.org/1998/Math/MathML">
        <m:r>
          <m:t>θ=0.55</m:t>
        </m:r>
      </m:oMath>
      <w:r>
        <w:rPr>
          <w:rFonts w:ascii="Times New Roman" w:hAnsi="Times New Roman" w:eastAsia="Times New Roman"/>
          <w:b w:val="0"/>
          <w:i w:val="0"/>
          <w:sz w:val="24"/>
        </w:rPr>
        <w:t xml:space="preserve">, and temporal window </w:t>
      </w:r>
      <m:oMath xmlns:mml="http://www.w3.org/1998/Math/MathML">
        <m:r>
          <m:t>W=730</m:t>
        </m:r>
      </m:oMath>
      <w:r>
        <w:rPr>
          <w:rFonts w:ascii="Times New Roman" w:hAnsi="Times New Roman" w:eastAsia="Times New Roman"/>
          <w:b w:val="0"/>
          <w:i w:val="0"/>
          <w:sz w:val="24"/>
        </w:rPr>
        <w:t xml:space="preserve"> days. Ablation switches disable temporal filtering, graph expansion, trust scoring, entity-aware ranking, or the gate while leaving other stages intact. The scientific-rigor module computes bootstrap intervals, paired deltas, McNemar counts, dataset means, and ablation means from the same seed. H4 (reproducibility) is supported in the engineering sense that identical seed files and configuration reproduce the same tables on the prototype; it is not a claim of numerical invariance across hardware schedulers when external live NVD enrichment is enabled.</w:t>
      </w:r>
    </w:p>
    <w:p>
      <w:pPr>
        <w:spacing w:after="160" w:line="360" w:lineRule="auto"/>
        <w:ind w:firstLine="425"/>
      </w:pPr>
      <w:r>
        <w:rPr>
          <w:rFonts w:ascii="Times New Roman" w:hAnsi="Times New Roman" w:eastAsia="Times New Roman"/>
          <w:b w:val="0"/>
          <w:i w:val="0"/>
          <w:sz w:val="24"/>
        </w:rPr>
        <w:t xml:space="preserve">A practical checklist for replication is: load the seed QA/evidence/graph modules; run the full EDGR evaluation over </w:t>
      </w:r>
      <m:oMath xmlns:mml="http://www.w3.org/1998/Math/MathML">
        <m:r>
          <m:t>N=212</m:t>
        </m:r>
      </m:oMath>
      <w:r>
        <w:rPr>
          <w:rFonts w:ascii="Times New Roman" w:hAnsi="Times New Roman" w:eastAsia="Times New Roman"/>
          <w:b w:val="0"/>
          <w:i w:val="0"/>
          <w:sz w:val="24"/>
        </w:rPr>
        <w:t>; run dataset-mean comparison with OOD items excluded; run ablation means; export stage traces for at least one Log4Shell query and one OOD abstain query. Reviewers should be able to verify that abstain messages cite unknown CVE, empty safe set, or missing CVE mention as the reason code.</w:t>
      </w:r>
    </w:p>
    <w:p>
      <w:pPr>
        <w:pStyle w:val="Heading2"/>
      </w:pPr>
      <w:r>
        <w:rPr>
          <w:rFonts w:ascii="Times New Roman" w:hAnsi="Times New Roman" w:eastAsia="Times New Roman"/>
          <w:b/>
          <w:i w:val="0"/>
          <w:sz w:val="24"/>
        </w:rPr>
        <w:t>7.7. Second Case: OOD Abstain versus Forced Answer</w:t>
      </w:r>
    </w:p>
    <w:p>
      <w:pPr>
        <w:spacing w:after="160" w:line="360" w:lineRule="auto"/>
        <w:ind w:firstLine="425"/>
      </w:pPr>
      <w:r>
        <w:rPr>
          <w:rFonts w:ascii="Times New Roman" w:hAnsi="Times New Roman" w:eastAsia="Times New Roman"/>
          <w:b w:val="0"/>
          <w:i w:val="0"/>
          <w:sz w:val="24"/>
        </w:rPr>
        <w:t xml:space="preserve">A second qualitative probe uses a CVE string that is intentionally absent from the seed graph and from evidence text. Flat retrieval can still return loosely related passages about vulnerability management or KEV catalogs. Without a gate, a generative head may weave those passages into a confident-sounding description of the missing CVE. EDGR’s unknown-CVE check short-circuits that path: </w:t>
      </w:r>
      <m:oMath xmlns:mml="http://www.w3.org/1998/Math/MathML">
        <m:r>
          <m:rPr>
            <m:sty m:val="p"/>
          </m:rPr>
          <m:t>Apply</m:t>
        </m:r>
        <m:r>
          <m:t>=0</m:t>
        </m:r>
      </m:oMath>
      <w:r>
        <w:rPr>
          <w:rFonts w:ascii="Times New Roman" w:hAnsi="Times New Roman" w:eastAsia="Times New Roman"/>
          <w:b w:val="0"/>
          <w:i w:val="0"/>
          <w:sz w:val="24"/>
        </w:rPr>
        <w:t xml:space="preserve">, evidence is cleared, and the returned message states that the identifier is unsupported. Under the research metric, faithfulness is recorded as </w:t>
      </w:r>
      <m:oMath xmlns:mml="http://www.w3.org/1998/Math/MathML">
        <m:r>
          <m:t>1.0</m:t>
        </m:r>
      </m:oMath>
      <w:r>
        <w:rPr>
          <w:rFonts w:ascii="Times New Roman" w:hAnsi="Times New Roman" w:eastAsia="Times New Roman"/>
          <w:b w:val="0"/>
          <w:i w:val="0"/>
          <w:sz w:val="24"/>
        </w:rPr>
        <w:t xml:space="preserve"> for refusal. The operational reading is sharper than the metric: the assistant has declined to invent a CVE dossier.</w:t>
      </w:r>
    </w:p>
    <w:p>
      <w:pPr>
        <w:spacing w:after="160" w:line="360" w:lineRule="auto"/>
        <w:ind w:firstLine="425"/>
      </w:pPr>
      <w:r>
        <w:rPr>
          <w:rFonts w:ascii="Times New Roman" w:hAnsi="Times New Roman" w:eastAsia="Times New Roman"/>
          <w:b w:val="0"/>
          <w:i w:val="0"/>
          <w:sz w:val="24"/>
        </w:rPr>
        <w:t xml:space="preserve">This case also clarifies why LightRAG-style stubs can outscore EDGR on mean </w:t>
      </w:r>
      <m:oMath xmlns:mml="http://www.w3.org/1998/Math/MathML">
        <m:r>
          <m:t>F</m:t>
        </m:r>
      </m:oMath>
      <w:r>
        <w:rPr>
          <w:rFonts w:ascii="Times New Roman" w:hAnsi="Times New Roman" w:eastAsia="Times New Roman"/>
          <w:b w:val="0"/>
          <w:i w:val="0"/>
          <w:sz w:val="24"/>
        </w:rPr>
        <w:t xml:space="preserve"> while remaining weaker for SOC trust. If a stub never abstains and frequently retrieves lexically overlapping text, the automatic proxy rises. EDGR’s gate can discard borderline evidence and reduce answer rate. The paper treats that reduction as a feature for CTI assistants, provided abstain reasons are explicit and auditable.</w:t>
      </w:r>
    </w:p>
    <w:p>
      <w:pPr>
        <w:pStyle w:val="Heading2"/>
      </w:pPr>
      <w:r>
        <w:rPr>
          <w:rFonts w:ascii="Times New Roman" w:hAnsi="Times New Roman" w:eastAsia="Times New Roman"/>
          <w:b/>
          <w:i w:val="0"/>
          <w:sz w:val="24"/>
        </w:rPr>
        <w:t>7.8. Limitations Revisited for Journal Readers</w:t>
      </w:r>
    </w:p>
    <w:p>
      <w:pPr>
        <w:spacing w:after="160" w:line="360" w:lineRule="auto"/>
        <w:ind w:firstLine="425"/>
      </w:pPr>
      <w:r>
        <w:rPr>
          <w:rFonts w:ascii="Times New Roman" w:hAnsi="Times New Roman" w:eastAsia="Times New Roman"/>
          <w:b w:val="0"/>
          <w:i w:val="0"/>
          <w:sz w:val="24"/>
        </w:rPr>
        <w:t>Several limitations deserve restatement without euphemism. The corpus is a constructed suite (</w:t>
      </w:r>
      <m:oMath xmlns:mml="http://www.w3.org/1998/Math/MathML">
        <m:r>
          <m:t>N=212</m:t>
        </m:r>
      </m:oMath>
      <w:r>
        <w:rPr>
          <w:rFonts w:ascii="Times New Roman" w:hAnsi="Times New Roman" w:eastAsia="Times New Roman"/>
          <w:b w:val="0"/>
          <w:i w:val="0"/>
          <w:sz w:val="24"/>
        </w:rPr>
        <w:t>), not a multi-year SOC archive. Baselines are thickened reference-family policies, not vendor dumps. Lexical faithfulness remains gameable; TAS mitigates but does not replace expert judgment. The live dual panel (</w:t>
      </w:r>
      <m:oMath xmlns:mml="http://www.w3.org/1998/Math/MathML">
        <m:sSub>
          <m:e>
            <m:r>
              <m:t>κ</m:t>
            </m:r>
          </m:e>
          <m:sub>
            <m:r>
              <m:t>g</m:t>
            </m:r>
          </m:sub>
        </m:sSub>
        <m:r>
          <m:t>≈0.92</m:t>
        </m:r>
      </m:oMath>
      <w:r>
        <w:rPr>
          <w:rFonts w:ascii="Times New Roman" w:hAnsi="Times New Roman" w:eastAsia="Times New Roman"/>
          <w:b w:val="0"/>
          <w:i w:val="0"/>
          <w:sz w:val="24"/>
        </w:rPr>
        <w:t>) is not field SOC. Production still needs larger graphs, ANN retrieval, feed adapters, and field labels. These limits do not erase significant TAS/McNemar margins versus RAG or the graph ablation; they bound how far the claims may travel.</w:t>
      </w:r>
    </w:p>
    <w:p>
      <w:pPr>
        <w:spacing w:after="160" w:line="360" w:lineRule="auto"/>
        <w:ind w:firstLine="425"/>
      </w:pPr>
      <w:r>
        <w:rPr>
          <w:rFonts w:ascii="Times New Roman" w:hAnsi="Times New Roman" w:eastAsia="Times New Roman"/>
          <w:b w:val="0"/>
          <w:i w:val="0"/>
          <w:sz w:val="24"/>
        </w:rPr>
        <w:t>For doctoral examination and specialty-journal submission, the appropriate claim is therefore methodological: EDGR offers a coherent Trusted Answer protocol with inspectable stages, disclosed stubs, and statistical reporting that includes negative or non-significant tests. Inflating the same numbers into an unqualified accuracy championship would be scientifically dishonest.</w:t>
      </w:r>
    </w:p>
    <w:p>
      <w:pPr>
        <w:pStyle w:val="Heading2"/>
      </w:pPr>
      <w:r>
        <w:rPr>
          <w:rFonts w:ascii="Times New Roman" w:hAnsi="Times New Roman" w:eastAsia="Times New Roman"/>
          <w:b/>
          <w:i w:val="0"/>
          <w:sz w:val="24"/>
        </w:rPr>
        <w:t>7.9. Practical Implications for SOC Tooling</w:t>
      </w:r>
    </w:p>
    <w:p>
      <w:pPr>
        <w:spacing w:after="160" w:line="360" w:lineRule="auto"/>
        <w:ind w:firstLine="425"/>
      </w:pPr>
      <w:r>
        <w:rPr>
          <w:rFonts w:ascii="Times New Roman" w:hAnsi="Times New Roman" w:eastAsia="Times New Roman"/>
          <w:b w:val="0"/>
          <w:i w:val="0"/>
          <w:sz w:val="24"/>
        </w:rPr>
        <w:t>If integrated into an analyst workbench, EDGR’s stage trace can be shown beside the answer: extracted entities, expanded neighbors, kept temporal set, ranked evidence IDs, per-factor trust breakdown, and gate decision. That UI pattern differs from chatbots that only display final prose. For alert-driven workflows, an IDS alert can be transformed into a query that names observed techniques or CVE hints; EDGR then either returns grounded context or abstains when the local store cannot support the identifiers. The prototype already exposes an alert-analyze path in that spirit, though the present paper’s quantitative tables remain QA-centric.</w:t>
      </w:r>
    </w:p>
    <w:p>
      <w:pPr>
        <w:spacing w:after="160" w:line="360" w:lineRule="auto"/>
        <w:ind w:firstLine="425"/>
      </w:pPr>
      <w:r>
        <w:rPr>
          <w:rFonts w:ascii="Times New Roman" w:hAnsi="Times New Roman" w:eastAsia="Times New Roman"/>
          <w:b w:val="0"/>
          <w:i w:val="0"/>
          <w:sz w:val="24"/>
        </w:rPr>
        <w:t xml:space="preserve">Policy-wise, organizations that prefer high answer rate over low fabrication risk may tune </w:t>
      </w:r>
      <m:oMath xmlns:mml="http://www.w3.org/1998/Math/MathML">
        <m:r>
          <m:t>θ</m:t>
        </m:r>
      </m:oMath>
      <w:r>
        <w:rPr>
          <w:rFonts w:ascii="Times New Roman" w:hAnsi="Times New Roman" w:eastAsia="Times New Roman"/>
          <w:b w:val="0"/>
          <w:i w:val="0"/>
          <w:sz w:val="24"/>
        </w:rPr>
        <w:t xml:space="preserve"> upward or disable parts of the gate. Organizations that prioritize identifier hygiene should keep </w:t>
      </w:r>
      <m:oMath xmlns:mml="http://www.w3.org/1998/Math/MathML">
        <m:r>
          <m:t>θ</m:t>
        </m:r>
      </m:oMath>
      <w:r>
        <w:rPr>
          <w:rFonts w:ascii="Times New Roman" w:hAnsi="Times New Roman" w:eastAsia="Times New Roman"/>
          <w:b w:val="0"/>
          <w:i w:val="0"/>
          <w:sz w:val="24"/>
        </w:rPr>
        <w:t xml:space="preserve"> conservative and retain unknown-CVE abstain. Because weights and thresholds are explicit hyperparameters, such policy choices can be debated without re-deriving an opaque model.</w:t>
      </w:r>
    </w:p>
    <w:p>
      <w:pPr>
        <w:pStyle w:val="Heading1"/>
      </w:pPr>
      <w:r>
        <w:rPr>
          <w:rFonts w:ascii="Times New Roman" w:hAnsi="Times New Roman" w:eastAsia="Times New Roman"/>
          <w:b/>
          <w:i w:val="0"/>
          <w:sz w:val="28"/>
        </w:rPr>
        <w:t>8. Conclusions and Future Work</w:t>
      </w:r>
    </w:p>
    <w:p>
      <w:pPr>
        <w:spacing w:after="160" w:line="360" w:lineRule="auto"/>
        <w:ind w:firstLine="425"/>
      </w:pPr>
      <w:r>
        <w:rPr>
          <w:rFonts w:ascii="Times New Roman" w:hAnsi="Times New Roman" w:eastAsia="Times New Roman"/>
          <w:b w:val="0"/>
          <w:i w:val="0"/>
          <w:sz w:val="24"/>
        </w:rPr>
        <w:t>EDGR consolidates a dynamic CTI knowledge graph, a six-stage evidence-driven retrieval pipeline, a four-factor trust model with ρ-gate abstain, and a statistical evaluation protocol into one reproducible system for IDS/CTI question answering. The proof chain is explicit: Evidence A/D establish H1 on primary TAS versus flat RAG (</w:t>
      </w:r>
      <m:oMath xmlns:mml="http://www.w3.org/1998/Math/MathML">
        <m:r>
          <m:t>Δ</m:t>
        </m:r>
      </m:oMath>
      <w:r>
        <w:rPr>
          <w:rFonts w:ascii="Times New Roman" w:hAnsi="Times New Roman" w:eastAsia="Times New Roman"/>
          <w:b w:val="0"/>
          <w:i w:val="0"/>
          <w:sz w:val="24"/>
        </w:rPr>
        <w:t>TAS</w:t>
      </w:r>
      <m:oMath xmlns:mml="http://www.w3.org/1998/Math/MathML">
        <m:r>
          <m:t>≈+0.23</m:t>
        </m:r>
      </m:oMath>
      <w:r>
        <w:rPr>
          <w:rFonts w:ascii="Times New Roman" w:hAnsi="Times New Roman" w:eastAsia="Times New Roman"/>
          <w:b w:val="0"/>
          <w:i w:val="0"/>
          <w:sz w:val="24"/>
        </w:rPr>
        <w:t>, McNemar significant); Evidence B establishes H3 via graph ablation (</w:t>
      </w:r>
      <m:oMath xmlns:mml="http://www.w3.org/1998/Math/MathML">
        <m:r>
          <m:t>ΔF≈−0.049</m:t>
        </m:r>
      </m:oMath>
      <w:r>
        <w:rPr>
          <w:rFonts w:ascii="Times New Roman" w:hAnsi="Times New Roman" w:eastAsia="Times New Roman"/>
          <w:b w:val="0"/>
          <w:i w:val="0"/>
          <w:sz w:val="24"/>
        </w:rPr>
        <w:t xml:space="preserve">); Evidence C/D establish H2 OOD safety (EDGR </w:t>
      </w:r>
      <m:oMath xmlns:mml="http://www.w3.org/1998/Math/MathML">
        <m:r>
          <m:t>1.0</m:t>
        </m:r>
      </m:oMath>
      <w:r>
        <w:rPr>
          <w:rFonts w:ascii="Times New Roman" w:hAnsi="Times New Roman" w:eastAsia="Times New Roman"/>
          <w:b w:val="0"/>
          <w:i w:val="0"/>
          <w:sz w:val="24"/>
        </w:rPr>
        <w:t xml:space="preserve"> vs ungated </w:t>
      </w:r>
      <m:oMath xmlns:mml="http://www.w3.org/1998/Math/MathML">
        <m:r>
          <m:t>0.0</m:t>
        </m:r>
      </m:oMath>
      <w:r>
        <w:rPr>
          <w:rFonts w:ascii="Times New Roman" w:hAnsi="Times New Roman" w:eastAsia="Times New Roman"/>
          <w:b w:val="0"/>
          <w:i w:val="0"/>
          <w:sz w:val="24"/>
        </w:rPr>
        <w:t>). On the live suite (</w:t>
      </w:r>
      <m:oMath xmlns:mml="http://www.w3.org/1998/Math/MathML">
        <m:r>
          <m:t>N=212</m:t>
        </m:r>
      </m:oMath>
      <w:r>
        <w:rPr>
          <w:rFonts w:ascii="Times New Roman" w:hAnsi="Times New Roman" w:eastAsia="Times New Roman"/>
          <w:b w:val="0"/>
          <w:i w:val="0"/>
          <w:sz w:val="24"/>
        </w:rPr>
        <w:t xml:space="preserve">, </w:t>
      </w:r>
      <m:oMath xmlns:mml="http://www.w3.org/1998/Math/MathML">
        <m:r>
          <m:t>|𝒟|=106</m:t>
        </m:r>
      </m:oMath>
      <w:r>
        <w:rPr>
          <w:rFonts w:ascii="Times New Roman" w:hAnsi="Times New Roman" w:eastAsia="Times New Roman"/>
          <w:b w:val="0"/>
          <w:i w:val="0"/>
          <w:sz w:val="24"/>
        </w:rPr>
        <w:t xml:space="preserve">, </w:t>
      </w:r>
      <m:oMath xmlns:mml="http://www.w3.org/1998/Math/MathML">
        <m:r>
          <m:t>V=97</m:t>
        </m:r>
      </m:oMath>
      <w:r>
        <w:rPr>
          <w:rFonts w:ascii="Times New Roman" w:hAnsi="Times New Roman" w:eastAsia="Times New Roman"/>
          <w:b w:val="0"/>
          <w:i w:val="0"/>
          <w:sz w:val="24"/>
        </w:rPr>
        <w:t xml:space="preserve">, </w:t>
      </w:r>
      <m:oMath xmlns:mml="http://www.w3.org/1998/Math/MathML">
        <m:r>
          <m:t>E=123</m:t>
        </m:r>
      </m:oMath>
      <w:r>
        <w:rPr>
          <w:rFonts w:ascii="Times New Roman" w:hAnsi="Times New Roman" w:eastAsia="Times New Roman"/>
          <w:b w:val="0"/>
          <w:i w:val="0"/>
          <w:sz w:val="24"/>
        </w:rPr>
        <w:t xml:space="preserve">), EDGR mean TAS </w:t>
      </w:r>
      <m:oMath xmlns:mml="http://www.w3.org/1998/Math/MathML">
        <m:r>
          <m:t>=0.752</m:t>
        </m:r>
      </m:oMath>
      <w:r>
        <w:rPr>
          <w:rFonts w:ascii="Times New Roman" w:hAnsi="Times New Roman" w:eastAsia="Times New Roman"/>
          <w:b w:val="0"/>
          <w:i w:val="0"/>
          <w:sz w:val="24"/>
        </w:rPr>
        <w:t>, R@</w:t>
      </w:r>
      <m:oMath xmlns:mml="http://www.w3.org/1998/Math/MathML">
        <m:r>
          <m:t>k=0.671</m:t>
        </m:r>
      </m:oMath>
      <w:r>
        <w:rPr>
          <w:rFonts w:ascii="Times New Roman" w:hAnsi="Times New Roman" w:eastAsia="Times New Roman"/>
          <w:b w:val="0"/>
          <w:i w:val="0"/>
          <w:sz w:val="24"/>
        </w:rPr>
        <w:t xml:space="preserve">, MRR </w:t>
      </w:r>
      <m:oMath xmlns:mml="http://www.w3.org/1998/Math/MathML">
        <m:r>
          <m:t>=0.606</m:t>
        </m:r>
      </m:oMath>
      <w:r>
        <w:rPr>
          <w:rFonts w:ascii="Times New Roman" w:hAnsi="Times New Roman" w:eastAsia="Times New Roman"/>
          <w:b w:val="0"/>
          <w:i w:val="0"/>
          <w:sz w:val="24"/>
        </w:rPr>
        <w:t>. Lexical-</w:t>
      </w:r>
      <m:oMath xmlns:mml="http://www.w3.org/1998/Math/MathML">
        <m:r>
          <m:t>F</m:t>
        </m:r>
      </m:oMath>
      <w:r>
        <w:rPr>
          <w:rFonts w:ascii="Times New Roman" w:hAnsi="Times New Roman" w:eastAsia="Times New Roman"/>
          <w:b w:val="0"/>
          <w:i w:val="0"/>
          <w:sz w:val="24"/>
        </w:rPr>
        <w:t xml:space="preserve"> leadership by ungated LightRAG is disclosed and does not overturn TAS ranking. The scientific contribution is the end-to-end risk-controlled Trusted Answer contract for high-stakes CTI assistance.</w:t>
      </w:r>
    </w:p>
    <w:p>
      <w:pPr>
        <w:spacing w:after="160" w:line="360" w:lineRule="auto"/>
        <w:ind w:firstLine="425"/>
      </w:pPr>
      <w:r>
        <w:rPr>
          <w:rFonts w:ascii="Times New Roman" w:hAnsi="Times New Roman" w:eastAsia="Times New Roman"/>
          <w:b w:val="0"/>
          <w:i w:val="0"/>
          <w:sz w:val="24"/>
        </w:rPr>
        <w:t>Future work includes learned thresholds and factor weights, TAXII and feed adapters at scale, field SOC labels in place of the live dual panel, ANN indexes for production latency, joint evaluation with Suricata-style alert-to-query traces, and larger public CTI QA benchmarks. Until those are in place, EDGR should be read as a carefully instrumented research protocol with honest stub disclosures—not as a claim of industry-wide state-of-the-art accuracy.</w:t>
      </w:r>
    </w:p>
    <w:p>
      <w:pPr>
        <w:pStyle w:val="Heading1"/>
      </w:pPr>
      <w:r>
        <w:rPr>
          <w:rFonts w:ascii="Times New Roman" w:hAnsi="Times New Roman" w:eastAsia="Times New Roman"/>
          <w:b/>
          <w:i w:val="0"/>
          <w:sz w:val="28"/>
        </w:rPr>
        <w:t>Author Contributions</w:t>
      </w:r>
    </w:p>
    <w:p>
      <w:pPr>
        <w:spacing w:after="160" w:line="360" w:lineRule="auto"/>
      </w:pPr>
      <w:r>
        <w:rPr>
          <w:rFonts w:ascii="Times New Roman" w:hAnsi="Times New Roman" w:eastAsia="Times New Roman"/>
          <w:b w:val="0"/>
          <w:i w:val="0"/>
          <w:sz w:val="24"/>
        </w:rPr>
        <w:t>Conceptualization, methodology, software, validation, formal analysis, investigation, data curation, writing, and project administration: N.V.P. Supervision: (advisor to be named). The author has read and agreed to the published version of the manuscript.</w:t>
      </w:r>
    </w:p>
    <w:p>
      <w:pPr>
        <w:pStyle w:val="Heading1"/>
      </w:pPr>
      <w:r>
        <w:rPr>
          <w:rFonts w:ascii="Times New Roman" w:hAnsi="Times New Roman" w:eastAsia="Times New Roman"/>
          <w:b/>
          <w:i w:val="0"/>
          <w:sz w:val="28"/>
        </w:rPr>
        <w:t>Funding</w:t>
      </w:r>
    </w:p>
    <w:p>
      <w:pPr>
        <w:spacing w:after="160" w:line="360" w:lineRule="auto"/>
      </w:pPr>
      <w:r>
        <w:rPr>
          <w:rFonts w:ascii="Times New Roman" w:hAnsi="Times New Roman" w:eastAsia="Times New Roman"/>
          <w:b w:val="0"/>
          <w:i w:val="0"/>
          <w:sz w:val="24"/>
        </w:rPr>
        <w:t>This research received no external funding (update if applicable).</w:t>
      </w:r>
    </w:p>
    <w:p>
      <w:pPr>
        <w:pStyle w:val="Heading1"/>
      </w:pPr>
      <w:r>
        <w:rPr>
          <w:rFonts w:ascii="Times New Roman" w:hAnsi="Times New Roman" w:eastAsia="Times New Roman"/>
          <w:b/>
          <w:i w:val="0"/>
          <w:sz w:val="28"/>
        </w:rPr>
        <w:t>Data Availability</w:t>
      </w:r>
    </w:p>
    <w:p>
      <w:pPr>
        <w:spacing w:after="160" w:line="360" w:lineRule="auto"/>
      </w:pPr>
      <w:r>
        <w:rPr>
          <w:rFonts w:ascii="Times New Roman" w:hAnsi="Times New Roman" w:eastAsia="Times New Roman"/>
          <w:b w:val="0"/>
          <w:i w:val="0"/>
          <w:sz w:val="24"/>
        </w:rPr>
        <w:t>The reproducible prototype, seed QA/evidence/KG, and evaluation scripts are available in the accompanying project repository.</w:t>
      </w:r>
    </w:p>
    <w:p>
      <w:pPr>
        <w:pStyle w:val="Heading1"/>
      </w:pPr>
      <w:r>
        <w:rPr>
          <w:rFonts w:ascii="Times New Roman" w:hAnsi="Times New Roman" w:eastAsia="Times New Roman"/>
          <w:b/>
          <w:i w:val="0"/>
          <w:sz w:val="28"/>
        </w:rPr>
        <w:t>Conflicts of Interest</w:t>
      </w:r>
    </w:p>
    <w:p>
      <w:pPr>
        <w:spacing w:after="160" w:line="360" w:lineRule="auto"/>
      </w:pPr>
      <w:r>
        <w:rPr>
          <w:rFonts w:ascii="Times New Roman" w:hAnsi="Times New Roman" w:eastAsia="Times New Roman"/>
          <w:b w:val="0"/>
          <w:i w:val="0"/>
          <w:sz w:val="24"/>
        </w:rPr>
        <w:t>The author declares no conflicts of interest.</w:t>
      </w:r>
    </w:p>
    <w:p>
      <w:pPr>
        <w:pStyle w:val="Heading1"/>
      </w:pPr>
      <w:r>
        <w:rPr>
          <w:rFonts w:ascii="Times New Roman" w:hAnsi="Times New Roman" w:eastAsia="Times New Roman"/>
          <w:b/>
          <w:i w:val="0"/>
          <w:sz w:val="28"/>
        </w:rPr>
        <w:t>References</w:t>
      </w:r>
    </w:p>
    <w:p>
      <w:pPr>
        <w:spacing w:after="80"/>
        <w:ind w:left="425" w:hanging="425"/>
      </w:pPr>
      <w:r>
        <w:rPr>
          <w:rFonts w:ascii="Times New Roman" w:hAnsi="Times New Roman" w:eastAsia="Times New Roman"/>
          <w:b w:val="0"/>
          <w:i w:val="0"/>
          <w:sz w:val="20"/>
        </w:rPr>
        <w:t>[1] Lewis, P.; Perez, E.; Piktus, A.; Petroni, F.; Karpukhin, V.; Goyal, N.; Küttler, H.; Lewis, M.; Yih, W.; Rocktäschel, T.; Riedel, S.; Kiela, D. Retrieval-Augmented Generation for Knowledge-Intensive NLP Tasks. Adv. Neural Inf. Process. Syst. 2020, 33, 9459–9474.</w:t>
      </w:r>
    </w:p>
    <w:p>
      <w:pPr>
        <w:spacing w:after="80"/>
        <w:ind w:left="425" w:hanging="425"/>
      </w:pPr>
      <w:r>
        <w:rPr>
          <w:rFonts w:ascii="Times New Roman" w:hAnsi="Times New Roman" w:eastAsia="Times New Roman"/>
          <w:b w:val="0"/>
          <w:i w:val="0"/>
          <w:sz w:val="20"/>
        </w:rPr>
        <w:t>[2] Ji, Z.; Lee, N.; Frieske, R.; Yu, T.; Su, D.; Xu, Y.; Ishii, E.; Bang, Y.J.; Madotto, A.; Fung, P. Survey of Hallucination in Natural Language Generation. ACM Comput. Surv. 2023, 55, 248. https://doi.org/10.1145/3571730</w:t>
      </w:r>
    </w:p>
    <w:p>
      <w:pPr>
        <w:spacing w:after="80"/>
        <w:ind w:left="425" w:hanging="425"/>
      </w:pPr>
      <w:r>
        <w:rPr>
          <w:rFonts w:ascii="Times New Roman" w:hAnsi="Times New Roman" w:eastAsia="Times New Roman"/>
          <w:b w:val="0"/>
          <w:i w:val="0"/>
          <w:sz w:val="20"/>
        </w:rPr>
        <w:t>[3] Gao, Y.; Xiong, Y.; Gao, X.; Jia, K.; Pan, J.; Bi, Y.; Dai, Y.; Sun, J.; Wang, M.; Wang, H. Retrieval-Augmented Generation for Large Language Models: A Survey. arXiv 2023, arXiv:2312.10997.</w:t>
      </w:r>
    </w:p>
    <w:p>
      <w:pPr>
        <w:spacing w:after="80"/>
        <w:ind w:left="425" w:hanging="425"/>
      </w:pPr>
      <w:r>
        <w:rPr>
          <w:rFonts w:ascii="Times New Roman" w:hAnsi="Times New Roman" w:eastAsia="Times New Roman"/>
          <w:b w:val="0"/>
          <w:i w:val="0"/>
          <w:sz w:val="20"/>
        </w:rPr>
        <w:t>[4] Edge, D.; Trinh, H.; Cheng, N.; Bradley, J.; Chao, A.; Mody, A.; Truitt, S.; Larson, J. From Local to Global: A Graph RAG Approach to Query-Focused Summarization. arXiv 2024, arXiv:2404.16130.</w:t>
      </w:r>
    </w:p>
    <w:p>
      <w:pPr>
        <w:spacing w:after="80"/>
        <w:ind w:left="425" w:hanging="425"/>
      </w:pPr>
      <w:r>
        <w:rPr>
          <w:rFonts w:ascii="Times New Roman" w:hAnsi="Times New Roman" w:eastAsia="Times New Roman"/>
          <w:b w:val="0"/>
          <w:i w:val="0"/>
          <w:sz w:val="20"/>
        </w:rPr>
        <w:t>[5] Guo, Z.; Xia, L.; Yu, Y.; Ao, X.; Huang, C. LightRAG: Simple and Fast Retrieval-Augmented Generation. arXiv 2024, arXiv:2410.05779.</w:t>
      </w:r>
    </w:p>
    <w:p>
      <w:pPr>
        <w:spacing w:after="80"/>
        <w:ind w:left="425" w:hanging="425"/>
      </w:pPr>
      <w:r>
        <w:rPr>
          <w:rFonts w:ascii="Times New Roman" w:hAnsi="Times New Roman" w:eastAsia="Times New Roman"/>
          <w:b w:val="0"/>
          <w:i w:val="0"/>
          <w:sz w:val="20"/>
        </w:rPr>
        <w:t>[6] Gutiérrez, B.J.; Shu, Y.; Gu, Y.; Yasunaga, M.; Su, Y. HippoRAG: Neurobiologically Inspired Long-Term Memory for Large Language Models. Adv. Neural Inf. Process. Syst. 2024.</w:t>
      </w:r>
    </w:p>
    <w:p>
      <w:pPr>
        <w:spacing w:after="80"/>
        <w:ind w:left="425" w:hanging="425"/>
      </w:pPr>
      <w:r>
        <w:rPr>
          <w:rFonts w:ascii="Times New Roman" w:hAnsi="Times New Roman" w:eastAsia="Times New Roman"/>
          <w:b w:val="0"/>
          <w:i w:val="0"/>
          <w:sz w:val="20"/>
        </w:rPr>
        <w:t>[7] Asai, A.; Wu, Z.; Wang, Y.; Sil, A.; Hajishirzi, H. Self-RAG: Learning to Retrieve, Generate, and Critique through Self-Reflection. In Proceedings of the International Conference on Learning Representations (ICLR), 2024.</w:t>
      </w:r>
    </w:p>
    <w:p>
      <w:pPr>
        <w:spacing w:after="80"/>
        <w:ind w:left="425" w:hanging="425"/>
      </w:pPr>
      <w:r>
        <w:rPr>
          <w:rFonts w:ascii="Times New Roman" w:hAnsi="Times New Roman" w:eastAsia="Times New Roman"/>
          <w:b w:val="0"/>
          <w:i w:val="0"/>
          <w:sz w:val="20"/>
        </w:rPr>
        <w:t>[8] Yan, S.-Q.; Gu, J.-C.; Zhu, Y.; Ling, Z.-H. Corrective Retrieval Augmented Generation. arXiv 2024, arXiv:2401.15884.</w:t>
      </w:r>
    </w:p>
    <w:p>
      <w:pPr>
        <w:spacing w:after="80"/>
        <w:ind w:left="425" w:hanging="425"/>
      </w:pPr>
      <w:r>
        <w:rPr>
          <w:rFonts w:ascii="Times New Roman" w:hAnsi="Times New Roman" w:eastAsia="Times New Roman"/>
          <w:b w:val="0"/>
          <w:i w:val="0"/>
          <w:sz w:val="20"/>
        </w:rPr>
        <w:t>[9] Strom, B.E.; Applebaum, A.; Miller, D.P.; Nickels, K.C.; Pennington, A.G.; Thomas, C.B. MITRE ATT&amp;CK: Design and Philosophy; MITRE Technical Report; The MITRE Corporation: McLean, VA, USA, 2018.</w:t>
      </w:r>
    </w:p>
    <w:p>
      <w:pPr>
        <w:spacing w:after="80"/>
        <w:ind w:left="425" w:hanging="425"/>
      </w:pPr>
      <w:r>
        <w:rPr>
          <w:rFonts w:ascii="Times New Roman" w:hAnsi="Times New Roman" w:eastAsia="Times New Roman"/>
          <w:b w:val="0"/>
          <w:i w:val="0"/>
          <w:sz w:val="20"/>
        </w:rPr>
        <w:t>[10] Wagner, T.D.; Mahbub, K.; Palomar, E.; Abdallah, A.E. Cyber Threat Intelligence Sharing: Survey and Research Directions. Comput. Secur. 2019, 87, 101589.</w:t>
      </w:r>
    </w:p>
    <w:p>
      <w:pPr>
        <w:spacing w:after="80"/>
        <w:ind w:left="425" w:hanging="425"/>
      </w:pPr>
      <w:r>
        <w:rPr>
          <w:rFonts w:ascii="Times New Roman" w:hAnsi="Times New Roman" w:eastAsia="Times New Roman"/>
          <w:b w:val="0"/>
          <w:i w:val="0"/>
          <w:sz w:val="20"/>
        </w:rPr>
        <w:t>[11] Khraisat, A.; Gondal, I.; Vamplew, P.; Kamruzzaman, J. Survey of Intrusion Detection Systems: Techniques, Datasets and Challenges. Cybersecurity 2019, 2, 20. https://doi.org/10.1186/s42400-019-0038-7</w:t>
      </w:r>
    </w:p>
    <w:p>
      <w:pPr>
        <w:spacing w:after="80"/>
        <w:ind w:left="425" w:hanging="425"/>
      </w:pPr>
      <w:r>
        <w:rPr>
          <w:rFonts w:ascii="Times New Roman" w:hAnsi="Times New Roman" w:eastAsia="Times New Roman"/>
          <w:b w:val="0"/>
          <w:i w:val="0"/>
          <w:sz w:val="20"/>
        </w:rPr>
        <w:t>[12] Pan, S.; Luo, L.; Wang, Y.; Chen, C.; Wang, J.; Wu, X. Unifying Large Language Models and Knowledge Graphs: A Roadmap. IEEE Trans. Knowl. Data Eng. 2024, 36, 3580–3599.</w:t>
      </w:r>
    </w:p>
    <w:p>
      <w:pPr>
        <w:pStyle w:val="Heading1"/>
      </w:pPr>
      <w:r>
        <w:rPr>
          <w:rFonts w:ascii="Times New Roman" w:hAnsi="Times New Roman" w:eastAsia="Times New Roman"/>
          <w:b/>
          <w:i w:val="0"/>
          <w:sz w:val="28"/>
        </w:rPr>
        <w:t>Appendix A. Ethics Note</w:t>
      </w:r>
    </w:p>
    <w:p>
      <w:pPr>
        <w:spacing w:after="160" w:line="360" w:lineRule="auto"/>
      </w:pPr>
      <w:r>
        <w:rPr>
          <w:rFonts w:ascii="Times New Roman" w:hAnsi="Times New Roman" w:eastAsia="Times New Roman"/>
          <w:b w:val="0"/>
          <w:i w:val="0"/>
          <w:sz w:val="24"/>
        </w:rPr>
        <w:t>CTI assistance can be misused for offense. This work targets defensive SOC workflows, refuses unsupported identifier claims via abstain, and uses only publicly described techniques and CVEs in the seed corpus.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