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34A246" w14:textId="5C1AF3E1" w:rsidR="009C4649" w:rsidRPr="009C4649" w:rsidRDefault="009C4649" w:rsidP="009C46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4649">
        <w:rPr>
          <w:rFonts w:ascii="Times New Roman" w:eastAsia="Times New Roman" w:hAnsi="Times New Roman" w:cs="Times New Roman"/>
          <w:b/>
          <w:bCs/>
          <w:kern w:val="36"/>
          <w:sz w:val="48"/>
          <w:szCs w:val="48"/>
        </w:rPr>
        <w:t xml:space="preserve">CẨM NANG TUÂN THỦ </w:t>
      </w:r>
      <w:r w:rsidR="00A31E51" w:rsidRPr="001C602F">
        <w:rPr>
          <w:rFonts w:ascii="Times New Roman" w:eastAsia="Times New Roman" w:hAnsi="Times New Roman" w:cs="Times New Roman"/>
          <w:b/>
          <w:bCs/>
          <w:kern w:val="36"/>
          <w:sz w:val="48"/>
          <w:szCs w:val="48"/>
        </w:rPr>
        <w:t>LUẬT</w:t>
      </w:r>
      <w:r w:rsidR="00A31E51">
        <w:rPr>
          <w:rFonts w:ascii="Times New Roman" w:eastAsia="Times New Roman" w:hAnsi="Times New Roman" w:cs="Times New Roman"/>
          <w:b/>
          <w:bCs/>
          <w:kern w:val="36"/>
          <w:sz w:val="48"/>
          <w:szCs w:val="48"/>
        </w:rPr>
        <w:t xml:space="preserve"> </w:t>
      </w:r>
      <w:r w:rsidRPr="009C4649">
        <w:rPr>
          <w:rFonts w:ascii="Times New Roman" w:eastAsia="Times New Roman" w:hAnsi="Times New Roman" w:cs="Times New Roman"/>
          <w:b/>
          <w:bCs/>
          <w:kern w:val="36"/>
          <w:sz w:val="48"/>
          <w:szCs w:val="48"/>
        </w:rPr>
        <w:t>THUẾ THU NHẬP CÁ NHÂN SỐ 109/2025/QH15: HƯỚNG DẪN CHI TIẾT CHO BỘ PHẬN NHÂN SỰ VÀ KẾ TOÁN</w:t>
      </w:r>
      <w:bookmarkStart w:id="0" w:name="_GoBack"/>
      <w:bookmarkEnd w:id="0"/>
    </w:p>
    <w:p w14:paraId="17BB35B5" w14:textId="04080E8A" w:rsidR="00E52B95" w:rsidRDefault="009C4649" w:rsidP="00E52B95">
      <w:r w:rsidRPr="009C4649">
        <w:rPr>
          <w:rFonts w:ascii="Times New Roman" w:eastAsia="Times New Roman" w:hAnsi="Times New Roman" w:cs="Times New Roman"/>
          <w:sz w:val="24"/>
          <w:szCs w:val="24"/>
        </w:rPr>
        <w:t>Luật Thuế thu nhập cá nhân (TNCN) số 109/2025/QH15 đã được Quốc hội khóa XV thông qua vào ngày 10/12/2025, dựa trên căn cứ Hiến pháp và Nghị quyết số 203/2025/QH15. Đây không chỉ đơn thuần là một văn bản thay thế các quy định cũ mà là một cuộc cải cách sâu rộng về cơ cấu biểu thuế và mức giảm trừ. Với tư cách là Chuyên gia Tư vấn Thuế, tôi nhấn mạnh rằng việc chủ động nắm bắt lộ trình và các điều khoản mới là yếu tố sống còn để doanh nghiệp vừa đảm bảo tuân thủ, vừa tối ưu hóa lợi ích tài chính cho người lao động trong bối cảnh kinh tế số.</w:t>
      </w:r>
      <w:r w:rsidR="00E52B95">
        <w:rPr>
          <w:rFonts w:ascii="Times New Roman" w:eastAsia="Times New Roman" w:hAnsi="Times New Roman" w:cs="Times New Roman"/>
          <w:sz w:val="24"/>
          <w:szCs w:val="24"/>
        </w:rPr>
        <w:br/>
      </w:r>
      <w:r w:rsidR="00E52B95">
        <w:rPr>
          <w:rFonts w:ascii="Times New Roman" w:eastAsia="Times New Roman" w:hAnsi="Times New Roman" w:cs="Times New Roman"/>
          <w:sz w:val="24"/>
          <w:szCs w:val="24"/>
        </w:rPr>
        <w:br/>
      </w:r>
      <w:r w:rsidR="00E52B95" w:rsidRPr="00595F60">
        <w:rPr>
          <w:b/>
          <w:color w:val="FF0000"/>
        </w:rPr>
        <w:t>PODCAST Luật thuế TNCN 109/2025</w:t>
      </w:r>
      <w:r w:rsidR="00E52B95">
        <w:t xml:space="preserve">: </w:t>
      </w:r>
      <w:hyperlink r:id="rId5" w:history="1">
        <w:r w:rsidR="00E52B95" w:rsidRPr="00216186">
          <w:rPr>
            <w:rStyle w:val="Hyperlink"/>
          </w:rPr>
          <w:t>https://youtu.be/UQLuJ84Qmho?si=RxCDJtVTntVzpmOm</w:t>
        </w:r>
      </w:hyperlink>
    </w:p>
    <w:p w14:paraId="63421432" w14:textId="1984D3BA"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p>
    <w:p w14:paraId="790DA7EA"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 xml:space="preserve">-------------------------------------------------------------------------------- </w:t>
      </w:r>
    </w:p>
    <w:p w14:paraId="1BEFAF7A" w14:textId="77777777" w:rsidR="009C4649" w:rsidRPr="009C4649" w:rsidRDefault="009C4649" w:rsidP="009C4649">
      <w:pPr>
        <w:spacing w:before="100" w:beforeAutospacing="1" w:after="100" w:afterAutospacing="1" w:line="240" w:lineRule="auto"/>
        <w:outlineLvl w:val="2"/>
        <w:rPr>
          <w:rFonts w:ascii="Times New Roman" w:eastAsia="Times New Roman" w:hAnsi="Times New Roman" w:cs="Times New Roman"/>
          <w:b/>
          <w:bCs/>
          <w:sz w:val="27"/>
          <w:szCs w:val="27"/>
        </w:rPr>
      </w:pPr>
      <w:r w:rsidRPr="009C4649">
        <w:rPr>
          <w:rFonts w:ascii="Times New Roman" w:eastAsia="Times New Roman" w:hAnsi="Times New Roman" w:cs="Times New Roman"/>
          <w:b/>
          <w:bCs/>
          <w:sz w:val="27"/>
          <w:szCs w:val="27"/>
        </w:rPr>
        <w:t>1. Khung Pháp lý và Phạm vi Điều chỉnh của Luật Thuế TNCN 2025</w:t>
      </w:r>
    </w:p>
    <w:p w14:paraId="552B8B59"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Luật số 109/2025/QH15 thiết lập một nền tảng pháp lý mới, yêu cầu bộ phận Kế toán - Nhân sự phải tái phân loại đối tượng nộp thuế dựa trên các tiêu chí nghiêm ngặt tại Điều 2:</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91"/>
        <w:gridCol w:w="2122"/>
        <w:gridCol w:w="5931"/>
      </w:tblGrid>
      <w:tr w:rsidR="009C4649" w:rsidRPr="009C4649" w14:paraId="5DF15B46" w14:textId="77777777" w:rsidTr="009C4649">
        <w:tc>
          <w:tcPr>
            <w:tcW w:w="0" w:type="auto"/>
            <w:tcBorders>
              <w:top w:val="outset" w:sz="6" w:space="0" w:color="auto"/>
              <w:left w:val="outset" w:sz="6" w:space="0" w:color="auto"/>
              <w:bottom w:val="outset" w:sz="6" w:space="0" w:color="auto"/>
              <w:right w:val="outset" w:sz="6" w:space="0" w:color="auto"/>
            </w:tcBorders>
            <w:vAlign w:val="center"/>
            <w:hideMark/>
          </w:tcPr>
          <w:p w14:paraId="028DBFBC"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Đối tượng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3014014"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Phạm vi thu nhập chịu thuế</w:t>
            </w:r>
          </w:p>
        </w:tc>
        <w:tc>
          <w:tcPr>
            <w:tcW w:w="0" w:type="auto"/>
            <w:tcBorders>
              <w:top w:val="outset" w:sz="6" w:space="0" w:color="auto"/>
              <w:left w:val="outset" w:sz="6" w:space="0" w:color="auto"/>
              <w:bottom w:val="outset" w:sz="6" w:space="0" w:color="auto"/>
              <w:right w:val="outset" w:sz="6" w:space="0" w:color="auto"/>
            </w:tcBorders>
            <w:vAlign w:val="center"/>
            <w:hideMark/>
          </w:tcPr>
          <w:p w14:paraId="3203FC43"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Tiêu chí xác định</w:t>
            </w:r>
          </w:p>
        </w:tc>
      </w:tr>
      <w:tr w:rsidR="009C4649" w:rsidRPr="009C4649" w14:paraId="2A08AE4E" w14:textId="77777777" w:rsidTr="009C4649">
        <w:tc>
          <w:tcPr>
            <w:tcW w:w="0" w:type="auto"/>
            <w:tcBorders>
              <w:top w:val="outset" w:sz="6" w:space="0" w:color="auto"/>
              <w:left w:val="outset" w:sz="6" w:space="0" w:color="auto"/>
              <w:bottom w:val="outset" w:sz="6" w:space="0" w:color="auto"/>
              <w:right w:val="outset" w:sz="6" w:space="0" w:color="auto"/>
            </w:tcBorders>
            <w:vAlign w:val="center"/>
            <w:hideMark/>
          </w:tcPr>
          <w:p w14:paraId="0F476A78"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b/>
                <w:bCs/>
                <w:sz w:val="24"/>
                <w:szCs w:val="24"/>
              </w:rPr>
              <w:t>Cá nhân cư trú</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C2F7F"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Toàn cầu (Phát sinh trong và ngoài Việt Nam).</w:t>
            </w:r>
          </w:p>
        </w:tc>
        <w:tc>
          <w:tcPr>
            <w:tcW w:w="0" w:type="auto"/>
            <w:tcBorders>
              <w:top w:val="outset" w:sz="6" w:space="0" w:color="auto"/>
              <w:left w:val="outset" w:sz="6" w:space="0" w:color="auto"/>
              <w:bottom w:val="outset" w:sz="6" w:space="0" w:color="auto"/>
              <w:right w:val="outset" w:sz="6" w:space="0" w:color="auto"/>
            </w:tcBorders>
            <w:vAlign w:val="center"/>
            <w:hideMark/>
          </w:tcPr>
          <w:p w14:paraId="5146F3ED"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 xml:space="preserve">- Có mặt tại VN từ </w:t>
            </w:r>
            <w:r w:rsidRPr="009C4649">
              <w:rPr>
                <w:rFonts w:ascii="Times New Roman" w:eastAsia="Times New Roman" w:hAnsi="Times New Roman" w:cs="Times New Roman"/>
                <w:b/>
                <w:bCs/>
                <w:sz w:val="24"/>
                <w:szCs w:val="24"/>
              </w:rPr>
              <w:t>183 ngày</w:t>
            </w:r>
            <w:r w:rsidRPr="009C4649">
              <w:rPr>
                <w:rFonts w:ascii="Times New Roman" w:eastAsia="Times New Roman" w:hAnsi="Times New Roman" w:cs="Times New Roman"/>
                <w:sz w:val="24"/>
                <w:szCs w:val="24"/>
              </w:rPr>
              <w:t xml:space="preserve"> trở lên (năm dương lịch hoặc 12 tháng liên tục); &lt;br&gt; - Hoặc có nơi ở thường xuyên (thường trú/nhà thuê có thời hạn).</w:t>
            </w:r>
          </w:p>
        </w:tc>
      </w:tr>
      <w:tr w:rsidR="009C4649" w:rsidRPr="009C4649" w14:paraId="3E48AFC3" w14:textId="77777777" w:rsidTr="009C4649">
        <w:tc>
          <w:tcPr>
            <w:tcW w:w="0" w:type="auto"/>
            <w:tcBorders>
              <w:top w:val="outset" w:sz="6" w:space="0" w:color="auto"/>
              <w:left w:val="outset" w:sz="6" w:space="0" w:color="auto"/>
              <w:bottom w:val="outset" w:sz="6" w:space="0" w:color="auto"/>
              <w:right w:val="outset" w:sz="6" w:space="0" w:color="auto"/>
            </w:tcBorders>
            <w:vAlign w:val="center"/>
            <w:hideMark/>
          </w:tcPr>
          <w:p w14:paraId="2A13ACB2"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b/>
                <w:bCs/>
                <w:sz w:val="24"/>
                <w:szCs w:val="24"/>
              </w:rPr>
              <w:t>Cá nhân không cư trú</w:t>
            </w:r>
          </w:p>
        </w:tc>
        <w:tc>
          <w:tcPr>
            <w:tcW w:w="0" w:type="auto"/>
            <w:tcBorders>
              <w:top w:val="outset" w:sz="6" w:space="0" w:color="auto"/>
              <w:left w:val="outset" w:sz="6" w:space="0" w:color="auto"/>
              <w:bottom w:val="outset" w:sz="6" w:space="0" w:color="auto"/>
              <w:right w:val="outset" w:sz="6" w:space="0" w:color="auto"/>
            </w:tcBorders>
            <w:vAlign w:val="center"/>
            <w:hideMark/>
          </w:tcPr>
          <w:p w14:paraId="4FD4F1A5"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Chỉ thu nhập phát sinh tại Việt Nam.</w:t>
            </w:r>
          </w:p>
        </w:tc>
        <w:tc>
          <w:tcPr>
            <w:tcW w:w="0" w:type="auto"/>
            <w:tcBorders>
              <w:top w:val="outset" w:sz="6" w:space="0" w:color="auto"/>
              <w:left w:val="outset" w:sz="6" w:space="0" w:color="auto"/>
              <w:bottom w:val="outset" w:sz="6" w:space="0" w:color="auto"/>
              <w:right w:val="outset" w:sz="6" w:space="0" w:color="auto"/>
            </w:tcBorders>
            <w:vAlign w:val="center"/>
            <w:hideMark/>
          </w:tcPr>
          <w:p w14:paraId="37471DA2"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Không đáp ứng các điều kiện của cá nhân cư trú.</w:t>
            </w:r>
          </w:p>
        </w:tc>
      </w:tr>
    </w:tbl>
    <w:p w14:paraId="058B9280"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b/>
          <w:bCs/>
          <w:sz w:val="24"/>
          <w:szCs w:val="24"/>
        </w:rPr>
        <w:t>Lớp ý nghĩa "So What?":</w:t>
      </w:r>
      <w:r w:rsidRPr="009C4649">
        <w:rPr>
          <w:rFonts w:ascii="Times New Roman" w:eastAsia="Times New Roman" w:hAnsi="Times New Roman" w:cs="Times New Roman"/>
          <w:sz w:val="24"/>
          <w:szCs w:val="24"/>
        </w:rPr>
        <w:t xml:space="preserve"> Việc xác định sai tình trạng cư trú là rủi ro pháp lý hàng đầu. Đối với cá nhân không cư trú, doanh nghiệp phải khấu trừ 20% trên tổng thu nhập mà không được áp dụng giảm trừ gia cảnh. Sai sót trong bước này sẽ dẫn đến việc truy thu thuế và phạt vi phạm hành chính nặng nề khi thực hiện quyết toán thuế năm.</w:t>
      </w:r>
    </w:p>
    <w:p w14:paraId="567FF6FD"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 xml:space="preserve">-------------------------------------------------------------------------------- </w:t>
      </w:r>
    </w:p>
    <w:p w14:paraId="0633347C" w14:textId="77777777" w:rsidR="009C4649" w:rsidRPr="009C4649" w:rsidRDefault="009C4649" w:rsidP="009C4649">
      <w:pPr>
        <w:spacing w:before="100" w:beforeAutospacing="1" w:after="100" w:afterAutospacing="1" w:line="240" w:lineRule="auto"/>
        <w:outlineLvl w:val="2"/>
        <w:rPr>
          <w:rFonts w:ascii="Times New Roman" w:eastAsia="Times New Roman" w:hAnsi="Times New Roman" w:cs="Times New Roman"/>
          <w:b/>
          <w:bCs/>
          <w:sz w:val="27"/>
          <w:szCs w:val="27"/>
        </w:rPr>
      </w:pPr>
      <w:r w:rsidRPr="009C4649">
        <w:rPr>
          <w:rFonts w:ascii="Times New Roman" w:eastAsia="Times New Roman" w:hAnsi="Times New Roman" w:cs="Times New Roman"/>
          <w:b/>
          <w:bCs/>
          <w:sz w:val="27"/>
          <w:szCs w:val="27"/>
        </w:rPr>
        <w:t>2. Xác định Thu nhập Chịu thuế và Các điểm mới về Tài sản số</w:t>
      </w:r>
    </w:p>
    <w:p w14:paraId="75713416"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lastRenderedPageBreak/>
        <w:t>Trong mối quan hệ lao động, việc phân định thu nhập chịu thuế không còn chỉ dừng lại ở tiền lương truyền thống.</w:t>
      </w:r>
    </w:p>
    <w:p w14:paraId="12E8354B" w14:textId="77777777" w:rsidR="009C4649" w:rsidRPr="009C4649" w:rsidRDefault="009C4649" w:rsidP="009C4649">
      <w:pPr>
        <w:spacing w:before="100" w:beforeAutospacing="1" w:after="100" w:afterAutospacing="1" w:line="240" w:lineRule="auto"/>
        <w:outlineLvl w:val="3"/>
        <w:rPr>
          <w:rFonts w:ascii="Times New Roman" w:eastAsia="Times New Roman" w:hAnsi="Times New Roman" w:cs="Times New Roman"/>
          <w:b/>
          <w:bCs/>
          <w:sz w:val="24"/>
          <w:szCs w:val="24"/>
        </w:rPr>
      </w:pPr>
      <w:r w:rsidRPr="009C4649">
        <w:rPr>
          <w:rFonts w:ascii="Times New Roman" w:eastAsia="Times New Roman" w:hAnsi="Times New Roman" w:cs="Times New Roman"/>
          <w:b/>
          <w:bCs/>
          <w:sz w:val="24"/>
          <w:szCs w:val="24"/>
        </w:rPr>
        <w:t>2.1. Thu nhập chịu thuế và các hạng mục mới (Điều 3)</w:t>
      </w:r>
    </w:p>
    <w:p w14:paraId="7151371D"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Bên cạnh tiền lương, thù lao, phụ cấp, bộ phận HR/Kế toán cần đặc biệt lưu ý Điều 3.10 đã bổ sung các loại thu nhập mới vào diện chịu thuế:</w:t>
      </w:r>
    </w:p>
    <w:p w14:paraId="53BC4E91" w14:textId="77777777" w:rsidR="009C4649" w:rsidRPr="009C4649" w:rsidRDefault="009C4649" w:rsidP="009C46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b/>
          <w:bCs/>
          <w:sz w:val="24"/>
          <w:szCs w:val="24"/>
        </w:rPr>
        <w:t>Tài sản số (Digital Assets):</w:t>
      </w:r>
      <w:r w:rsidRPr="009C4649">
        <w:rPr>
          <w:rFonts w:ascii="Times New Roman" w:eastAsia="Times New Roman" w:hAnsi="Times New Roman" w:cs="Times New Roman"/>
          <w:sz w:val="24"/>
          <w:szCs w:val="24"/>
        </w:rPr>
        <w:t xml:space="preserve"> Các hình thức thưởng bằng token hoặc tài sản ảo.</w:t>
      </w:r>
    </w:p>
    <w:p w14:paraId="7A1EF467" w14:textId="77777777" w:rsidR="009C4649" w:rsidRPr="009C4649" w:rsidRDefault="009C4649" w:rsidP="009C46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b/>
          <w:bCs/>
          <w:sz w:val="24"/>
          <w:szCs w:val="24"/>
        </w:rPr>
        <w:t>Vàng miếng:</w:t>
      </w:r>
      <w:r w:rsidRPr="009C4649">
        <w:rPr>
          <w:rFonts w:ascii="Times New Roman" w:eastAsia="Times New Roman" w:hAnsi="Times New Roman" w:cs="Times New Roman"/>
          <w:sz w:val="24"/>
          <w:szCs w:val="24"/>
        </w:rPr>
        <w:t xml:space="preserve"> Thu nhập từ chuyển nhượng vàng miếng (theo lộ trình của Chính phủ).</w:t>
      </w:r>
    </w:p>
    <w:p w14:paraId="10930A8F" w14:textId="77777777" w:rsidR="009C4649" w:rsidRPr="009C4649" w:rsidRDefault="009C4649" w:rsidP="009C46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b/>
          <w:bCs/>
          <w:sz w:val="24"/>
          <w:szCs w:val="24"/>
        </w:rPr>
        <w:t>Tín chỉ các-bon:</w:t>
      </w:r>
      <w:r w:rsidRPr="009C4649">
        <w:rPr>
          <w:rFonts w:ascii="Times New Roman" w:eastAsia="Times New Roman" w:hAnsi="Times New Roman" w:cs="Times New Roman"/>
          <w:sz w:val="24"/>
          <w:szCs w:val="24"/>
        </w:rPr>
        <w:t xml:space="preserve"> Thu nhập từ chuyển nhượng kết quả giảm phát thải.</w:t>
      </w:r>
    </w:p>
    <w:p w14:paraId="7408BC3B"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b/>
          <w:bCs/>
          <w:sz w:val="24"/>
          <w:szCs w:val="24"/>
        </w:rPr>
        <w:t>Lời khuyên chiến lược:</w:t>
      </w:r>
      <w:r w:rsidRPr="009C4649">
        <w:rPr>
          <w:rFonts w:ascii="Times New Roman" w:eastAsia="Times New Roman" w:hAnsi="Times New Roman" w:cs="Times New Roman"/>
          <w:sz w:val="24"/>
          <w:szCs w:val="24"/>
        </w:rPr>
        <w:t xml:space="preserve"> Doanh nghiệp cần rà soát lại các gói thưởng (Bonus schemes). Nếu doanh nghiệp có kế hoạch thưởng bằng tài sản số, cần thiết lập quy trình định giá và khấu trừ thuế ngay từ thời điểm phát sinh để tránh tranh chấp về sau.</w:t>
      </w:r>
    </w:p>
    <w:p w14:paraId="0E2A0AB0" w14:textId="77777777" w:rsidR="009C4649" w:rsidRPr="009C4649" w:rsidRDefault="009C4649" w:rsidP="009C4649">
      <w:pPr>
        <w:spacing w:before="100" w:beforeAutospacing="1" w:after="100" w:afterAutospacing="1" w:line="240" w:lineRule="auto"/>
        <w:outlineLvl w:val="3"/>
        <w:rPr>
          <w:rFonts w:ascii="Times New Roman" w:eastAsia="Times New Roman" w:hAnsi="Times New Roman" w:cs="Times New Roman"/>
          <w:b/>
          <w:bCs/>
          <w:sz w:val="24"/>
          <w:szCs w:val="24"/>
        </w:rPr>
      </w:pPr>
      <w:r w:rsidRPr="009C4649">
        <w:rPr>
          <w:rFonts w:ascii="Times New Roman" w:eastAsia="Times New Roman" w:hAnsi="Times New Roman" w:cs="Times New Roman"/>
          <w:b/>
          <w:bCs/>
          <w:sz w:val="24"/>
          <w:szCs w:val="24"/>
        </w:rPr>
        <w:t>2.2. Danh mục Thu nhập được Miễn thuế (Điều 4)</w:t>
      </w:r>
    </w:p>
    <w:p w14:paraId="7DE8C119"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Để tối ưu hóa thu nhập thực nhận, doanh nghiệp nên tập trung vào các khoản miễn thuế theo Điều 4:</w:t>
      </w:r>
    </w:p>
    <w:p w14:paraId="6544E101" w14:textId="77777777" w:rsidR="009C4649" w:rsidRPr="009C4649" w:rsidRDefault="009C4649" w:rsidP="009C46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Tiền lương làm việc ban đêm, làm thêm giờ (phần vượt so với lương ngày bình thường).</w:t>
      </w:r>
    </w:p>
    <w:p w14:paraId="1E78C632" w14:textId="77777777" w:rsidR="009C4649" w:rsidRPr="009C4649" w:rsidRDefault="009C4649" w:rsidP="009C46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Lương hưu từ Quỹ BHXH và các quỹ hưu trí tự nguyện/bổ sung.</w:t>
      </w:r>
    </w:p>
    <w:p w14:paraId="1A58360C" w14:textId="77777777" w:rsidR="009C4649" w:rsidRPr="009C4649" w:rsidRDefault="009C4649" w:rsidP="009C46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Thu nhập của thuyền viên làm việc cho hãng tàu quốc tế.</w:t>
      </w:r>
    </w:p>
    <w:p w14:paraId="451E2195" w14:textId="77777777" w:rsidR="009C4649" w:rsidRPr="009C4649" w:rsidRDefault="009C4649" w:rsidP="009C46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b/>
          <w:bCs/>
          <w:sz w:val="24"/>
          <w:szCs w:val="24"/>
        </w:rPr>
        <w:t>MỚI:</w:t>
      </w:r>
      <w:r w:rsidRPr="009C4649">
        <w:rPr>
          <w:rFonts w:ascii="Times New Roman" w:eastAsia="Times New Roman" w:hAnsi="Times New Roman" w:cs="Times New Roman"/>
          <w:sz w:val="24"/>
          <w:szCs w:val="24"/>
        </w:rPr>
        <w:t xml:space="preserve"> Thu nhập từ nhiệm vụ khoa học, công nghệ, đổi mới sáng tạo (Điều 4.17) và bản quyền từ thương mại hóa kết quả nghiên cứu (Điều 4.18).</w:t>
      </w:r>
    </w:p>
    <w:p w14:paraId="2FFB25F3"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b/>
          <w:bCs/>
          <w:sz w:val="24"/>
          <w:szCs w:val="24"/>
        </w:rPr>
        <w:t>Lớp ý nghĩa "So What?":</w:t>
      </w:r>
      <w:r w:rsidRPr="009C4649">
        <w:rPr>
          <w:rFonts w:ascii="Times New Roman" w:eastAsia="Times New Roman" w:hAnsi="Times New Roman" w:cs="Times New Roman"/>
          <w:sz w:val="24"/>
          <w:szCs w:val="24"/>
        </w:rPr>
        <w:t xml:space="preserve"> Tận dụng tối đa các khoản phụ cấp không mang tính chất tiền lương (như phụ cấp độc hại, trợ cấp khó khăn đột xuất) theo hướng dẫn của Chính phủ tại Điều 3.2.c là cách tốt nhất để tăng mức "Take-home pay" cho nhân viên mà không làm tăng quỹ lương của doanh nghiệp.</w:t>
      </w:r>
    </w:p>
    <w:p w14:paraId="50EBA66E"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 xml:space="preserve">-------------------------------------------------------------------------------- </w:t>
      </w:r>
    </w:p>
    <w:p w14:paraId="7B5CAAEA" w14:textId="77777777" w:rsidR="009C4649" w:rsidRPr="009C4649" w:rsidRDefault="009C4649" w:rsidP="009C4649">
      <w:pPr>
        <w:spacing w:before="100" w:beforeAutospacing="1" w:after="100" w:afterAutospacing="1" w:line="240" w:lineRule="auto"/>
        <w:outlineLvl w:val="2"/>
        <w:rPr>
          <w:rFonts w:ascii="Times New Roman" w:eastAsia="Times New Roman" w:hAnsi="Times New Roman" w:cs="Times New Roman"/>
          <w:b/>
          <w:bCs/>
          <w:sz w:val="27"/>
          <w:szCs w:val="27"/>
        </w:rPr>
      </w:pPr>
      <w:r w:rsidRPr="009C4649">
        <w:rPr>
          <w:rFonts w:ascii="Times New Roman" w:eastAsia="Times New Roman" w:hAnsi="Times New Roman" w:cs="Times New Roman"/>
          <w:b/>
          <w:bCs/>
          <w:sz w:val="27"/>
          <w:szCs w:val="27"/>
        </w:rPr>
        <w:t>3. Chế độ Giảm trừ Gia cảnh và Các khoản Giảm trừ Đặc biệt mới</w:t>
      </w:r>
    </w:p>
    <w:p w14:paraId="2D15D4DC" w14:textId="77777777" w:rsidR="009C4649" w:rsidRPr="009C4649" w:rsidRDefault="009C4649" w:rsidP="009C4649">
      <w:pPr>
        <w:spacing w:before="100" w:beforeAutospacing="1" w:after="100" w:afterAutospacing="1" w:line="240" w:lineRule="auto"/>
        <w:outlineLvl w:val="3"/>
        <w:rPr>
          <w:rFonts w:ascii="Times New Roman" w:eastAsia="Times New Roman" w:hAnsi="Times New Roman" w:cs="Times New Roman"/>
          <w:b/>
          <w:bCs/>
          <w:sz w:val="24"/>
          <w:szCs w:val="24"/>
        </w:rPr>
      </w:pPr>
      <w:r w:rsidRPr="009C4649">
        <w:rPr>
          <w:rFonts w:ascii="Times New Roman" w:eastAsia="Times New Roman" w:hAnsi="Times New Roman" w:cs="Times New Roman"/>
          <w:b/>
          <w:bCs/>
          <w:sz w:val="24"/>
          <w:szCs w:val="24"/>
        </w:rPr>
        <w:t>3.1. Mức giảm trừ gia cảnh (Điều 10)</w:t>
      </w:r>
    </w:p>
    <w:p w14:paraId="3993CD85" w14:textId="77777777" w:rsidR="009C4649" w:rsidRPr="009C4649" w:rsidRDefault="009C4649" w:rsidP="009C46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b/>
          <w:bCs/>
          <w:sz w:val="24"/>
          <w:szCs w:val="24"/>
        </w:rPr>
        <w:t>Bản thân người nộp thuế:</w:t>
      </w:r>
      <w:r w:rsidRPr="009C4649">
        <w:rPr>
          <w:rFonts w:ascii="Times New Roman" w:eastAsia="Times New Roman" w:hAnsi="Times New Roman" w:cs="Times New Roman"/>
          <w:sz w:val="24"/>
          <w:szCs w:val="24"/>
        </w:rPr>
        <w:t xml:space="preserve"> </w:t>
      </w:r>
      <w:r w:rsidRPr="009C4649">
        <w:rPr>
          <w:rFonts w:ascii="Times New Roman" w:eastAsia="Times New Roman" w:hAnsi="Times New Roman" w:cs="Times New Roman"/>
          <w:b/>
          <w:bCs/>
          <w:sz w:val="24"/>
          <w:szCs w:val="24"/>
        </w:rPr>
        <w:t>15,5 triệu đồng/tháng</w:t>
      </w:r>
      <w:r w:rsidRPr="009C4649">
        <w:rPr>
          <w:rFonts w:ascii="Times New Roman" w:eastAsia="Times New Roman" w:hAnsi="Times New Roman" w:cs="Times New Roman"/>
          <w:sz w:val="24"/>
          <w:szCs w:val="24"/>
        </w:rPr>
        <w:t xml:space="preserve"> (186 triệu đồng/năm).</w:t>
      </w:r>
    </w:p>
    <w:p w14:paraId="764039BC" w14:textId="77777777" w:rsidR="009C4649" w:rsidRPr="009C4649" w:rsidRDefault="009C4649" w:rsidP="009C46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b/>
          <w:bCs/>
          <w:sz w:val="24"/>
          <w:szCs w:val="24"/>
        </w:rPr>
        <w:t>Mỗi người phụ thuộc:</w:t>
      </w:r>
      <w:r w:rsidRPr="009C4649">
        <w:rPr>
          <w:rFonts w:ascii="Times New Roman" w:eastAsia="Times New Roman" w:hAnsi="Times New Roman" w:cs="Times New Roman"/>
          <w:sz w:val="24"/>
          <w:szCs w:val="24"/>
        </w:rPr>
        <w:t xml:space="preserve"> </w:t>
      </w:r>
      <w:r w:rsidRPr="009C4649">
        <w:rPr>
          <w:rFonts w:ascii="Times New Roman" w:eastAsia="Times New Roman" w:hAnsi="Times New Roman" w:cs="Times New Roman"/>
          <w:b/>
          <w:bCs/>
          <w:sz w:val="24"/>
          <w:szCs w:val="24"/>
        </w:rPr>
        <w:t>6,2 triệu đồng/tháng</w:t>
      </w:r>
      <w:r w:rsidRPr="009C4649">
        <w:rPr>
          <w:rFonts w:ascii="Times New Roman" w:eastAsia="Times New Roman" w:hAnsi="Times New Roman" w:cs="Times New Roman"/>
          <w:sz w:val="24"/>
          <w:szCs w:val="24"/>
        </w:rPr>
        <w:t>.</w:t>
      </w:r>
    </w:p>
    <w:p w14:paraId="18F3DA02" w14:textId="77777777" w:rsidR="009C4649" w:rsidRPr="009C4649" w:rsidRDefault="009C4649" w:rsidP="009C4649">
      <w:pPr>
        <w:spacing w:before="100" w:beforeAutospacing="1" w:after="100" w:afterAutospacing="1" w:line="240" w:lineRule="auto"/>
        <w:outlineLvl w:val="3"/>
        <w:rPr>
          <w:rFonts w:ascii="Times New Roman" w:eastAsia="Times New Roman" w:hAnsi="Times New Roman" w:cs="Times New Roman"/>
          <w:b/>
          <w:bCs/>
          <w:sz w:val="24"/>
          <w:szCs w:val="24"/>
        </w:rPr>
      </w:pPr>
      <w:r w:rsidRPr="009C4649">
        <w:rPr>
          <w:rFonts w:ascii="Times New Roman" w:eastAsia="Times New Roman" w:hAnsi="Times New Roman" w:cs="Times New Roman"/>
          <w:b/>
          <w:bCs/>
          <w:sz w:val="24"/>
          <w:szCs w:val="24"/>
        </w:rPr>
        <w:t>3.2. Điều kiện đối với người phụ thuộc</w:t>
      </w:r>
    </w:p>
    <w:p w14:paraId="5DFF4A2E"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 xml:space="preserve">Tôi lưu ý HR cần rà soát kỹ Điều 10.4, đặc biệt là nhóm </w:t>
      </w:r>
      <w:r w:rsidRPr="009C4649">
        <w:rPr>
          <w:rFonts w:ascii="Times New Roman" w:eastAsia="Times New Roman" w:hAnsi="Times New Roman" w:cs="Times New Roman"/>
          <w:b/>
          <w:bCs/>
          <w:sz w:val="24"/>
          <w:szCs w:val="24"/>
        </w:rPr>
        <w:t>Con thành niên đang học đại học/nghề</w:t>
      </w:r>
      <w:r w:rsidRPr="009C4649">
        <w:rPr>
          <w:rFonts w:ascii="Times New Roman" w:eastAsia="Times New Roman" w:hAnsi="Times New Roman" w:cs="Times New Roman"/>
          <w:sz w:val="24"/>
          <w:szCs w:val="24"/>
        </w:rPr>
        <w:t xml:space="preserve"> hoặc </w:t>
      </w:r>
      <w:r w:rsidRPr="009C4649">
        <w:rPr>
          <w:rFonts w:ascii="Times New Roman" w:eastAsia="Times New Roman" w:hAnsi="Times New Roman" w:cs="Times New Roman"/>
          <w:b/>
          <w:bCs/>
          <w:sz w:val="24"/>
          <w:szCs w:val="24"/>
        </w:rPr>
        <w:t>Vợ/Chồng, Bố/Mẹ hết tuổi lao động</w:t>
      </w:r>
      <w:r w:rsidRPr="009C4649">
        <w:rPr>
          <w:rFonts w:ascii="Times New Roman" w:eastAsia="Times New Roman" w:hAnsi="Times New Roman" w:cs="Times New Roman"/>
          <w:sz w:val="24"/>
          <w:szCs w:val="24"/>
        </w:rPr>
        <w:t xml:space="preserve">. Điểm cần lưu ý là ngưỡng thu nhập của </w:t>
      </w:r>
      <w:r w:rsidRPr="009C4649">
        <w:rPr>
          <w:rFonts w:ascii="Times New Roman" w:eastAsia="Times New Roman" w:hAnsi="Times New Roman" w:cs="Times New Roman"/>
          <w:sz w:val="24"/>
          <w:szCs w:val="24"/>
        </w:rPr>
        <w:lastRenderedPageBreak/>
        <w:t>người phụ thuộc "không vượt quá mức do Bộ trưởng Bộ Tài chính quy định" – đây là một biến số cần theo dõi sát sao vào năm 2026.</w:t>
      </w:r>
    </w:p>
    <w:p w14:paraId="25CD9D2E" w14:textId="77777777" w:rsidR="009C4649" w:rsidRPr="009C4649" w:rsidRDefault="009C4649" w:rsidP="009C4649">
      <w:pPr>
        <w:spacing w:before="100" w:beforeAutospacing="1" w:after="100" w:afterAutospacing="1" w:line="240" w:lineRule="auto"/>
        <w:outlineLvl w:val="3"/>
        <w:rPr>
          <w:rFonts w:ascii="Times New Roman" w:eastAsia="Times New Roman" w:hAnsi="Times New Roman" w:cs="Times New Roman"/>
          <w:b/>
          <w:bCs/>
          <w:sz w:val="24"/>
          <w:szCs w:val="24"/>
        </w:rPr>
      </w:pPr>
      <w:r w:rsidRPr="009C4649">
        <w:rPr>
          <w:rFonts w:ascii="Times New Roman" w:eastAsia="Times New Roman" w:hAnsi="Times New Roman" w:cs="Times New Roman"/>
          <w:b/>
          <w:bCs/>
          <w:sz w:val="24"/>
          <w:szCs w:val="24"/>
        </w:rPr>
        <w:t>3.3. Các khoản giảm trừ khác - "Bước ngoặt" về chi phí Y tế và Giáo dục</w:t>
      </w:r>
    </w:p>
    <w:p w14:paraId="5C13B8B6"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 xml:space="preserve">Điều 11.2 cho phép giảm trừ các khoản </w:t>
      </w:r>
      <w:r w:rsidRPr="009C4649">
        <w:rPr>
          <w:rFonts w:ascii="Times New Roman" w:eastAsia="Times New Roman" w:hAnsi="Times New Roman" w:cs="Times New Roman"/>
          <w:b/>
          <w:bCs/>
          <w:sz w:val="24"/>
          <w:szCs w:val="24"/>
        </w:rPr>
        <w:t>chi cho y tế, giáo dục - đào tạo</w:t>
      </w:r>
      <w:r w:rsidRPr="009C4649">
        <w:rPr>
          <w:rFonts w:ascii="Times New Roman" w:eastAsia="Times New Roman" w:hAnsi="Times New Roman" w:cs="Times New Roman"/>
          <w:sz w:val="24"/>
          <w:szCs w:val="24"/>
        </w:rPr>
        <w:t xml:space="preserve"> của người nộp thuế và người phụ thuộc.</w:t>
      </w:r>
    </w:p>
    <w:p w14:paraId="7BA2177F"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b/>
          <w:bCs/>
          <w:sz w:val="24"/>
          <w:szCs w:val="24"/>
        </w:rPr>
        <w:t>Lớp ý nghĩa "So What?":</w:t>
      </w:r>
      <w:r w:rsidRPr="009C4649">
        <w:rPr>
          <w:rFonts w:ascii="Times New Roman" w:eastAsia="Times New Roman" w:hAnsi="Times New Roman" w:cs="Times New Roman"/>
          <w:sz w:val="24"/>
          <w:szCs w:val="24"/>
        </w:rPr>
        <w:t xml:space="preserve"> Đây là một sự thay đổi mang tính cách mạng (Game Changer). Tuy nhiên, các khoản này phải đáp ứng điều kiện về hóa đơn, chứng từ (Điều 11.3) và theo mức trần của Chính phủ. Doanh nghiệp cần thiết lập ngay một quy trình lưu trữ và kiểm soát hóa đơn y tế/giáo dục cho nhân viên để phục vụ quyết toán thuế năm 2026.</w:t>
      </w:r>
    </w:p>
    <w:p w14:paraId="146C6D3C"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 xml:space="preserve">-------------------------------------------------------------------------------- </w:t>
      </w:r>
    </w:p>
    <w:p w14:paraId="1EA74149" w14:textId="77777777" w:rsidR="009C4649" w:rsidRPr="009C4649" w:rsidRDefault="009C4649" w:rsidP="009C4649">
      <w:pPr>
        <w:spacing w:before="100" w:beforeAutospacing="1" w:after="100" w:afterAutospacing="1" w:line="240" w:lineRule="auto"/>
        <w:outlineLvl w:val="2"/>
        <w:rPr>
          <w:rFonts w:ascii="Times New Roman" w:eastAsia="Times New Roman" w:hAnsi="Times New Roman" w:cs="Times New Roman"/>
          <w:b/>
          <w:bCs/>
          <w:sz w:val="27"/>
          <w:szCs w:val="27"/>
        </w:rPr>
      </w:pPr>
      <w:r w:rsidRPr="009C4649">
        <w:rPr>
          <w:rFonts w:ascii="Times New Roman" w:eastAsia="Times New Roman" w:hAnsi="Times New Roman" w:cs="Times New Roman"/>
          <w:b/>
          <w:bCs/>
          <w:sz w:val="27"/>
          <w:szCs w:val="27"/>
        </w:rPr>
        <w:t>4. Biểu thuế Lũy tiến Từng phần và Phương pháp Tính thuế</w:t>
      </w:r>
    </w:p>
    <w:p w14:paraId="118040A0"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Luật 109/2025/QH15 đã rút gọn biểu thuế xuống còn 5 bậc, giúp giảm đáng kể áp lực thuế cho tầng lớp trung lưu nhờ việc nới rộng các khoảng thu nhập tính thuế.</w:t>
      </w:r>
    </w:p>
    <w:p w14:paraId="003BE8F6" w14:textId="77777777" w:rsidR="009C4649" w:rsidRPr="009C4649" w:rsidRDefault="009C4649" w:rsidP="009C4649">
      <w:pPr>
        <w:spacing w:before="100" w:beforeAutospacing="1" w:after="100" w:afterAutospacing="1" w:line="240" w:lineRule="auto"/>
        <w:outlineLvl w:val="3"/>
        <w:rPr>
          <w:rFonts w:ascii="Times New Roman" w:eastAsia="Times New Roman" w:hAnsi="Times New Roman" w:cs="Times New Roman"/>
          <w:b/>
          <w:bCs/>
          <w:sz w:val="24"/>
          <w:szCs w:val="24"/>
        </w:rPr>
      </w:pPr>
      <w:r w:rsidRPr="009C4649">
        <w:rPr>
          <w:rFonts w:ascii="Times New Roman" w:eastAsia="Times New Roman" w:hAnsi="Times New Roman" w:cs="Times New Roman"/>
          <w:b/>
          <w:bCs/>
          <w:sz w:val="24"/>
          <w:szCs w:val="24"/>
        </w:rPr>
        <w:t>4.1. Biểu thuế cho cá nhân cư trú (Điều 9)</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66"/>
        <w:gridCol w:w="5812"/>
        <w:gridCol w:w="2166"/>
      </w:tblGrid>
      <w:tr w:rsidR="009C4649" w:rsidRPr="009C4649" w14:paraId="454D45C4" w14:textId="77777777" w:rsidTr="009C4649">
        <w:tc>
          <w:tcPr>
            <w:tcW w:w="0" w:type="auto"/>
            <w:tcBorders>
              <w:top w:val="outset" w:sz="6" w:space="0" w:color="auto"/>
              <w:left w:val="outset" w:sz="6" w:space="0" w:color="auto"/>
              <w:bottom w:val="outset" w:sz="6" w:space="0" w:color="auto"/>
              <w:right w:val="outset" w:sz="6" w:space="0" w:color="auto"/>
            </w:tcBorders>
            <w:vAlign w:val="center"/>
            <w:hideMark/>
          </w:tcPr>
          <w:p w14:paraId="1564C6A3"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Bậc thuế</w:t>
            </w:r>
          </w:p>
        </w:tc>
        <w:tc>
          <w:tcPr>
            <w:tcW w:w="0" w:type="auto"/>
            <w:tcBorders>
              <w:top w:val="outset" w:sz="6" w:space="0" w:color="auto"/>
              <w:left w:val="outset" w:sz="6" w:space="0" w:color="auto"/>
              <w:bottom w:val="outset" w:sz="6" w:space="0" w:color="auto"/>
              <w:right w:val="outset" w:sz="6" w:space="0" w:color="auto"/>
            </w:tcBorders>
            <w:vAlign w:val="center"/>
            <w:hideMark/>
          </w:tcPr>
          <w:p w14:paraId="56252791"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Thu nhập tính thuế/tháng (Triệu đồng)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A6BD167"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Thuế suất (%)</w:t>
            </w:r>
          </w:p>
        </w:tc>
      </w:tr>
      <w:tr w:rsidR="009C4649" w:rsidRPr="009C4649" w14:paraId="3A804DF7" w14:textId="77777777" w:rsidTr="009C4649">
        <w:tc>
          <w:tcPr>
            <w:tcW w:w="0" w:type="auto"/>
            <w:tcBorders>
              <w:top w:val="outset" w:sz="6" w:space="0" w:color="auto"/>
              <w:left w:val="outset" w:sz="6" w:space="0" w:color="auto"/>
              <w:bottom w:val="outset" w:sz="6" w:space="0" w:color="auto"/>
              <w:right w:val="outset" w:sz="6" w:space="0" w:color="auto"/>
            </w:tcBorders>
            <w:vAlign w:val="center"/>
            <w:hideMark/>
          </w:tcPr>
          <w:p w14:paraId="407A58E1"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0B08010"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Đến 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E2DB4DC"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5%</w:t>
            </w:r>
          </w:p>
        </w:tc>
      </w:tr>
      <w:tr w:rsidR="009C4649" w:rsidRPr="009C4649" w14:paraId="3E0A0490" w14:textId="77777777" w:rsidTr="009C4649">
        <w:tc>
          <w:tcPr>
            <w:tcW w:w="0" w:type="auto"/>
            <w:tcBorders>
              <w:top w:val="outset" w:sz="6" w:space="0" w:color="auto"/>
              <w:left w:val="outset" w:sz="6" w:space="0" w:color="auto"/>
              <w:bottom w:val="outset" w:sz="6" w:space="0" w:color="auto"/>
              <w:right w:val="outset" w:sz="6" w:space="0" w:color="auto"/>
            </w:tcBorders>
            <w:vAlign w:val="center"/>
            <w:hideMark/>
          </w:tcPr>
          <w:p w14:paraId="673BC1E3"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A1467"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Trên 10 đến 30</w:t>
            </w:r>
          </w:p>
        </w:tc>
        <w:tc>
          <w:tcPr>
            <w:tcW w:w="0" w:type="auto"/>
            <w:tcBorders>
              <w:top w:val="outset" w:sz="6" w:space="0" w:color="auto"/>
              <w:left w:val="outset" w:sz="6" w:space="0" w:color="auto"/>
              <w:bottom w:val="outset" w:sz="6" w:space="0" w:color="auto"/>
              <w:right w:val="outset" w:sz="6" w:space="0" w:color="auto"/>
            </w:tcBorders>
            <w:vAlign w:val="center"/>
            <w:hideMark/>
          </w:tcPr>
          <w:p w14:paraId="1E3DA5B0"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10%</w:t>
            </w:r>
          </w:p>
        </w:tc>
      </w:tr>
      <w:tr w:rsidR="009C4649" w:rsidRPr="009C4649" w14:paraId="0DCA3DFA" w14:textId="77777777" w:rsidTr="009C4649">
        <w:tc>
          <w:tcPr>
            <w:tcW w:w="0" w:type="auto"/>
            <w:tcBorders>
              <w:top w:val="outset" w:sz="6" w:space="0" w:color="auto"/>
              <w:left w:val="outset" w:sz="6" w:space="0" w:color="auto"/>
              <w:bottom w:val="outset" w:sz="6" w:space="0" w:color="auto"/>
              <w:right w:val="outset" w:sz="6" w:space="0" w:color="auto"/>
            </w:tcBorders>
            <w:vAlign w:val="center"/>
            <w:hideMark/>
          </w:tcPr>
          <w:p w14:paraId="215DE7EC"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A9719E2"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Trên 30 đến 60</w:t>
            </w:r>
          </w:p>
        </w:tc>
        <w:tc>
          <w:tcPr>
            <w:tcW w:w="0" w:type="auto"/>
            <w:tcBorders>
              <w:top w:val="outset" w:sz="6" w:space="0" w:color="auto"/>
              <w:left w:val="outset" w:sz="6" w:space="0" w:color="auto"/>
              <w:bottom w:val="outset" w:sz="6" w:space="0" w:color="auto"/>
              <w:right w:val="outset" w:sz="6" w:space="0" w:color="auto"/>
            </w:tcBorders>
            <w:vAlign w:val="center"/>
            <w:hideMark/>
          </w:tcPr>
          <w:p w14:paraId="01C8C215"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20%</w:t>
            </w:r>
          </w:p>
        </w:tc>
      </w:tr>
      <w:tr w:rsidR="009C4649" w:rsidRPr="009C4649" w14:paraId="3415C31E" w14:textId="77777777" w:rsidTr="009C4649">
        <w:tc>
          <w:tcPr>
            <w:tcW w:w="0" w:type="auto"/>
            <w:tcBorders>
              <w:top w:val="outset" w:sz="6" w:space="0" w:color="auto"/>
              <w:left w:val="outset" w:sz="6" w:space="0" w:color="auto"/>
              <w:bottom w:val="outset" w:sz="6" w:space="0" w:color="auto"/>
              <w:right w:val="outset" w:sz="6" w:space="0" w:color="auto"/>
            </w:tcBorders>
            <w:vAlign w:val="center"/>
            <w:hideMark/>
          </w:tcPr>
          <w:p w14:paraId="22B868F4"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179F2DE9"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Trên 60 đến 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0B1123E"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30%</w:t>
            </w:r>
          </w:p>
        </w:tc>
      </w:tr>
      <w:tr w:rsidR="009C4649" w:rsidRPr="009C4649" w14:paraId="3D581CE9" w14:textId="77777777" w:rsidTr="009C4649">
        <w:tc>
          <w:tcPr>
            <w:tcW w:w="0" w:type="auto"/>
            <w:tcBorders>
              <w:top w:val="outset" w:sz="6" w:space="0" w:color="auto"/>
              <w:left w:val="outset" w:sz="6" w:space="0" w:color="auto"/>
              <w:bottom w:val="outset" w:sz="6" w:space="0" w:color="auto"/>
              <w:right w:val="outset" w:sz="6" w:space="0" w:color="auto"/>
            </w:tcBorders>
            <w:vAlign w:val="center"/>
            <w:hideMark/>
          </w:tcPr>
          <w:p w14:paraId="41EB33A2"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7728B09B"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Trên 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F0C1395"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35%</w:t>
            </w:r>
          </w:p>
        </w:tc>
      </w:tr>
    </w:tbl>
    <w:p w14:paraId="7859F221" w14:textId="77777777" w:rsidR="009C4649" w:rsidRPr="009C4649" w:rsidRDefault="009C4649" w:rsidP="009C46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b/>
          <w:bCs/>
          <w:sz w:val="24"/>
          <w:szCs w:val="24"/>
        </w:rPr>
        <w:t>Cá nhân không cư trú:</w:t>
      </w:r>
      <w:r w:rsidRPr="009C4649">
        <w:rPr>
          <w:rFonts w:ascii="Times New Roman" w:eastAsia="Times New Roman" w:hAnsi="Times New Roman" w:cs="Times New Roman"/>
          <w:sz w:val="24"/>
          <w:szCs w:val="24"/>
        </w:rPr>
        <w:t xml:space="preserve"> Áp dụng thuế suất cố định </w:t>
      </w:r>
      <w:r w:rsidRPr="009C4649">
        <w:rPr>
          <w:rFonts w:ascii="Times New Roman" w:eastAsia="Times New Roman" w:hAnsi="Times New Roman" w:cs="Times New Roman"/>
          <w:b/>
          <w:bCs/>
          <w:sz w:val="24"/>
          <w:szCs w:val="24"/>
        </w:rPr>
        <w:t>20%</w:t>
      </w:r>
      <w:r w:rsidRPr="009C4649">
        <w:rPr>
          <w:rFonts w:ascii="Times New Roman" w:eastAsia="Times New Roman" w:hAnsi="Times New Roman" w:cs="Times New Roman"/>
          <w:sz w:val="24"/>
          <w:szCs w:val="24"/>
        </w:rPr>
        <w:t xml:space="preserve"> (Điều 21).</w:t>
      </w:r>
    </w:p>
    <w:p w14:paraId="2DAAD3E0"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b/>
          <w:bCs/>
          <w:sz w:val="24"/>
          <w:szCs w:val="24"/>
        </w:rPr>
        <w:t>Lớp ý nghĩa "So What?":</w:t>
      </w:r>
      <w:r w:rsidRPr="009C4649">
        <w:rPr>
          <w:rFonts w:ascii="Times New Roman" w:eastAsia="Times New Roman" w:hAnsi="Times New Roman" w:cs="Times New Roman"/>
          <w:sz w:val="24"/>
          <w:szCs w:val="24"/>
        </w:rPr>
        <w:t xml:space="preserve"> Biểu thuế mới giúp bậc thuế 10% kéo dài đến mức thu nhập 30 triệu đồng (sau giảm trừ), thay vì các mức thấp như trước đây. Điều này đòi hỏi bộ phận Kế toán phải cập nhật ngay các tham số vào phần mềm tính lương. Thời điểm tính thuế vẫn là thời điểm </w:t>
      </w:r>
      <w:r w:rsidRPr="009C4649">
        <w:rPr>
          <w:rFonts w:ascii="Times New Roman" w:eastAsia="Times New Roman" w:hAnsi="Times New Roman" w:cs="Times New Roman"/>
          <w:b/>
          <w:bCs/>
          <w:sz w:val="24"/>
          <w:szCs w:val="24"/>
        </w:rPr>
        <w:t>trả</w:t>
      </w:r>
      <w:r w:rsidRPr="009C4649">
        <w:rPr>
          <w:rFonts w:ascii="Times New Roman" w:eastAsia="Times New Roman" w:hAnsi="Times New Roman" w:cs="Times New Roman"/>
          <w:sz w:val="24"/>
          <w:szCs w:val="24"/>
        </w:rPr>
        <w:t xml:space="preserve"> thu nhập (Điều 8.3).</w:t>
      </w:r>
    </w:p>
    <w:p w14:paraId="0D8F03D5"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 xml:space="preserve">-------------------------------------------------------------------------------- </w:t>
      </w:r>
    </w:p>
    <w:p w14:paraId="4292B27C" w14:textId="77777777" w:rsidR="009C4649" w:rsidRPr="009C4649" w:rsidRDefault="009C4649" w:rsidP="009C4649">
      <w:pPr>
        <w:spacing w:before="100" w:beforeAutospacing="1" w:after="100" w:afterAutospacing="1" w:line="240" w:lineRule="auto"/>
        <w:outlineLvl w:val="2"/>
        <w:rPr>
          <w:rFonts w:ascii="Times New Roman" w:eastAsia="Times New Roman" w:hAnsi="Times New Roman" w:cs="Times New Roman"/>
          <w:b/>
          <w:bCs/>
          <w:sz w:val="27"/>
          <w:szCs w:val="27"/>
        </w:rPr>
      </w:pPr>
      <w:r w:rsidRPr="009C4649">
        <w:rPr>
          <w:rFonts w:ascii="Times New Roman" w:eastAsia="Times New Roman" w:hAnsi="Times New Roman" w:cs="Times New Roman"/>
          <w:b/>
          <w:bCs/>
          <w:sz w:val="27"/>
          <w:szCs w:val="27"/>
        </w:rPr>
        <w:t>5. Ưu đãi Thuế cho Nhân lực Chất lượng cao và Công nghệ chiến lược</w:t>
      </w:r>
    </w:p>
    <w:p w14:paraId="10D60A0E"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 xml:space="preserve">Đây là "vũ khí" tuyển dụng cực mạnh mà HR cần khai thác. Theo Điều 5.2 và 5.3, Chính phủ áp dụng mức </w:t>
      </w:r>
      <w:r w:rsidRPr="009C4649">
        <w:rPr>
          <w:rFonts w:ascii="Times New Roman" w:eastAsia="Times New Roman" w:hAnsi="Times New Roman" w:cs="Times New Roman"/>
          <w:b/>
          <w:bCs/>
          <w:sz w:val="24"/>
          <w:szCs w:val="24"/>
        </w:rPr>
        <w:t>Miễn thuế TNCN 100% trong vòng 05 năm</w:t>
      </w:r>
      <w:r w:rsidRPr="009C4649">
        <w:rPr>
          <w:rFonts w:ascii="Times New Roman" w:eastAsia="Times New Roman" w:hAnsi="Times New Roman" w:cs="Times New Roman"/>
          <w:sz w:val="24"/>
          <w:szCs w:val="24"/>
        </w:rPr>
        <w:t xml:space="preserve"> cho:</w:t>
      </w:r>
    </w:p>
    <w:p w14:paraId="7E4C67BD" w14:textId="77777777" w:rsidR="009C4649" w:rsidRPr="009C4649" w:rsidRDefault="009C4649" w:rsidP="009C46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Nhân lực công nghiệp công nghệ số (làm việc tại khu công nghệ số, dự án chip bán dẫn, AI).</w:t>
      </w:r>
    </w:p>
    <w:p w14:paraId="5434C7C1" w14:textId="77777777" w:rsidR="009C4649" w:rsidRPr="009C4649" w:rsidRDefault="009C4649" w:rsidP="009C46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lastRenderedPageBreak/>
        <w:t>Nhân lực công nghệ cao thực hiện R&amp;D hoặc công nghệ chiến lược.</w:t>
      </w:r>
    </w:p>
    <w:p w14:paraId="07E007F7"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b/>
          <w:bCs/>
          <w:sz w:val="24"/>
          <w:szCs w:val="24"/>
        </w:rPr>
        <w:t>Lời khuyên chiến lược:</w:t>
      </w:r>
      <w:r w:rsidRPr="009C4649">
        <w:rPr>
          <w:rFonts w:ascii="Times New Roman" w:eastAsia="Times New Roman" w:hAnsi="Times New Roman" w:cs="Times New Roman"/>
          <w:sz w:val="24"/>
          <w:szCs w:val="24"/>
        </w:rPr>
        <w:t xml:space="preserve"> Doanh nghiệp cần tiến hành kiểm tra (audit) mô tả công việc (Job Descriptions) và chức danh của đội ngũ R&amp;D ngay bây giờ. Hãy đảm bảo các hồ sơ này khớp với danh mục công nghệ ưu tiên của Chính phủ để có thể đăng ký hưởng ưu đãi 5 năm miễn thuế ngay từ năm 2026.</w:t>
      </w:r>
    </w:p>
    <w:p w14:paraId="389E41D5"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 xml:space="preserve">-------------------------------------------------------------------------------- </w:t>
      </w:r>
    </w:p>
    <w:p w14:paraId="2A505D93" w14:textId="77777777" w:rsidR="009C4649" w:rsidRPr="009C4649" w:rsidRDefault="009C4649" w:rsidP="009C4649">
      <w:pPr>
        <w:spacing w:before="100" w:beforeAutospacing="1" w:after="100" w:afterAutospacing="1" w:line="240" w:lineRule="auto"/>
        <w:outlineLvl w:val="2"/>
        <w:rPr>
          <w:rFonts w:ascii="Times New Roman" w:eastAsia="Times New Roman" w:hAnsi="Times New Roman" w:cs="Times New Roman"/>
          <w:b/>
          <w:bCs/>
          <w:sz w:val="27"/>
          <w:szCs w:val="27"/>
        </w:rPr>
      </w:pPr>
      <w:r w:rsidRPr="009C4649">
        <w:rPr>
          <w:rFonts w:ascii="Times New Roman" w:eastAsia="Times New Roman" w:hAnsi="Times New Roman" w:cs="Times New Roman"/>
          <w:b/>
          <w:bCs/>
          <w:sz w:val="27"/>
          <w:szCs w:val="27"/>
        </w:rPr>
        <w:t>6. Lộ trình Triển khai và Hiệu lực Thi hành</w:t>
      </w:r>
    </w:p>
    <w:p w14:paraId="68229808"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Căn cứ Điều 29, doanh nghiệp cần lưu ý lịch trình chuyển đổi sau:</w:t>
      </w:r>
    </w:p>
    <w:p w14:paraId="122F5DA0" w14:textId="77777777" w:rsidR="009C4649" w:rsidRPr="009C4649" w:rsidRDefault="009C4649" w:rsidP="009C46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b/>
          <w:bCs/>
          <w:sz w:val="24"/>
          <w:szCs w:val="24"/>
        </w:rPr>
        <w:t>Hiệu lực chung:</w:t>
      </w:r>
      <w:r w:rsidRPr="009C4649">
        <w:rPr>
          <w:rFonts w:ascii="Times New Roman" w:eastAsia="Times New Roman" w:hAnsi="Times New Roman" w:cs="Times New Roman"/>
          <w:sz w:val="24"/>
          <w:szCs w:val="24"/>
        </w:rPr>
        <w:t xml:space="preserve"> Từ ngày </w:t>
      </w:r>
      <w:r w:rsidRPr="009C4649">
        <w:rPr>
          <w:rFonts w:ascii="Times New Roman" w:eastAsia="Times New Roman" w:hAnsi="Times New Roman" w:cs="Times New Roman"/>
          <w:b/>
          <w:bCs/>
          <w:sz w:val="24"/>
          <w:szCs w:val="24"/>
        </w:rPr>
        <w:t>01/07/2026</w:t>
      </w:r>
      <w:r w:rsidRPr="009C4649">
        <w:rPr>
          <w:rFonts w:ascii="Times New Roman" w:eastAsia="Times New Roman" w:hAnsi="Times New Roman" w:cs="Times New Roman"/>
          <w:sz w:val="24"/>
          <w:szCs w:val="24"/>
        </w:rPr>
        <w:t>.</w:t>
      </w:r>
    </w:p>
    <w:p w14:paraId="3E277A1F" w14:textId="77777777" w:rsidR="009C4649" w:rsidRPr="009C4649" w:rsidRDefault="009C4649" w:rsidP="009C46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b/>
          <w:bCs/>
          <w:sz w:val="24"/>
          <w:szCs w:val="24"/>
        </w:rPr>
        <w:t>Áp dụng riêng cho tiền lương/kinh doanh:</w:t>
      </w:r>
      <w:r w:rsidRPr="009C4649">
        <w:rPr>
          <w:rFonts w:ascii="Times New Roman" w:eastAsia="Times New Roman" w:hAnsi="Times New Roman" w:cs="Times New Roman"/>
          <w:sz w:val="24"/>
          <w:szCs w:val="24"/>
        </w:rPr>
        <w:t xml:space="preserve"> Áp dụng cho </w:t>
      </w:r>
      <w:r w:rsidRPr="009C4649">
        <w:rPr>
          <w:rFonts w:ascii="Times New Roman" w:eastAsia="Times New Roman" w:hAnsi="Times New Roman" w:cs="Times New Roman"/>
          <w:b/>
          <w:bCs/>
          <w:sz w:val="24"/>
          <w:szCs w:val="24"/>
        </w:rPr>
        <w:t>Toàn bộ kỳ tính thuế năm 2026</w:t>
      </w:r>
      <w:r w:rsidRPr="009C4649">
        <w:rPr>
          <w:rFonts w:ascii="Times New Roman" w:eastAsia="Times New Roman" w:hAnsi="Times New Roman" w:cs="Times New Roman"/>
          <w:sz w:val="24"/>
          <w:szCs w:val="24"/>
        </w:rPr>
        <w:t>. Điều này đồng nghĩa với việc dù Luật có hiệu lực từ tháng 7, nhưng các quy định về giảm trừ và biểu thuế sẽ được áp dụng hồi tố hoặc tính toán lại cho cả năm 2026.</w:t>
      </w:r>
    </w:p>
    <w:p w14:paraId="0B84DD8B" w14:textId="77777777" w:rsidR="009C4649" w:rsidRPr="009C4649" w:rsidRDefault="009C4649" w:rsidP="009C46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b/>
          <w:bCs/>
          <w:sz w:val="24"/>
          <w:szCs w:val="24"/>
        </w:rPr>
        <w:t>Hủy bỏ:</w:t>
      </w:r>
      <w:r w:rsidRPr="009C4649">
        <w:rPr>
          <w:rFonts w:ascii="Times New Roman" w:eastAsia="Times New Roman" w:hAnsi="Times New Roman" w:cs="Times New Roman"/>
          <w:sz w:val="24"/>
          <w:szCs w:val="24"/>
        </w:rPr>
        <w:t xml:space="preserve"> Luật Thuế TNCN số 04/2007/QH12 và các văn bản sửa đổi liên quan sẽ chính thức hết hiệu lực.</w:t>
      </w:r>
    </w:p>
    <w:p w14:paraId="0333CEA7" w14:textId="77777777" w:rsidR="009C4649" w:rsidRPr="009C4649" w:rsidRDefault="009C4649" w:rsidP="009C4649">
      <w:pPr>
        <w:spacing w:before="100" w:beforeAutospacing="1" w:after="100" w:afterAutospacing="1" w:line="240" w:lineRule="auto"/>
        <w:outlineLvl w:val="3"/>
        <w:rPr>
          <w:rFonts w:ascii="Times New Roman" w:eastAsia="Times New Roman" w:hAnsi="Times New Roman" w:cs="Times New Roman"/>
          <w:b/>
          <w:bCs/>
          <w:sz w:val="24"/>
          <w:szCs w:val="24"/>
        </w:rPr>
      </w:pPr>
      <w:r w:rsidRPr="009C4649">
        <w:rPr>
          <w:rFonts w:ascii="Times New Roman" w:eastAsia="Times New Roman" w:hAnsi="Times New Roman" w:cs="Times New Roman"/>
          <w:b/>
          <w:bCs/>
          <w:sz w:val="24"/>
          <w:szCs w:val="24"/>
        </w:rPr>
        <w:t>Checklist thực thi cho bộ phận HR/Kế toán:</w:t>
      </w:r>
    </w:p>
    <w:p w14:paraId="758B9623" w14:textId="77777777" w:rsidR="009C4649" w:rsidRPr="009C4649" w:rsidRDefault="009C4649" w:rsidP="009C464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 xml:space="preserve">[ ] </w:t>
      </w:r>
      <w:r w:rsidRPr="009C4649">
        <w:rPr>
          <w:rFonts w:ascii="Times New Roman" w:eastAsia="Times New Roman" w:hAnsi="Times New Roman" w:cs="Times New Roman"/>
          <w:b/>
          <w:bCs/>
          <w:sz w:val="24"/>
          <w:szCs w:val="24"/>
        </w:rPr>
        <w:t>Rà soát chức danh:</w:t>
      </w:r>
      <w:r w:rsidRPr="009C4649">
        <w:rPr>
          <w:rFonts w:ascii="Times New Roman" w:eastAsia="Times New Roman" w:hAnsi="Times New Roman" w:cs="Times New Roman"/>
          <w:sz w:val="24"/>
          <w:szCs w:val="24"/>
        </w:rPr>
        <w:t xml:space="preserve"> Đối soát nhân sự R&amp;D với tiêu chuẩn tại Điều 5 để hưởng miễn thuế 5 năm.</w:t>
      </w:r>
    </w:p>
    <w:p w14:paraId="070BA2C6" w14:textId="77777777" w:rsidR="009C4649" w:rsidRPr="009C4649" w:rsidRDefault="009C4649" w:rsidP="009C464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 xml:space="preserve">[ ] </w:t>
      </w:r>
      <w:r w:rsidRPr="009C4649">
        <w:rPr>
          <w:rFonts w:ascii="Times New Roman" w:eastAsia="Times New Roman" w:hAnsi="Times New Roman" w:cs="Times New Roman"/>
          <w:b/>
          <w:bCs/>
          <w:sz w:val="24"/>
          <w:szCs w:val="24"/>
        </w:rPr>
        <w:t>Cập nhật hệ thống:</w:t>
      </w:r>
      <w:r w:rsidRPr="009C4649">
        <w:rPr>
          <w:rFonts w:ascii="Times New Roman" w:eastAsia="Times New Roman" w:hAnsi="Times New Roman" w:cs="Times New Roman"/>
          <w:sz w:val="24"/>
          <w:szCs w:val="24"/>
        </w:rPr>
        <w:t xml:space="preserve"> Cài đặt mức giảm trừ gia cảnh mới (15,5 triệu và 6,2 triệu) và biểu thuế 5 bậc vào phần mềm ERP/Payroll.</w:t>
      </w:r>
    </w:p>
    <w:p w14:paraId="64703941" w14:textId="77777777" w:rsidR="009C4649" w:rsidRPr="009C4649" w:rsidRDefault="009C4649" w:rsidP="009C464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 xml:space="preserve">[ ] </w:t>
      </w:r>
      <w:r w:rsidRPr="009C4649">
        <w:rPr>
          <w:rFonts w:ascii="Times New Roman" w:eastAsia="Times New Roman" w:hAnsi="Times New Roman" w:cs="Times New Roman"/>
          <w:b/>
          <w:bCs/>
          <w:sz w:val="24"/>
          <w:szCs w:val="24"/>
        </w:rPr>
        <w:t>Thiết lập quy trình chứng từ:</w:t>
      </w:r>
      <w:r w:rsidRPr="009C4649">
        <w:rPr>
          <w:rFonts w:ascii="Times New Roman" w:eastAsia="Times New Roman" w:hAnsi="Times New Roman" w:cs="Times New Roman"/>
          <w:sz w:val="24"/>
          <w:szCs w:val="24"/>
        </w:rPr>
        <w:t xml:space="preserve"> Xây dựng workflow thu thập và kiểm tra hóa đơn y tế, giáo dục theo Điều 11.</w:t>
      </w:r>
    </w:p>
    <w:p w14:paraId="40515CB6" w14:textId="77777777" w:rsidR="009C4649" w:rsidRPr="009C4649" w:rsidRDefault="009C4649" w:rsidP="009C464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 xml:space="preserve">[ ] </w:t>
      </w:r>
      <w:r w:rsidRPr="009C4649">
        <w:rPr>
          <w:rFonts w:ascii="Times New Roman" w:eastAsia="Times New Roman" w:hAnsi="Times New Roman" w:cs="Times New Roman"/>
          <w:b/>
          <w:bCs/>
          <w:sz w:val="24"/>
          <w:szCs w:val="24"/>
        </w:rPr>
        <w:t>Truyền thông nội bộ:</w:t>
      </w:r>
      <w:r w:rsidRPr="009C4649">
        <w:rPr>
          <w:rFonts w:ascii="Times New Roman" w:eastAsia="Times New Roman" w:hAnsi="Times New Roman" w:cs="Times New Roman"/>
          <w:sz w:val="24"/>
          <w:szCs w:val="24"/>
        </w:rPr>
        <w:t xml:space="preserve"> Thông báo cho nhân viên về mức thu nhập thực nhận sẽ tăng lên và hướng dẫn họ chuẩn bị hồ sơ người phụ thuộc theo tiêu chuẩn mới.</w:t>
      </w:r>
    </w:p>
    <w:p w14:paraId="0C5E93C1" w14:textId="77777777" w:rsidR="009C4649" w:rsidRPr="009C4649" w:rsidRDefault="009C4649" w:rsidP="009C464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sz w:val="24"/>
          <w:szCs w:val="24"/>
        </w:rPr>
        <w:t xml:space="preserve">[ ] </w:t>
      </w:r>
      <w:r w:rsidRPr="009C4649">
        <w:rPr>
          <w:rFonts w:ascii="Times New Roman" w:eastAsia="Times New Roman" w:hAnsi="Times New Roman" w:cs="Times New Roman"/>
          <w:b/>
          <w:bCs/>
          <w:sz w:val="24"/>
          <w:szCs w:val="24"/>
        </w:rPr>
        <w:t>Lưu trữ hóa đơn:</w:t>
      </w:r>
      <w:r w:rsidRPr="009C4649">
        <w:rPr>
          <w:rFonts w:ascii="Times New Roman" w:eastAsia="Times New Roman" w:hAnsi="Times New Roman" w:cs="Times New Roman"/>
          <w:sz w:val="24"/>
          <w:szCs w:val="24"/>
        </w:rPr>
        <w:t xml:space="preserve"> Bắt đầu lưu trữ hóa đơn điện tử cho các khoản chi phí đào tạo/y tế từ 01/01/2026 để phục vụ quyết toán năm.</w:t>
      </w:r>
    </w:p>
    <w:p w14:paraId="2356FA3A" w14:textId="77777777" w:rsidR="009C4649" w:rsidRPr="009C4649" w:rsidRDefault="009C4649" w:rsidP="009C4649">
      <w:pPr>
        <w:spacing w:before="100" w:beforeAutospacing="1" w:after="100" w:afterAutospacing="1" w:line="240" w:lineRule="auto"/>
        <w:rPr>
          <w:rFonts w:ascii="Times New Roman" w:eastAsia="Times New Roman" w:hAnsi="Times New Roman" w:cs="Times New Roman"/>
          <w:sz w:val="24"/>
          <w:szCs w:val="24"/>
        </w:rPr>
      </w:pPr>
      <w:r w:rsidRPr="009C4649">
        <w:rPr>
          <w:rFonts w:ascii="Times New Roman" w:eastAsia="Times New Roman" w:hAnsi="Times New Roman" w:cs="Times New Roman"/>
          <w:b/>
          <w:bCs/>
          <w:sz w:val="24"/>
          <w:szCs w:val="24"/>
        </w:rPr>
        <w:t>Lời kết:</w:t>
      </w:r>
      <w:r w:rsidRPr="009C4649">
        <w:rPr>
          <w:rFonts w:ascii="Times New Roman" w:eastAsia="Times New Roman" w:hAnsi="Times New Roman" w:cs="Times New Roman"/>
          <w:sz w:val="24"/>
          <w:szCs w:val="24"/>
        </w:rPr>
        <w:t xml:space="preserve"> Luật Thuế TNCN 2025 mang lại lợi ích lớn cho người lao động nhưng cũng đặt ra bài toán quản lý phức tạp hơn cho doanh nghiệp. Việc chuẩn bị kỹ lưỡng về cả hệ thống kỹ thuật lẫn hồ sơ pháp lý ngay từ bây giờ sẽ giúp doanh nghiệp biến sự thay đổi này thành lợi thế cạnh tranh trong thu hút nhân tài.</w:t>
      </w:r>
    </w:p>
    <w:p w14:paraId="4E483DCE" w14:textId="6477B110" w:rsidR="000046CD" w:rsidRDefault="000046CD"/>
    <w:p w14:paraId="5ED0A1A1" w14:textId="04D59022" w:rsidR="00AA18E2" w:rsidRDefault="00AA18E2"/>
    <w:p w14:paraId="02873EE7" w14:textId="77777777" w:rsidR="00E52B95" w:rsidRDefault="00E52B95" w:rsidP="00E52B95">
      <w:r w:rsidRPr="00595F60">
        <w:rPr>
          <w:b/>
          <w:color w:val="FF0000"/>
        </w:rPr>
        <w:t>PODCAST Luật thuế TNCN 109/2025</w:t>
      </w:r>
      <w:r>
        <w:t xml:space="preserve">: </w:t>
      </w:r>
      <w:hyperlink r:id="rId6" w:history="1">
        <w:r w:rsidRPr="00216186">
          <w:rPr>
            <w:rStyle w:val="Hyperlink"/>
          </w:rPr>
          <w:t>https://youtu.be/UQLuJ84Qmho?si=RxCDJtVTntVzpmOm</w:t>
        </w:r>
      </w:hyperlink>
    </w:p>
    <w:p w14:paraId="10071862" w14:textId="7B3F2BA2" w:rsidR="00AA18E2" w:rsidRDefault="00AA18E2"/>
    <w:p w14:paraId="4179E35B" w14:textId="7C13FD7C" w:rsidR="00AA18E2" w:rsidRDefault="00AA18E2"/>
    <w:p w14:paraId="25F07FAD" w14:textId="165ECC9E" w:rsidR="00AA18E2" w:rsidRDefault="00AA18E2"/>
    <w:p w14:paraId="4DDC88CA" w14:textId="77777777" w:rsidR="00AA18E2" w:rsidRDefault="00AA18E2"/>
    <w:p w14:paraId="3D9B93E8" w14:textId="1485FC22" w:rsidR="00AA18E2" w:rsidRDefault="00AA18E2"/>
    <w:p w14:paraId="5667C40A" w14:textId="77777777" w:rsidR="00AA18E2" w:rsidRDefault="00AA18E2" w:rsidP="00AA18E2">
      <w:r w:rsidRPr="00AA18E2">
        <w:rPr>
          <w:b/>
          <w:color w:val="FF0000"/>
        </w:rPr>
        <w:t xml:space="preserve">Bạn muốn trở thành Kế toán tổng hợp - Thuế ? </w:t>
      </w:r>
      <w:r>
        <w:br/>
        <w:t>H</w:t>
      </w:r>
      <w:r w:rsidRPr="00544D89">
        <w:t>ọc</w:t>
      </w:r>
      <w:r>
        <w:t xml:space="preserve"> t</w:t>
      </w:r>
      <w:r w:rsidRPr="00544D89">
        <w:t>ạ</w:t>
      </w:r>
      <w:r>
        <w:t xml:space="preserve">i </w:t>
      </w:r>
      <w:r w:rsidRPr="00544D89">
        <w:t>đây</w:t>
      </w:r>
      <w:r>
        <w:t xml:space="preserve">: </w:t>
      </w:r>
      <w:hyperlink r:id="rId7" w:history="1">
        <w:r w:rsidRPr="00660608">
          <w:rPr>
            <w:rStyle w:val="Hyperlink"/>
          </w:rPr>
          <w:t>https://www.phamvanhoc.com/3x/?ref=999</w:t>
        </w:r>
      </w:hyperlink>
    </w:p>
    <w:p w14:paraId="65D88561" w14:textId="77777777" w:rsidR="00AA18E2" w:rsidRDefault="00AA18E2" w:rsidP="00AA18E2"/>
    <w:p w14:paraId="3E81BA99" w14:textId="77777777" w:rsidR="00AA18E2" w:rsidRPr="00AA18E2" w:rsidRDefault="00AA18E2" w:rsidP="00AA18E2">
      <w:pPr>
        <w:rPr>
          <w:b/>
          <w:color w:val="FF0000"/>
        </w:rPr>
      </w:pPr>
      <w:r w:rsidRPr="00AA18E2">
        <w:rPr>
          <w:b/>
          <w:color w:val="FF0000"/>
        </w:rPr>
        <w:t xml:space="preserve">Kinh nghiệm Ứng tuyển kế toán: </w:t>
      </w:r>
    </w:p>
    <w:p w14:paraId="73265773" w14:textId="115403AA" w:rsidR="0010117A" w:rsidRDefault="00AA18E2" w:rsidP="00AA18E2">
      <w:r>
        <w:rPr>
          <w:rFonts w:ascii="Roboto" w:hAnsi="Roboto"/>
          <w:color w:val="1F1F1F"/>
          <w:sz w:val="21"/>
          <w:szCs w:val="21"/>
          <w:shd w:val="clear" w:color="auto" w:fill="F0F4F9"/>
        </w:rPr>
        <w:t>1. Càng Về Sau Cơ Hội Càng Tốt Hơn </w:t>
      </w:r>
      <w:hyperlink r:id="rId8" w:tgtFrame="_blank" w:history="1">
        <w:r>
          <w:rPr>
            <w:rStyle w:val="Hyperlink"/>
            <w:rFonts w:ascii="Roboto" w:hAnsi="Roboto"/>
            <w:color w:val="1A73E8"/>
            <w:sz w:val="21"/>
            <w:szCs w:val="21"/>
            <w:shd w:val="clear" w:color="auto" w:fill="F0F4F9"/>
          </w:rPr>
          <w:t>https://youtu.be/Zsl1Wf48woE</w:t>
        </w:r>
      </w:hyperlink>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0F4F9"/>
        </w:rPr>
        <w:t>2. TẠI SAO EM EM NGHỈ Ở CÔNG TY CŨ </w:t>
      </w:r>
      <w:hyperlink r:id="rId9" w:tgtFrame="_blank" w:history="1">
        <w:r>
          <w:rPr>
            <w:rStyle w:val="Hyperlink"/>
            <w:rFonts w:ascii="Roboto" w:hAnsi="Roboto"/>
            <w:color w:val="1A73E8"/>
            <w:sz w:val="21"/>
            <w:szCs w:val="21"/>
            <w:shd w:val="clear" w:color="auto" w:fill="F0F4F9"/>
          </w:rPr>
          <w:t>https://youtu.be/P60AqURcTyA</w:t>
        </w:r>
      </w:hyperlink>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0F4F9"/>
        </w:rPr>
        <w:t>3.  Tối ưu chi phí bảo hiểm và phương án đòi nợ khó đòi </w:t>
      </w:r>
      <w:hyperlink r:id="rId10" w:tgtFrame="_blank" w:history="1">
        <w:r>
          <w:rPr>
            <w:rStyle w:val="Hyperlink"/>
            <w:rFonts w:ascii="Roboto" w:hAnsi="Roboto"/>
            <w:color w:val="1A73E8"/>
            <w:sz w:val="21"/>
            <w:szCs w:val="21"/>
            <w:shd w:val="clear" w:color="auto" w:fill="F0F4F9"/>
          </w:rPr>
          <w:t>https://youtu.be/mE7N0U7GfB8</w:t>
        </w:r>
      </w:hyperlink>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0F4F9"/>
        </w:rPr>
        <w:t>4. Ứng Tuyển Kế Toán Tổng Hợp Cần Học Những Gì </w:t>
      </w:r>
      <w:hyperlink r:id="rId11" w:tgtFrame="_blank" w:history="1">
        <w:r>
          <w:rPr>
            <w:rStyle w:val="Hyperlink"/>
            <w:rFonts w:ascii="Roboto" w:hAnsi="Roboto"/>
            <w:color w:val="1A73E8"/>
            <w:sz w:val="21"/>
            <w:szCs w:val="21"/>
            <w:shd w:val="clear" w:color="auto" w:fill="F0F4F9"/>
          </w:rPr>
          <w:t>https://youtu.be/GhJRHpyLP2I</w:t>
        </w:r>
      </w:hyperlink>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0F4F9"/>
        </w:rPr>
        <w:t>5. Cách trả lời khi chưa có kinh nghiệm   </w:t>
      </w:r>
      <w:hyperlink r:id="rId12" w:tgtFrame="_blank" w:history="1">
        <w:r>
          <w:rPr>
            <w:rStyle w:val="Hyperlink"/>
            <w:rFonts w:ascii="Roboto" w:hAnsi="Roboto"/>
            <w:color w:val="1A73E8"/>
            <w:sz w:val="21"/>
            <w:szCs w:val="21"/>
            <w:shd w:val="clear" w:color="auto" w:fill="F0F4F9"/>
          </w:rPr>
          <w:t>https://youtu.be/NhpcEvxBcE4</w:t>
        </w:r>
      </w:hyperlink>
    </w:p>
    <w:p w14:paraId="78D3C33F" w14:textId="77777777" w:rsidR="0010117A" w:rsidRPr="0010117A" w:rsidRDefault="0010117A" w:rsidP="0010117A"/>
    <w:p w14:paraId="330BC963" w14:textId="77777777" w:rsidR="0010117A" w:rsidRDefault="0010117A" w:rsidP="0010117A">
      <w:r w:rsidRPr="000F347F">
        <w:rPr>
          <w:b/>
          <w:color w:val="FF0000"/>
        </w:rPr>
        <w:t>Hướng dẫn HKD Kê khai thuế</w:t>
      </w:r>
      <w:r w:rsidRPr="000F347F">
        <w:rPr>
          <w:b/>
        </w:rPr>
        <w:t>:</w:t>
      </w:r>
      <w:r>
        <w:rPr>
          <w:b/>
        </w:rPr>
        <w:t xml:space="preserve"> </w:t>
      </w:r>
      <w:hyperlink r:id="rId13" w:history="1">
        <w:r w:rsidRPr="000F347F">
          <w:rPr>
            <w:rStyle w:val="Hyperlink"/>
          </w:rPr>
          <w:t>https://www.phamvanhoc.com/hokinhdoanh/?ref=hkd</w:t>
        </w:r>
      </w:hyperlink>
    </w:p>
    <w:p w14:paraId="57CEE7ED" w14:textId="37D64B19" w:rsidR="0010117A" w:rsidRPr="0010117A" w:rsidRDefault="0010117A" w:rsidP="0010117A">
      <w:pPr>
        <w:tabs>
          <w:tab w:val="left" w:pos="2948"/>
        </w:tabs>
      </w:pPr>
    </w:p>
    <w:sectPr w:rsidR="0010117A" w:rsidRPr="001011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11688"/>
    <w:multiLevelType w:val="multilevel"/>
    <w:tmpl w:val="1286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4716C"/>
    <w:multiLevelType w:val="multilevel"/>
    <w:tmpl w:val="28D4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423D3"/>
    <w:multiLevelType w:val="multilevel"/>
    <w:tmpl w:val="2D44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47DAC"/>
    <w:multiLevelType w:val="multilevel"/>
    <w:tmpl w:val="27BC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A64538"/>
    <w:multiLevelType w:val="multilevel"/>
    <w:tmpl w:val="5866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756B30"/>
    <w:multiLevelType w:val="multilevel"/>
    <w:tmpl w:val="D632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F82AA2"/>
    <w:multiLevelType w:val="multilevel"/>
    <w:tmpl w:val="89562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4"/>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513"/>
    <w:rsid w:val="000046CD"/>
    <w:rsid w:val="0010117A"/>
    <w:rsid w:val="00774513"/>
    <w:rsid w:val="009C4649"/>
    <w:rsid w:val="00A31E51"/>
    <w:rsid w:val="00AA18E2"/>
    <w:rsid w:val="00E52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9EFF4"/>
  <w15:chartTrackingRefBased/>
  <w15:docId w15:val="{E021BC8E-25DD-4CBC-9A3F-1DB6ED9AA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C464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9C46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C464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649"/>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C464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C464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C464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A18E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588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Zsl1Wf48woE" TargetMode="External"/><Relationship Id="rId13" Type="http://schemas.openxmlformats.org/officeDocument/2006/relationships/hyperlink" Target="https://www.phamvanhoc.com/hokinhdoanh/?ref=hkd" TargetMode="External"/><Relationship Id="rId3" Type="http://schemas.openxmlformats.org/officeDocument/2006/relationships/settings" Target="settings.xml"/><Relationship Id="rId7" Type="http://schemas.openxmlformats.org/officeDocument/2006/relationships/hyperlink" Target="https://www.phamvanhoc.com/3x/?ref=999" TargetMode="External"/><Relationship Id="rId12" Type="http://schemas.openxmlformats.org/officeDocument/2006/relationships/hyperlink" Target="https://youtu.be/NhpcEvxBcE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UQLuJ84Qmho?si=RxCDJtVTntVzpmOm" TargetMode="External"/><Relationship Id="rId11" Type="http://schemas.openxmlformats.org/officeDocument/2006/relationships/hyperlink" Target="https://youtu.be/GhJRHpyLP2I" TargetMode="External"/><Relationship Id="rId5" Type="http://schemas.openxmlformats.org/officeDocument/2006/relationships/hyperlink" Target="https://youtu.be/UQLuJ84Qmho?si=RxCDJtVTntVzpmOm" TargetMode="External"/><Relationship Id="rId15" Type="http://schemas.openxmlformats.org/officeDocument/2006/relationships/theme" Target="theme/theme1.xml"/><Relationship Id="rId10" Type="http://schemas.openxmlformats.org/officeDocument/2006/relationships/hyperlink" Target="https://youtu.be/mE7N0U7GfB8" TargetMode="External"/><Relationship Id="rId4" Type="http://schemas.openxmlformats.org/officeDocument/2006/relationships/webSettings" Target="webSettings.xml"/><Relationship Id="rId9" Type="http://schemas.openxmlformats.org/officeDocument/2006/relationships/hyperlink" Target="https://youtu.be/P60AqURcTy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1334</Words>
  <Characters>7606</Characters>
  <Application>Microsoft Office Word</Application>
  <DocSecurity>0</DocSecurity>
  <Lines>63</Lines>
  <Paragraphs>17</Paragraphs>
  <ScaleCrop>false</ScaleCrop>
  <Company/>
  <LinksUpToDate>false</LinksUpToDate>
  <CharactersWithSpaces>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2026-03-12T03:42:00Z</dcterms:created>
  <dcterms:modified xsi:type="dcterms:W3CDTF">2026-03-12T07:38:00Z</dcterms:modified>
</cp:coreProperties>
</file>