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sz w:val="36"/>
        </w:rPr>
        <w:t>Development of a Scalable GIS Mapping and Predictive Analysis Framework for Urban Heat Island (UHI) Monitoring:</w:t>
        <w:br/>
        <w:t>A Micro-Analysis of Mirpur 12 with Regional Extension across Bangladesh</w:t>
      </w:r>
    </w:p>
    <w:p>
      <w:pPr>
        <w:spacing w:before="720"/>
        <w:jc w:val="center"/>
      </w:pPr>
      <w:r>
        <w:rPr>
          <w:i/>
        </w:rPr>
        <w:t>A Research Project Report Submitted in Partial Fulfillment of the Degree of</w:t>
        <w:br/>
      </w:r>
      <w:r>
        <w:rPr>
          <w:b/>
          <w:sz w:val="26"/>
        </w:rPr>
        <w:t>Bachelor of Science in Computer Science and Engineering</w:t>
      </w:r>
    </w:p>
    <w:p>
      <w:pPr>
        <w:spacing w:before="960"/>
        <w:jc w:val="center"/>
      </w:pPr>
      <w:r>
        <w:rPr>
          <w:b/>
        </w:rPr>
        <w:t>Submitted by:</w:t>
        <w:br/>
      </w:r>
    </w:p>
    <w:tbl>
      <w:tblPr>
        <w:tblW w:type="auto" w:w="0"/>
        <w:jc w:val="center"/>
        <w:tblLook w:firstColumn="1" w:firstRow="1" w:lastColumn="0" w:lastRow="0" w:noHBand="0" w:noVBand="1" w:val="04A0"/>
      </w:tblPr>
      <w:tblGrid>
        <w:gridCol w:w="4680"/>
        <w:gridCol w:w="4680"/>
      </w:tblGrid>
      <w:tr>
        <w:tc>
          <w:tcPr>
            <w:tcW w:type="dxa" w:w="4680"/>
          </w:tcPr>
          <w:p>
            <w:pPr>
              <w:jc w:val="left"/>
            </w:pPr>
            <w:r>
              <w:rPr>
                <w:sz w:val="22"/>
              </w:rPr>
              <w:t>• Umme Hani Punam</w:t>
              <w:tab/>
              <w:t>(ID: 23524202064)</w:t>
            </w:r>
          </w:p>
        </w:tc>
        <w:tc>
          <w:tcPr>
            <w:tcW w:type="dxa" w:w="4680"/>
          </w:tcPr>
          <w:p>
            <w:pPr>
              <w:jc w:val="left"/>
            </w:pPr>
            <w:r>
              <w:rPr>
                <w:sz w:val="22"/>
              </w:rPr>
              <w:t>• Abu Sayed</w:t>
              <w:tab/>
              <w:t>(ID: 23524202062)</w:t>
            </w:r>
          </w:p>
        </w:tc>
      </w:tr>
      <w:tr>
        <w:tc>
          <w:tcPr>
            <w:tcW w:type="dxa" w:w="4680"/>
          </w:tcPr>
          <w:p>
            <w:pPr>
              <w:jc w:val="left"/>
            </w:pPr>
            <w:r>
              <w:rPr>
                <w:sz w:val="22"/>
              </w:rPr>
              <w:t>• Nusair Ahmed Chowdhury</w:t>
              <w:tab/>
              <w:t>(ID: 23524202052)</w:t>
            </w:r>
          </w:p>
        </w:tc>
        <w:tc>
          <w:tcPr>
            <w:tcW w:type="dxa" w:w="4680"/>
          </w:tcPr>
          <w:p>
            <w:pPr>
              <w:jc w:val="left"/>
            </w:pPr>
            <w:r>
              <w:rPr>
                <w:sz w:val="22"/>
              </w:rPr>
              <w:t>• Ajwad Mohtasim</w:t>
              <w:tab/>
              <w:t>(ID: 235242020114)</w:t>
            </w:r>
          </w:p>
        </w:tc>
      </w:tr>
      <w:tr>
        <w:tc>
          <w:tcPr>
            <w:tcW w:type="dxa" w:w="4680"/>
          </w:tcPr>
          <w:p>
            <w:pPr>
              <w:jc w:val="left"/>
            </w:pPr>
            <w:r>
              <w:rPr>
                <w:sz w:val="22"/>
              </w:rPr>
              <w:t>• Pranabanta Seth Spondon</w:t>
              <w:tab/>
              <w:t>(ID: 23524202024)</w:t>
            </w:r>
          </w:p>
        </w:tc>
        <w:tc>
          <w:tcPr>
            <w:tcW w:type="dxa" w:w="4680"/>
          </w:tcPr>
          <w:p>
            <w:pPr>
              <w:jc w:val="left"/>
            </w:pPr>
            <w:r>
              <w:rPr>
                <w:sz w:val="22"/>
              </w:rPr>
              <w:t>• Sabbir Hasnat Shaon</w:t>
              <w:tab/>
              <w:t>(ID: 23524202114)</w:t>
            </w:r>
          </w:p>
        </w:tc>
      </w:tr>
      <w:tr>
        <w:tc>
          <w:tcPr>
            <w:tcW w:type="dxa" w:w="4680"/>
          </w:tcPr>
          <w:p>
            <w:pPr>
              <w:jc w:val="left"/>
            </w:pPr>
            <w:r>
              <w:rPr>
                <w:sz w:val="22"/>
              </w:rPr>
              <w:t>• Nafiz Al Anjim Ahmed</w:t>
              <w:tab/>
              <w:t>(ID: 23524202146)</w:t>
            </w:r>
          </w:p>
        </w:tc>
        <w:tc>
          <w:tcPr>
            <w:tcW w:type="dxa" w:w="4680"/>
          </w:tcPr>
          <w:p>
            <w:pPr>
              <w:jc w:val="left"/>
            </w:pPr>
            <w:r>
              <w:rPr>
                <w:sz w:val="22"/>
              </w:rPr>
              <w:t>• Maruf All Rushafi</w:t>
              <w:tab/>
              <w:t>(ID: 23524202068)</w:t>
            </w:r>
          </w:p>
        </w:tc>
      </w:tr>
    </w:tbl>
    <w:p>
      <w:pPr>
        <w:spacing w:before="960"/>
        <w:jc w:val="center"/>
      </w:pPr>
      <w:r>
        <w:rPr>
          <w:b/>
        </w:rPr>
        <w:t>Supervised by:</w:t>
        <w:br/>
      </w:r>
      <w:r>
        <w:rPr>
          <w:b/>
        </w:rPr>
        <w:t>Professor Abdul Kadir Ibne Kamal, Ph.D.</w:t>
        <w:br/>
      </w:r>
      <w:r>
        <w:t>Department of Environmental Science</w:t>
        <w:br/>
        <w:t>Jahangirnagar University</w:t>
      </w:r>
    </w:p>
    <w:p>
      <w:pPr>
        <w:spacing w:before="960"/>
        <w:jc w:val="center"/>
      </w:pPr>
      <w:r>
        <w:rPr>
          <w:b/>
        </w:rPr>
        <w:t>Department of Computer Science and Engineering</w:t>
        <w:br/>
        <w:t>Bangladesh University of Professionals</w:t>
        <w:br/>
      </w:r>
      <w:r>
        <w:t>[June, 2026]</w:t>
      </w:r>
    </w:p>
    <w:p>
      <w:pPr>
        <w:sectPr>
          <w:footerReference w:type="default" r:id="rId9"/>
          <w:pgSz w:w="12240" w:h="15840"/>
          <w:pgMar w:top="1440" w:right="1440" w:bottom="1440" w:left="1440" w:header="720" w:footer="720" w:gutter="0"/>
          <w:cols w:space="720"/>
          <w:docGrid w:linePitch="360"/>
        </w:sectPr>
      </w:pPr>
    </w:p>
    <w:p>
      <w:pPr>
        <w:pStyle w:val="Heading1"/>
        <w:keepNext/>
        <w:spacing w:before="240" w:after="120"/>
      </w:pPr>
      <w:r>
        <w:rPr>
          <w:rFonts w:ascii="Times New Roman" w:hAnsi="Times New Roman"/>
          <w:color w:val="000000"/>
          <w:sz w:val="32"/>
        </w:rPr>
        <w:t>Declaration</w:t>
      </w:r>
    </w:p>
    <w:p>
      <w:pPr>
        <w:spacing w:before="240" w:line="312" w:lineRule="auto"/>
      </w:pPr>
      <w:r>
        <w:t>We hereby declare that this research project report titled 'Development of a Scalable GIS Mapping and Predictive Analysis Framework for Urban Heat Island (UHI) Monitoring: A Micro-Analysis of Mirpur 12 with Regional Extension across Bangladesh' is the result of work carried out by our project group for academic purposes. All sources of information, datasets, maps, analytical models, tools, libraries, and references used in this work have been acknowledged appropriately. The implementation, analysis, and documentation presented in this report are submitted as part of the requirements of the academic project/thesis for the degree of Bachelor of Science in Computer Science and Engineering.</w:t>
      </w:r>
    </w:p>
    <w:p>
      <w:pPr>
        <w:spacing w:before="720"/>
      </w:pPr>
      <w:r>
        <w:rPr>
          <w:b/>
        </w:rPr>
        <w:t>Signatures of Group Members:</w:t>
        <w:br/>
        <w:br/>
      </w:r>
    </w:p>
    <w:tbl>
      <w:tblPr>
        <w:tblW w:type="auto" w:w="0"/>
        <w:jc w:val="center"/>
        <w:tblLook w:firstColumn="1" w:firstRow="1" w:lastColumn="0" w:lastRow="0" w:noHBand="0" w:noVBand="1" w:val="04A0"/>
      </w:tblPr>
      <w:tblGrid>
        <w:gridCol w:w="4680"/>
        <w:gridCol w:w="4680"/>
      </w:tblGrid>
      <w:tr>
        <w:tc>
          <w:tcPr>
            <w:tcW w:type="dxa" w:w="4680"/>
          </w:tcPr>
          <w:p>
            <w:pPr>
              <w:spacing w:before="360"/>
            </w:pPr>
            <w:r>
              <w:rPr>
                <w:color w:val="808080"/>
              </w:rPr>
              <w:t>_____________________</w:t>
              <w:br/>
            </w:r>
            <w:r>
              <w:rPr>
                <w:sz w:val="22"/>
              </w:rPr>
              <w:t>Umme Hani Punam</w:t>
            </w:r>
          </w:p>
        </w:tc>
        <w:tc>
          <w:tcPr>
            <w:tcW w:type="dxa" w:w="4680"/>
          </w:tcPr>
          <w:p>
            <w:pPr>
              <w:spacing w:before="360"/>
            </w:pPr>
            <w:r>
              <w:rPr>
                <w:color w:val="808080"/>
              </w:rPr>
              <w:t>_____________________</w:t>
              <w:br/>
            </w:r>
            <w:r>
              <w:rPr>
                <w:sz w:val="22"/>
              </w:rPr>
              <w:t>Abu Sayed</w:t>
            </w:r>
          </w:p>
        </w:tc>
      </w:tr>
      <w:tr>
        <w:tc>
          <w:tcPr>
            <w:tcW w:type="dxa" w:w="4680"/>
          </w:tcPr>
          <w:p>
            <w:pPr>
              <w:spacing w:before="360"/>
            </w:pPr>
            <w:r>
              <w:rPr>
                <w:color w:val="808080"/>
              </w:rPr>
              <w:t>_____________________</w:t>
              <w:br/>
            </w:r>
            <w:r>
              <w:rPr>
                <w:sz w:val="22"/>
              </w:rPr>
              <w:t>Nusair Ahmed Chowdhury</w:t>
            </w:r>
          </w:p>
        </w:tc>
        <w:tc>
          <w:tcPr>
            <w:tcW w:type="dxa" w:w="4680"/>
          </w:tcPr>
          <w:p>
            <w:pPr>
              <w:spacing w:before="360"/>
            </w:pPr>
            <w:r>
              <w:rPr>
                <w:color w:val="808080"/>
              </w:rPr>
              <w:t>_____________________</w:t>
              <w:br/>
            </w:r>
            <w:r>
              <w:rPr>
                <w:sz w:val="22"/>
              </w:rPr>
              <w:t>Ajwad Mohtasim</w:t>
            </w:r>
          </w:p>
        </w:tc>
      </w:tr>
      <w:tr>
        <w:tc>
          <w:tcPr>
            <w:tcW w:type="dxa" w:w="4680"/>
          </w:tcPr>
          <w:p>
            <w:pPr>
              <w:spacing w:before="360"/>
            </w:pPr>
            <w:r>
              <w:rPr>
                <w:color w:val="808080"/>
              </w:rPr>
              <w:t>_____________________</w:t>
              <w:br/>
            </w:r>
            <w:r>
              <w:rPr>
                <w:sz w:val="22"/>
              </w:rPr>
              <w:t>Pranabanta Seth Spondon</w:t>
            </w:r>
          </w:p>
        </w:tc>
        <w:tc>
          <w:tcPr>
            <w:tcW w:type="dxa" w:w="4680"/>
          </w:tcPr>
          <w:p>
            <w:pPr>
              <w:spacing w:before="360"/>
            </w:pPr>
            <w:r>
              <w:rPr>
                <w:color w:val="808080"/>
              </w:rPr>
              <w:t>_____________________</w:t>
              <w:br/>
            </w:r>
            <w:r>
              <w:rPr>
                <w:sz w:val="22"/>
              </w:rPr>
              <w:t>Sabbir Hasnat Shaon</w:t>
            </w:r>
          </w:p>
        </w:tc>
      </w:tr>
      <w:tr>
        <w:tc>
          <w:tcPr>
            <w:tcW w:type="dxa" w:w="4680"/>
          </w:tcPr>
          <w:p>
            <w:pPr>
              <w:spacing w:before="360"/>
            </w:pPr>
            <w:r>
              <w:rPr>
                <w:color w:val="808080"/>
              </w:rPr>
              <w:t>_____________________</w:t>
              <w:br/>
            </w:r>
            <w:r>
              <w:rPr>
                <w:sz w:val="22"/>
              </w:rPr>
              <w:t>Nafiz Al Anjim Ahmed</w:t>
            </w:r>
          </w:p>
        </w:tc>
        <w:tc>
          <w:tcPr>
            <w:tcW w:type="dxa" w:w="4680"/>
          </w:tcPr>
          <w:p>
            <w:pPr>
              <w:spacing w:before="360"/>
            </w:pPr>
            <w:r>
              <w:rPr>
                <w:color w:val="808080"/>
              </w:rPr>
              <w:t>_____________________</w:t>
              <w:br/>
            </w:r>
            <w:r>
              <w:rPr>
                <w:sz w:val="22"/>
              </w:rPr>
              <w:t>Maruf All Rushafi</w:t>
            </w:r>
          </w:p>
        </w:tc>
      </w:tr>
    </w:tbl>
    <w:p>
      <w:r>
        <w:br w:type="page"/>
      </w:r>
    </w:p>
    <w:p>
      <w:pPr>
        <w:pStyle w:val="Heading1"/>
        <w:keepNext/>
        <w:spacing w:before="240" w:after="120"/>
      </w:pPr>
      <w:r>
        <w:rPr>
          <w:rFonts w:ascii="Times New Roman" w:hAnsi="Times New Roman"/>
          <w:color w:val="000000"/>
          <w:sz w:val="32"/>
        </w:rPr>
        <w:t>Abstract</w:t>
      </w:r>
    </w:p>
    <w:p>
      <w:pPr>
        <w:spacing w:line="312" w:lineRule="auto"/>
      </w:pPr>
      <w:r>
        <w:t>This thesis presents an interactive, web-based environmental management application designed to visualize, analyze, and predict the Urban Heat Island (UHI) effect. Rapid urbanization and concrete development in metropolitan areas have severely compromised natural cooling zones, leading to elevated localized temperatures. To address this, we developed a modular, scalable architecture that first establishes a high-resolution baseline micro-analysis of Mirpur 12, Dhaka. By integrating satellite Land Surface Temperature (LST) data and Normalized Difference Vegetation Index (NDVI) mapping from Landsat 8/9, the system programmatically fuses remote sensing layers with synthesized ground-truth coordinate data. Alongside an optimized linear regression model evaluating the direct inverse correlation between vegetation density and heat retention, we deployed an advanced Hybrid Residual-Fitting Machine Learning Pipeline capable of forecasting multi-year thermal progression up to 2030.</w:t>
      </w:r>
    </w:p>
    <w:p>
      <w:pPr>
        <w:spacing w:line="312" w:lineRule="auto"/>
      </w:pPr>
      <w:r>
        <w:t>Crucially, the interface allows real-time toggling to expand the macro-level spatial analysis to the Entire Dhaka Metropolitan Area, Sylhet, Rajshahi, and Chittagong, providing a comprehensive national microclimate monitoring solution. The developed system demonstrates how low-cost ground-truth records fused with satellite radiance measurements can support decision-making frameworks for urban greening efforts, cool-pavement deployment, and long-term climatic resilience planning in emerging South Asian megacities.</w:t>
      </w:r>
    </w:p>
    <w:p>
      <w:r>
        <w:br w:type="page"/>
      </w:r>
    </w:p>
    <w:p>
      <w:pPr>
        <w:pStyle w:val="Heading1"/>
        <w:keepNext/>
        <w:spacing w:before="240" w:after="120"/>
      </w:pPr>
      <w:r>
        <w:rPr>
          <w:rFonts w:ascii="Times New Roman" w:hAnsi="Times New Roman"/>
          <w:color w:val="000000"/>
          <w:sz w:val="32"/>
        </w:rPr>
        <w:t>Acknowledgements</w:t>
      </w:r>
    </w:p>
    <w:p>
      <w:pPr>
        <w:spacing w:line="288" w:lineRule="auto"/>
      </w:pPr>
      <w:r>
        <w:t>First and foremost, we would like to express our deepest gratitude and profound respect to our supervisor, Professor Abdul Kadir Ibne Kamal, Ph.D., Department of Environmental Science, Jahangirnagar University, whose invaluable guidance, constructive feedback, and constant encouragement kept us on course. His academic rigor and insights into environmental physics and climate dynamics heavily influenced the design of our geospatial processing models.</w:t>
      </w:r>
    </w:p>
    <w:p>
      <w:pPr>
        <w:spacing w:line="288" w:lineRule="auto"/>
      </w:pPr>
      <w:r>
        <w:t>We are also highly grateful to the Department of Computer Science and Engineering, Bangladesh University of Professionals (BUP), for providing a resource-rich and intellectually stimulating academic environment. The collaborative structure of the CSE 3-2 theory curriculum allowed us to form specialized subgroups that truly enriched the quality of this multidisciplinary project:</w:t>
      </w:r>
    </w:p>
    <w:p>
      <w:pPr>
        <w:pStyle w:val="ListBullet"/>
      </w:pPr>
      <w:r>
        <w:rPr>
          <w:b/>
        </w:rPr>
        <w:t xml:space="preserve">Subgroup D (Project Management &amp; Technical Writing): </w:t>
      </w:r>
      <w:r>
        <w:t>Led by Umme Hani Punam, who coordinated task progression and synthesized the theoretical narrative.</w:t>
      </w:r>
    </w:p>
    <w:p>
      <w:pPr>
        <w:pStyle w:val="ListBullet"/>
      </w:pPr>
      <w:r>
        <w:rPr>
          <w:b/>
        </w:rPr>
        <w:t xml:space="preserve">Subgroup A (GIS &amp; Remote Sensing Lead): </w:t>
      </w:r>
      <w:r>
        <w:t>Led by Abu Sayed and Nafiz Al Anjim Ahmed, who extracted the thermal indices, calibrated the GPS coordinate systems, and integrated spatial data layers.</w:t>
      </w:r>
    </w:p>
    <w:p>
      <w:pPr>
        <w:pStyle w:val="ListBullet"/>
      </w:pPr>
      <w:r>
        <w:rPr>
          <w:b/>
        </w:rPr>
        <w:t xml:space="preserve">Subgroup B (Backend &amp; Analytics Lead): </w:t>
      </w:r>
      <w:r>
        <w:t>Led by Nusair Ahmed Chowdhury and Maruf All Rushafi, who engineered the Python analytical pipeline, future temperature regression models, and served APIs.</w:t>
      </w:r>
    </w:p>
    <w:p>
      <w:pPr>
        <w:pStyle w:val="ListBullet"/>
      </w:pPr>
      <w:r>
        <w:rPr>
          <w:b/>
        </w:rPr>
        <w:t xml:space="preserve">Subgroup C (Frontend &amp; Map UI Lead): </w:t>
      </w:r>
      <w:r>
        <w:t>Led by Ajwad Mohtasim, Pranabanta Seth Spondon, and Sabbir Hasnat Shaon, who built the glassmorphic dashboard interface, Leaflet.js interactive maps, and responsive visualization widgets.</w:t>
      </w:r>
    </w:p>
    <w:p>
      <w:pPr>
        <w:spacing w:line="288" w:lineRule="auto"/>
      </w:pPr>
      <w:r>
        <w:t>We are also thankful to the open-source community and dataset providers, including NASA/USGS for Landsat 8/9 satellite observations, and developers of critical open-source libraries: Python, Flask, Folium, Leaflet.js, Pandas, and Scikit-Learn. Lastly, we extend our heartfelt gratitude to our families, friends, and peers whose continuous moral support and understanding made this research project successful.</w:t>
      </w:r>
    </w:p>
    <w:p>
      <w:r>
        <w:br w:type="page"/>
      </w:r>
    </w:p>
    <w:p>
      <w:pPr>
        <w:pStyle w:val="Heading1"/>
        <w:keepNext/>
        <w:spacing w:before="240" w:after="120"/>
      </w:pPr>
      <w:r>
        <w:rPr>
          <w:rFonts w:ascii="Times New Roman" w:hAnsi="Times New Roman"/>
          <w:color w:val="000000"/>
          <w:sz w:val="32"/>
        </w:rPr>
        <w:t>Contents</w:t>
      </w:r>
    </w:p>
    <w:p>
      <w:pPr>
        <w:spacing w:after="40"/>
      </w:pPr>
      <w:r>
        <w:rPr>
          <w:b/>
        </w:rPr>
        <w:t>Declaration</w:t>
      </w:r>
      <w:r>
        <w:rPr>
          <w:color w:val="808080"/>
        </w:rPr>
        <w:t xml:space="preserve"> . . . . . . . . . . . . . . . . . . . . . . . . . . . . . . i</w:t>
      </w:r>
    </w:p>
    <w:p>
      <w:pPr>
        <w:spacing w:after="40"/>
      </w:pPr>
      <w:r>
        <w:rPr>
          <w:b/>
        </w:rPr>
        <w:t>Abstract</w:t>
      </w:r>
      <w:r>
        <w:rPr>
          <w:color w:val="808080"/>
        </w:rPr>
        <w:t xml:space="preserve"> . . . . . . . . . . . . . . . . . . . . . . . . . . . . . . ii</w:t>
      </w:r>
    </w:p>
    <w:p>
      <w:pPr>
        <w:spacing w:after="40"/>
      </w:pPr>
      <w:r>
        <w:rPr>
          <w:b/>
        </w:rPr>
        <w:t>Acknowledgements</w:t>
      </w:r>
      <w:r>
        <w:rPr>
          <w:color w:val="808080"/>
        </w:rPr>
        <w:t xml:space="preserve"> . . . . . . . . . . . . . . . . . . . . . . . . . . . . . . iii</w:t>
      </w:r>
    </w:p>
    <w:p>
      <w:pPr>
        <w:spacing w:after="40"/>
      </w:pPr>
      <w:r>
        <w:rPr>
          <w:b/>
        </w:rPr>
        <w:t>List of Tables</w:t>
      </w:r>
      <w:r>
        <w:rPr>
          <w:color w:val="808080"/>
        </w:rPr>
        <w:t xml:space="preserve"> . . . . . . . . . . . . . . . . . . . . . . . . . . . . . . v</w:t>
      </w:r>
    </w:p>
    <w:p>
      <w:pPr>
        <w:spacing w:after="40"/>
      </w:pPr>
      <w:r>
        <w:rPr>
          <w:b/>
        </w:rPr>
        <w:t>List of Figures</w:t>
      </w:r>
      <w:r>
        <w:rPr>
          <w:color w:val="808080"/>
        </w:rPr>
        <w:t xml:space="preserve"> . . . . . . . . . . . . . . . . . . . . . . . . . . . . . . vi</w:t>
      </w:r>
    </w:p>
    <w:p>
      <w:pPr>
        <w:spacing w:after="40"/>
      </w:pPr>
      <w:r>
        <w:rPr>
          <w:b/>
        </w:rPr>
        <w:t>List of Abbreviations</w:t>
      </w:r>
      <w:r>
        <w:rPr>
          <w:color w:val="808080"/>
        </w:rPr>
        <w:t xml:space="preserve"> . . . . . . . . . . . . . . . . . . . . . . . . . . . . . . vii</w:t>
      </w:r>
    </w:p>
    <w:p>
      <w:pPr>
        <w:spacing w:after="40"/>
      </w:pPr>
      <w:r>
        <w:rPr>
          <w:b/>
        </w:rPr>
        <w:t>1 Introduction</w:t>
      </w:r>
      <w:r>
        <w:rPr>
          <w:color w:val="808080"/>
        </w:rPr>
        <w:t xml:space="preserve"> . . . . . . . . . . . . . . . . . . . . . . . . . . . . . . 1</w:t>
      </w:r>
    </w:p>
    <w:p>
      <w:pPr>
        <w:spacing w:after="40"/>
      </w:pPr>
      <w:r>
        <w:tab/>
        <w:t>1.1 Research Context</w:t>
      </w:r>
      <w:r>
        <w:rPr>
          <w:color w:val="808080"/>
        </w:rPr>
        <w:t xml:space="preserve"> . . . . . . . . . . . . . . . . . . . . . . . . . . . . . . 1</w:t>
      </w:r>
    </w:p>
    <w:p>
      <w:pPr>
        <w:spacing w:after="40"/>
      </w:pPr>
      <w:r>
        <w:tab/>
        <w:t>1.2 Problem Statement</w:t>
      </w:r>
      <w:r>
        <w:rPr>
          <w:color w:val="808080"/>
        </w:rPr>
        <w:t xml:space="preserve"> . . . . . . . . . . . . . . . . . . . . . . . . . . . . . . 1</w:t>
      </w:r>
    </w:p>
    <w:p>
      <w:pPr>
        <w:spacing w:after="40"/>
      </w:pPr>
      <w:r>
        <w:tab/>
        <w:t>1.3 Research Objectives</w:t>
      </w:r>
      <w:r>
        <w:rPr>
          <w:color w:val="808080"/>
        </w:rPr>
        <w:t xml:space="preserve"> . . . . . . . . . . . . . . . . . . . . . . . . . . . . . . 2</w:t>
      </w:r>
    </w:p>
    <w:p>
      <w:pPr>
        <w:spacing w:after="40"/>
      </w:pPr>
      <w:r>
        <w:rPr>
          <w:b/>
        </w:rPr>
        <w:t>2 Literature Review</w:t>
      </w:r>
      <w:r>
        <w:rPr>
          <w:color w:val="808080"/>
        </w:rPr>
        <w:t xml:space="preserve"> . . . . . . . . . . . . . . . . . . . . . . . . . . . . . . 3</w:t>
      </w:r>
    </w:p>
    <w:p>
      <w:pPr>
        <w:spacing w:after="40"/>
      </w:pPr>
      <w:r>
        <w:tab/>
        <w:t>2.1 Urban Heat Island (UHI) Dynamics</w:t>
      </w:r>
      <w:r>
        <w:rPr>
          <w:color w:val="808080"/>
        </w:rPr>
        <w:t xml:space="preserve"> . . . . . . . . . . . . . . . . . . . . . . . . . . . . . . 3</w:t>
      </w:r>
    </w:p>
    <w:p>
      <w:pPr>
        <w:spacing w:after="40"/>
      </w:pPr>
      <w:r>
        <w:tab/>
        <w:t>2.2 Remote Sensing Principles and LST</w:t>
      </w:r>
      <w:r>
        <w:rPr>
          <w:color w:val="808080"/>
        </w:rPr>
        <w:t xml:space="preserve"> . . . . . . . . . . . . . . . . . . . . . . . . . . . . . . 3</w:t>
      </w:r>
    </w:p>
    <w:p>
      <w:pPr>
        <w:spacing w:after="40"/>
      </w:pPr>
      <w:r>
        <w:tab/>
        <w:t>2.3 Vegetation Cooling Effects and NDVI</w:t>
      </w:r>
      <w:r>
        <w:rPr>
          <w:color w:val="808080"/>
        </w:rPr>
        <w:t xml:space="preserve"> . . . . . . . . . . . . . . . . . . . . . . . . . . . . . . 4</w:t>
      </w:r>
    </w:p>
    <w:p>
      <w:pPr>
        <w:spacing w:after="40"/>
      </w:pPr>
      <w:r>
        <w:rPr>
          <w:b/>
        </w:rPr>
        <w:t>3 Methodology &amp; Team Structure</w:t>
      </w:r>
      <w:r>
        <w:rPr>
          <w:color w:val="808080"/>
        </w:rPr>
        <w:t xml:space="preserve"> . . . . . . . . . . . . . . . . . . . . . . . . . . . . . . 5</w:t>
      </w:r>
    </w:p>
    <w:p>
      <w:pPr>
        <w:spacing w:after="40"/>
      </w:pPr>
      <w:r>
        <w:tab/>
        <w:t>3.1 System Architecture</w:t>
      </w:r>
      <w:r>
        <w:rPr>
          <w:color w:val="808080"/>
        </w:rPr>
        <w:t xml:space="preserve"> . . . . . . . . . . . . . . . . . . . . . . . . . . . . . . 5</w:t>
      </w:r>
    </w:p>
    <w:p>
      <w:pPr>
        <w:spacing w:after="40"/>
      </w:pPr>
      <w:r>
        <w:tab/>
        <w:t>3.2 Mathematical Formulations</w:t>
      </w:r>
      <w:r>
        <w:rPr>
          <w:color w:val="808080"/>
        </w:rPr>
        <w:t xml:space="preserve"> . . . . . . . . . . . . . . . . . . . . . . . . . . . . . . 5</w:t>
      </w:r>
    </w:p>
    <w:p>
      <w:pPr>
        <w:spacing w:after="40"/>
      </w:pPr>
      <w:r>
        <w:tab/>
        <w:t>3.3 Data Processing and Analytical Tools</w:t>
      </w:r>
      <w:r>
        <w:rPr>
          <w:color w:val="808080"/>
        </w:rPr>
        <w:t xml:space="preserve"> . . . . . . . . . . . . . . . . . . . . . . . . . . . . . . 6</w:t>
      </w:r>
    </w:p>
    <w:p>
      <w:pPr>
        <w:spacing w:after="40"/>
      </w:pPr>
      <w:r>
        <w:rPr>
          <w:b/>
        </w:rPr>
        <w:t>4 Results &amp; Deliverables</w:t>
      </w:r>
      <w:r>
        <w:rPr>
          <w:color w:val="808080"/>
        </w:rPr>
        <w:t xml:space="preserve"> . . . . . . . . . . . . . . . . . . . . . . . . . . . . . . 8</w:t>
      </w:r>
    </w:p>
    <w:p>
      <w:pPr>
        <w:spacing w:after="40"/>
      </w:pPr>
      <w:r>
        <w:tab/>
        <w:t>4.1 Mirpur 12 Baseline Spatial Findings</w:t>
      </w:r>
      <w:r>
        <w:rPr>
          <w:color w:val="808080"/>
        </w:rPr>
        <w:t xml:space="preserve"> . . . . . . . . . . . . . . . . . . . . . . . . . . . . . . 8</w:t>
      </w:r>
    </w:p>
    <w:p>
      <w:pPr>
        <w:spacing w:after="40"/>
      </w:pPr>
      <w:r>
        <w:tab/>
        <w:t>4.2 Core Server &amp; Algorithmic Performance</w:t>
      </w:r>
      <w:r>
        <w:rPr>
          <w:color w:val="808080"/>
        </w:rPr>
        <w:t xml:space="preserve"> . . . . . . . . . . . . . . . . . . . . . . . . . . . . . . 8</w:t>
      </w:r>
    </w:p>
    <w:p>
      <w:pPr>
        <w:spacing w:after="40"/>
      </w:pPr>
      <w:r>
        <w:tab/>
        <w:t>4.3 Interactive Dashboard Visualization</w:t>
      </w:r>
      <w:r>
        <w:rPr>
          <w:color w:val="808080"/>
        </w:rPr>
        <w:t xml:space="preserve"> . . . . . . . . . . . . . . . . . . . . . . . . . . . . . . 9</w:t>
      </w:r>
    </w:p>
    <w:p>
      <w:pPr>
        <w:spacing w:after="40"/>
      </w:pPr>
      <w:r>
        <w:tab/>
        <w:t>4.4 Historical Longitudinal Analysis &amp; Projections</w:t>
      </w:r>
      <w:r>
        <w:rPr>
          <w:color w:val="808080"/>
        </w:rPr>
        <w:t xml:space="preserve"> . . . . . . . . . . . . . . . . . . . . . . . . . . . . . . 10</w:t>
      </w:r>
    </w:p>
    <w:p>
      <w:pPr>
        <w:spacing w:after="40"/>
      </w:pPr>
      <w:r>
        <w:rPr>
          <w:b/>
        </w:rPr>
        <w:t>5 Discussion &amp; Regional Geographic Summaries</w:t>
      </w:r>
      <w:r>
        <w:rPr>
          <w:color w:val="808080"/>
        </w:rPr>
        <w:t xml:space="preserve"> . . . . . . . . . . . . . . . . . . . . . . . . . . . . . . 11</w:t>
      </w:r>
    </w:p>
    <w:p>
      <w:pPr>
        <w:spacing w:after="40"/>
      </w:pPr>
      <w:r>
        <w:tab/>
        <w:t>5.1 Entire Dhaka Metropolitan Area</w:t>
      </w:r>
      <w:r>
        <w:rPr>
          <w:color w:val="808080"/>
        </w:rPr>
        <w:t xml:space="preserve"> . . . . . . . . . . . . . . . . . . . . . . . . . . . . . . 11</w:t>
      </w:r>
    </w:p>
    <w:p>
      <w:pPr>
        <w:spacing w:after="40"/>
      </w:pPr>
      <w:r>
        <w:tab/>
        <w:t>5.2 Sylhet Division</w:t>
      </w:r>
      <w:r>
        <w:rPr>
          <w:color w:val="808080"/>
        </w:rPr>
        <w:t xml:space="preserve"> . . . . . . . . . . . . . . . . . . . . . . . . . . . . . . 11</w:t>
      </w:r>
    </w:p>
    <w:p>
      <w:pPr>
        <w:spacing w:after="40"/>
      </w:pPr>
      <w:r>
        <w:tab/>
        <w:t>5.3 Rajshahi Division</w:t>
      </w:r>
      <w:r>
        <w:rPr>
          <w:color w:val="808080"/>
        </w:rPr>
        <w:t xml:space="preserve"> . . . . . . . . . . . . . . . . . . . . . . . . . . . . . . 12</w:t>
      </w:r>
    </w:p>
    <w:p>
      <w:pPr>
        <w:spacing w:after="40"/>
      </w:pPr>
      <w:r>
        <w:tab/>
        <w:t>5.4 Chittagong Division</w:t>
      </w:r>
      <w:r>
        <w:rPr>
          <w:color w:val="808080"/>
        </w:rPr>
        <w:t xml:space="preserve"> . . . . . . . . . . . . . . . . . . . . . . . . . . . . . . 12</w:t>
      </w:r>
    </w:p>
    <w:p>
      <w:pPr>
        <w:spacing w:after="40"/>
      </w:pPr>
      <w:r>
        <w:rPr>
          <w:b/>
        </w:rPr>
        <w:t>6 Conclusion &amp; Recommendations</w:t>
      </w:r>
      <w:r>
        <w:rPr>
          <w:color w:val="808080"/>
        </w:rPr>
        <w:t xml:space="preserve"> . . . . . . . . . . . . . . . . . . . . . . . . . . . . . . 13</w:t>
      </w:r>
    </w:p>
    <w:p>
      <w:pPr>
        <w:spacing w:after="40"/>
      </w:pPr>
      <w:r>
        <w:tab/>
        <w:t>6.1 Summary of Core Findings</w:t>
      </w:r>
      <w:r>
        <w:rPr>
          <w:color w:val="808080"/>
        </w:rPr>
        <w:t xml:space="preserve"> . . . . . . . . . . . . . . . . . . . . . . . . . . . . . . 13</w:t>
      </w:r>
    </w:p>
    <w:p>
      <w:pPr>
        <w:spacing w:after="40"/>
      </w:pPr>
      <w:r>
        <w:tab/>
        <w:t>6.2 Recommendations</w:t>
      </w:r>
      <w:r>
        <w:rPr>
          <w:color w:val="808080"/>
        </w:rPr>
        <w:t xml:space="preserve"> . . . . . . . . . . . . . . . . . . . . . . . . . . . . . . 13</w:t>
      </w:r>
    </w:p>
    <w:p>
      <w:pPr>
        <w:spacing w:after="40"/>
      </w:pPr>
      <w:r>
        <w:rPr>
          <w:b/>
        </w:rPr>
        <w:t>References</w:t>
      </w:r>
      <w:r>
        <w:rPr>
          <w:color w:val="808080"/>
        </w:rPr>
        <w:t xml:space="preserve"> . . . . . . . . . . . . . . . . . . . . . . . . . . . . . . 14</w:t>
      </w:r>
    </w:p>
    <w:p>
      <w:pPr>
        <w:spacing w:after="40"/>
      </w:pPr>
      <w:r>
        <w:rPr>
          <w:b/>
        </w:rPr>
        <w:t>Appendices</w:t>
      </w:r>
      <w:r>
        <w:rPr>
          <w:color w:val="808080"/>
        </w:rPr>
        <w:t xml:space="preserve"> . . . . . . . . . . . . . . . . . . . . . . . . . . . . . . 15</w:t>
      </w:r>
    </w:p>
    <w:p>
      <w:r>
        <w:br w:type="page"/>
      </w:r>
    </w:p>
    <w:p>
      <w:pPr>
        <w:pStyle w:val="Heading1"/>
        <w:keepNext/>
        <w:spacing w:before="240" w:after="120"/>
      </w:pPr>
      <w:r>
        <w:rPr>
          <w:rFonts w:ascii="Times New Roman" w:hAnsi="Times New Roman"/>
          <w:color w:val="000000"/>
          <w:sz w:val="32"/>
        </w:rPr>
        <w:t>List of Tables</w:t>
      </w:r>
    </w:p>
    <w:p>
      <w:pPr>
        <w:spacing w:after="80"/>
      </w:pPr>
      <w:r>
        <w:rPr>
          <w:b/>
        </w:rPr>
        <w:t>Table 3.1: Ground Survey Coordinate Point Terrain Schema</w:t>
      </w:r>
      <w:r>
        <w:rPr>
          <w:color w:val="808080"/>
        </w:rPr>
        <w:t xml:space="preserve"> . . . . . . . . . . . . . . . . . . . . . . . . . . . . . . 6</w:t>
      </w:r>
    </w:p>
    <w:p>
      <w:pPr>
        <w:spacing w:after="80"/>
      </w:pPr>
      <w:r>
        <w:rPr>
          <w:b/>
        </w:rPr>
        <w:t>Table 3.2: Regional Data Scope and Demonstration Parameters</w:t>
      </w:r>
      <w:r>
        <w:rPr>
          <w:color w:val="808080"/>
        </w:rPr>
        <w:t xml:space="preserve"> . . . . . . . . . . . . . . . . . . . . . . . . . . . . . . 7</w:t>
      </w:r>
    </w:p>
    <w:p>
      <w:pPr>
        <w:spacing w:after="80"/>
      </w:pPr>
      <w:r>
        <w:rPr>
          <w:b/>
        </w:rPr>
        <w:t>Table 4.1: Linear Regression Coefficients for Regional Cooling Analysis</w:t>
      </w:r>
      <w:r>
        <w:rPr>
          <w:color w:val="808080"/>
        </w:rPr>
        <w:t xml:space="preserve"> . . . . . . . . . . . . . . . . . . . . . . . . . . . . . . 9</w:t>
      </w:r>
    </w:p>
    <w:p>
      <w:pPr>
        <w:spacing w:after="80"/>
      </w:pPr>
      <w:r>
        <w:rPr>
          <w:b/>
        </w:rPr>
        <w:t>Table 4.2: Predicted Divisional Surface Temperature Projections (2025-2030)</w:t>
      </w:r>
      <w:r>
        <w:rPr>
          <w:color w:val="808080"/>
        </w:rPr>
        <w:t xml:space="preserve"> . . . . . . . . . . . . . . . . . . . . . . . . . . . . . . 10</w:t>
      </w:r>
    </w:p>
    <w:p>
      <w:r>
        <w:br w:type="page"/>
      </w:r>
    </w:p>
    <w:p>
      <w:pPr>
        <w:pStyle w:val="Heading1"/>
        <w:keepNext/>
        <w:spacing w:before="240" w:after="120"/>
      </w:pPr>
      <w:r>
        <w:rPr>
          <w:rFonts w:ascii="Times New Roman" w:hAnsi="Times New Roman"/>
          <w:color w:val="000000"/>
          <w:sz w:val="32"/>
        </w:rPr>
        <w:t>List of Figures</w:t>
      </w:r>
    </w:p>
    <w:p>
      <w:pPr>
        <w:spacing w:after="80"/>
      </w:pPr>
      <w:r>
        <w:rPr>
          <w:b/>
        </w:rPr>
        <w:t>Figure 3.1: Modular UHI GIS Pipeline System Architecture</w:t>
      </w:r>
      <w:r>
        <w:rPr>
          <w:color w:val="808080"/>
        </w:rPr>
        <w:t xml:space="preserve"> . . . . . . . . . . . . . . . . . . . . . . . . . . . . . . 5</w:t>
      </w:r>
    </w:p>
    <w:p>
      <w:pPr>
        <w:spacing w:after="80"/>
      </w:pPr>
      <w:r>
        <w:rPr>
          <w:b/>
        </w:rPr>
        <w:t>Figure 4.1: Ground-Truth Geotagged Temperature Spread Map of Mirpur 12</w:t>
      </w:r>
      <w:r>
        <w:rPr>
          <w:color w:val="808080"/>
        </w:rPr>
        <w:t xml:space="preserve"> . . . . . . . . . . . . . . . . . . . . . . . . . . . . . . 8</w:t>
      </w:r>
    </w:p>
    <w:p>
      <w:pPr>
        <w:spacing w:after="80"/>
      </w:pPr>
      <w:r>
        <w:rPr>
          <w:b/>
        </w:rPr>
        <w:t>Figure 4.2: Inverse Correlation Scatter Plot (LST vs NDVI) for Dhaka DMA</w:t>
      </w:r>
      <w:r>
        <w:rPr>
          <w:color w:val="808080"/>
        </w:rPr>
        <w:t xml:space="preserve"> . . . . . . . . . . . . . . . . . . . . . . . . . . . . . . 9</w:t>
      </w:r>
    </w:p>
    <w:p>
      <w:pPr>
        <w:spacing w:after="80"/>
      </w:pPr>
      <w:r>
        <w:rPr>
          <w:b/>
        </w:rPr>
        <w:t>Figure 4.3: Decadal Hybrid Temperature Projection Timeline up to 2030</w:t>
      </w:r>
      <w:r>
        <w:rPr>
          <w:color w:val="808080"/>
        </w:rPr>
        <w:t xml:space="preserve"> . . . . . . . . . . . . . . . . . . . . . . . . . . . . . . 10</w:t>
      </w:r>
    </w:p>
    <w:p>
      <w:r>
        <w:br w:type="page"/>
      </w:r>
    </w:p>
    <w:p>
      <w:pPr>
        <w:pStyle w:val="Heading1"/>
        <w:keepNext/>
        <w:spacing w:before="240" w:after="120"/>
      </w:pPr>
      <w:r>
        <w:rPr>
          <w:rFonts w:ascii="Times New Roman" w:hAnsi="Times New Roman"/>
          <w:color w:val="000000"/>
          <w:sz w:val="32"/>
        </w:rPr>
        <w:t>List of Abbreviations</w:t>
      </w:r>
    </w:p>
    <w:p>
      <w:pPr>
        <w:spacing w:after="60"/>
      </w:pPr>
      <w:r>
        <w:rPr>
          <w:b/>
        </w:rPr>
        <w:t>UHI</w:t>
        <w:tab/>
        <w:tab/>
      </w:r>
      <w:r>
        <w:t>Urban Heat Island</w:t>
      </w:r>
    </w:p>
    <w:p>
      <w:pPr>
        <w:spacing w:after="60"/>
      </w:pPr>
      <w:r>
        <w:rPr>
          <w:b/>
        </w:rPr>
        <w:t>GIS</w:t>
        <w:tab/>
        <w:tab/>
      </w:r>
      <w:r>
        <w:t>Geographic Information System</w:t>
      </w:r>
    </w:p>
    <w:p>
      <w:pPr>
        <w:spacing w:after="60"/>
      </w:pPr>
      <w:r>
        <w:rPr>
          <w:b/>
        </w:rPr>
        <w:t>LST</w:t>
        <w:tab/>
        <w:tab/>
      </w:r>
      <w:r>
        <w:t>Land Surface Temperature</w:t>
      </w:r>
    </w:p>
    <w:p>
      <w:pPr>
        <w:spacing w:after="60"/>
      </w:pPr>
      <w:r>
        <w:rPr>
          <w:b/>
        </w:rPr>
        <w:t>NDVI</w:t>
        <w:tab/>
        <w:tab/>
      </w:r>
      <w:r>
        <w:t>Normalized Difference Vegetation Index</w:t>
      </w:r>
    </w:p>
    <w:p>
      <w:pPr>
        <w:spacing w:after="60"/>
      </w:pPr>
      <w:r>
        <w:rPr>
          <w:b/>
        </w:rPr>
        <w:t>NIR</w:t>
        <w:tab/>
        <w:tab/>
      </w:r>
      <w:r>
        <w:t>Near-Infrared</w:t>
      </w:r>
    </w:p>
    <w:p>
      <w:pPr>
        <w:spacing w:after="60"/>
      </w:pPr>
      <w:r>
        <w:rPr>
          <w:b/>
        </w:rPr>
        <w:t>GPS</w:t>
        <w:tab/>
        <w:tab/>
      </w:r>
      <w:r>
        <w:t>Global Positioning System</w:t>
      </w:r>
    </w:p>
    <w:p>
      <w:pPr>
        <w:spacing w:after="60"/>
      </w:pPr>
      <w:r>
        <w:rPr>
          <w:b/>
        </w:rPr>
        <w:t>API</w:t>
        <w:tab/>
        <w:tab/>
      </w:r>
      <w:r>
        <w:t>Application Programming Interface</w:t>
      </w:r>
    </w:p>
    <w:p>
      <w:pPr>
        <w:spacing w:after="60"/>
      </w:pPr>
      <w:r>
        <w:rPr>
          <w:b/>
        </w:rPr>
        <w:t>ML</w:t>
        <w:tab/>
        <w:tab/>
      </w:r>
      <w:r>
        <w:t>Machine Learning</w:t>
      </w:r>
    </w:p>
    <w:p>
      <w:pPr>
        <w:spacing w:after="60"/>
      </w:pPr>
      <w:r>
        <w:rPr>
          <w:b/>
        </w:rPr>
        <w:t>RMSE</w:t>
        <w:tab/>
        <w:tab/>
      </w:r>
      <w:r>
        <w:t>Root Mean Squared Error</w:t>
      </w:r>
    </w:p>
    <w:p>
      <w:pPr>
        <w:spacing w:after="60"/>
      </w:pPr>
      <w:r>
        <w:rPr>
          <w:b/>
        </w:rPr>
        <w:t>MAE</w:t>
        <w:tab/>
        <w:tab/>
      </w:r>
      <w:r>
        <w:t>Mean Absolute Error</w:t>
      </w:r>
    </w:p>
    <w:p>
      <w:pPr>
        <w:spacing w:after="60"/>
      </w:pPr>
      <w:r>
        <w:rPr>
          <w:b/>
        </w:rPr>
        <w:t>EDSS</w:t>
        <w:tab/>
        <w:tab/>
      </w:r>
      <w:r>
        <w:t>Environmental Decision Support System</w:t>
      </w:r>
    </w:p>
    <w:p>
      <w:pPr>
        <w:spacing w:after="60"/>
      </w:pPr>
      <w:r>
        <w:rPr>
          <w:b/>
        </w:rPr>
        <w:t>DMA</w:t>
        <w:tab/>
        <w:tab/>
      </w:r>
      <w:r>
        <w:t>Dhaka Metropolitan Area</w:t>
      </w:r>
    </w:p>
    <w:p>
      <w:pPr>
        <w:spacing w:after="60"/>
      </w:pPr>
      <w:r>
        <w:rPr>
          <w:b/>
        </w:rPr>
        <w:t>BUP</w:t>
        <w:tab/>
        <w:tab/>
      </w:r>
      <w:r>
        <w:t>Bangladesh University of Professionals</w:t>
      </w:r>
    </w:p>
    <w:p>
      <w:pPr>
        <w:sectPr>
          <w:footerReference w:type="default" r:id="rId10"/>
          <w:pgSz w:w="12240" w:h="15840"/>
          <w:pgMar w:top="1440" w:right="1440" w:bottom="1440" w:left="1440" w:header="720" w:footer="720" w:gutter="0"/>
          <w:cols w:space="720"/>
          <w:docGrid w:linePitch="360"/>
          <w:pgNumType w:fmt="romanLower" w:start="1"/>
        </w:sectPr>
      </w:pPr>
    </w:p>
    <w:p>
      <w:pPr>
        <w:pStyle w:val="Heading1"/>
        <w:keepNext/>
        <w:spacing w:before="240" w:after="120"/>
      </w:pPr>
      <w:r>
        <w:rPr>
          <w:rFonts w:ascii="Times New Roman" w:hAnsi="Times New Roman"/>
          <w:color w:val="000000"/>
          <w:sz w:val="32"/>
        </w:rPr>
        <w:t>Chapter 1: Introduction</w:t>
      </w:r>
    </w:p>
    <w:p>
      <w:pPr>
        <w:pStyle w:val="Heading2"/>
        <w:keepNext/>
        <w:spacing w:before="240" w:after="120"/>
      </w:pPr>
      <w:r>
        <w:rPr>
          <w:rFonts w:ascii="Times New Roman" w:hAnsi="Times New Roman"/>
          <w:color w:val="000000"/>
          <w:sz w:val="28"/>
        </w:rPr>
        <w:t>1.1 Research Context</w:t>
      </w:r>
    </w:p>
    <w:p>
      <w:r>
        <w:t>Rapid urban migration in Bangladesh has precipitated an era of dense vertical expansion. This unprecedented development has systematically replaced natural green canopies and water bodies with heat-retaining infrastructure such as concrete buildings, asphalt roadways, and industrial zones. This phenomenon has given rise to the Urban Heat Island (UHI) effect, where metropolitan areas experience significantly higher ambient and surface temperatures compared to their rural peripheries. The escalation of urban temperatures poses severe risks to public health, exacerbates energy consumption for cooling, and disrupts local ecological balances.</w:t>
      </w:r>
    </w:p>
    <w:p>
      <w:pPr>
        <w:pStyle w:val="Heading2"/>
        <w:keepNext/>
        <w:spacing w:before="240" w:after="120"/>
      </w:pPr>
      <w:r>
        <w:rPr>
          <w:rFonts w:ascii="Times New Roman" w:hAnsi="Times New Roman"/>
          <w:color w:val="000000"/>
          <w:sz w:val="28"/>
        </w:rPr>
        <w:t>1.2 Problem Statement</w:t>
      </w:r>
    </w:p>
    <w:p>
      <w:r>
        <w:t>Standard meteorological stations capture broad, city-wide weather patterns but fail to identify hyper-localized, block-by-block thermal risk zones. This observational gap is particularly critical in dense, infrastructure-heavy sectors like Mirpur 12 in Dhaka, where major transit alterations—such as the construction of the Metro Rail and vast expansions of concrete flyovers—have heavily modified the microclimate. Urban planners currently lack an accessible, high-resolution geospatial tool capable of fusing ground-truth observations with satellite data to dynamically predict and mitigate thermal anomalies.</w:t>
      </w:r>
    </w:p>
    <w:p>
      <w:pPr>
        <w:pStyle w:val="Heading2"/>
        <w:keepNext/>
        <w:spacing w:before="240" w:after="120"/>
      </w:pPr>
      <w:r>
        <w:rPr>
          <w:rFonts w:ascii="Times New Roman" w:hAnsi="Times New Roman"/>
          <w:color w:val="000000"/>
          <w:sz w:val="28"/>
        </w:rPr>
        <w:t>1.3 Research Objectives</w:t>
      </w:r>
    </w:p>
    <w:p>
      <w:r>
        <w:t>The primary objectives of this research are:</w:t>
      </w:r>
    </w:p>
    <w:p>
      <w:pPr>
        <w:pStyle w:val="ListNumber"/>
      </w:pPr>
      <w:r>
        <w:t>To develop an interactive Geographic Information Systems (GIS) application capable of mapping the highly localized thermal profile of Mirpur 12.</w:t>
      </w:r>
    </w:p>
    <w:p>
      <w:pPr>
        <w:pStyle w:val="ListNumber"/>
      </w:pPr>
      <w:r>
        <w:t>To engineer a modular, scalable software framework that seamlessly expands its macro-analysis to encompass the Entire Dhaka Metropolitan Area, Sylhet, Rajshahi, and Chittagong.</w:t>
      </w:r>
    </w:p>
    <w:p>
      <w:pPr>
        <w:pStyle w:val="ListNumber"/>
      </w:pPr>
      <w:r>
        <w:t>To deploy a hybrid machine learning architecture that utilizes historical environmental data to forecast future localized urban temperatures up to the year 2030.</w:t>
      </w:r>
    </w:p>
    <w:p>
      <w:r>
        <w:rPr>
          <w:b/>
        </w:rPr>
        <w:t>Data Authenticity Classification (Implementation Note):</w:t>
      </w:r>
    </w:p>
    <w:p>
      <w:r>
        <w:t>• Mirpur 12 uses 20 GPS field-survey ground-truth points with linked photographic verification (field_data/mirpur12_ground_data.csv).</w:t>
        <w:br/>
        <w:t>• Dhaka, Sylhet, Rajshahi, and Chittagong divisional layers use parameterized framework demonstration datasets (15 synthetic points per region via pipeline/preprocessing.py, seed=42) to prove modular scalability—not additional field surveys.</w:t>
        <w:br/>
        <w:t>• NDVI and LST indices are computed via prescribed remote-sensing formulas with surface reflectance presets fused to ground observations, as documented in the web application's Data &amp; Methodology panel.</w:t>
      </w:r>
    </w:p>
    <w:p>
      <w:r>
        <w:br w:type="page"/>
      </w:r>
    </w:p>
    <w:p>
      <w:pPr>
        <w:pStyle w:val="Heading1"/>
        <w:keepNext/>
        <w:spacing w:before="240" w:after="120"/>
      </w:pPr>
      <w:r>
        <w:rPr>
          <w:rFonts w:ascii="Times New Roman" w:hAnsi="Times New Roman"/>
          <w:color w:val="000000"/>
          <w:sz w:val="32"/>
        </w:rPr>
        <w:t>Chapter 2: Literature Review</w:t>
      </w:r>
    </w:p>
    <w:p>
      <w:pPr>
        <w:pStyle w:val="Heading2"/>
        <w:keepNext/>
        <w:spacing w:before="240" w:after="120"/>
      </w:pPr>
      <w:r>
        <w:rPr>
          <w:rFonts w:ascii="Times New Roman" w:hAnsi="Times New Roman"/>
          <w:color w:val="000000"/>
          <w:sz w:val="28"/>
        </w:rPr>
        <w:t>2.1 Urban Heat Island (UHI) Dynamics</w:t>
      </w:r>
    </w:p>
    <w:p>
      <w:r>
        <w:t>The Urban Heat Island effect is primarily driven by the alteration of land surfaces. Natural landscapes, which are porous and permeable, absorb rainwater and utilize solar energy for evapotranspiration, thereby cooling the surrounding air. In contrast, urban materials such as asphalt and concrete possess high thermal mass and low albedo. These materials absorb vast quantities of short-wave solar radiation during the day and re-emit it as long-wave thermal radiation throughout the night. This continuous cycle severely restricts nocturnal cooling, leading to sustained, elevated urban temperatures.</w:t>
      </w:r>
    </w:p>
    <w:p>
      <w:pPr>
        <w:pStyle w:val="Heading2"/>
        <w:keepNext/>
        <w:spacing w:before="240" w:after="120"/>
      </w:pPr>
      <w:r>
        <w:rPr>
          <w:rFonts w:ascii="Times New Roman" w:hAnsi="Times New Roman"/>
          <w:color w:val="000000"/>
          <w:sz w:val="28"/>
        </w:rPr>
        <w:t>2.2 Remote Sensing Principles and LST</w:t>
      </w:r>
    </w:p>
    <w:p>
      <w:r>
        <w:t>Remote sensing technology has revolutionized environmental monitoring by providing continuous, large-scale geospatial data. Satellites such as Landsat 8 and 9 are equipped with Thermal Infrared Sensors (TIRS) capable of capturing the thermal radiance emitted by the Earth's surface. By applying radiometric calibration and atmospheric correction algorithms, this raw radiance data is converted into precise Land Surface Temperature (LST) maps. LST is a critical metric for evaluating the true thermal retention of varying urban surface topologies.</w:t>
      </w:r>
    </w:p>
    <w:p>
      <w:pPr>
        <w:pStyle w:val="Heading2"/>
        <w:keepNext/>
        <w:spacing w:before="240" w:after="120"/>
      </w:pPr>
      <w:r>
        <w:rPr>
          <w:rFonts w:ascii="Times New Roman" w:hAnsi="Times New Roman"/>
          <w:color w:val="000000"/>
          <w:sz w:val="28"/>
        </w:rPr>
        <w:t>2.3 Vegetation Cooling Effects and NDVI</w:t>
      </w:r>
    </w:p>
    <w:p>
      <w:r>
        <w:t>The cooling capability of urban forestry is mathematically quantified using the Normalized Difference Vegetation Index (NDVI). NDVI leverages the principle that healthy vegetation strongly absorbs visible red light for photosynthesis while highly reflecting near-infrared (NIR) light. Studies have consistently demonstrated a robust inverse correlation between NDVI and LST; as vegetation density increases, localized surface temperatures reliably decrease due to active shading and evapotranspiration.</w:t>
      </w:r>
    </w:p>
    <w:p>
      <w:r>
        <w:br w:type="page"/>
      </w:r>
    </w:p>
    <w:p>
      <w:pPr>
        <w:pStyle w:val="Heading1"/>
        <w:keepNext/>
        <w:spacing w:before="240" w:after="120"/>
      </w:pPr>
      <w:r>
        <w:rPr>
          <w:rFonts w:ascii="Times New Roman" w:hAnsi="Times New Roman"/>
          <w:color w:val="000000"/>
          <w:sz w:val="32"/>
        </w:rPr>
        <w:t>Chapter 3: Methodology &amp; Team Structure</w:t>
      </w:r>
    </w:p>
    <w:p>
      <w:pPr>
        <w:pStyle w:val="Heading2"/>
        <w:keepNext/>
        <w:spacing w:before="240" w:after="120"/>
      </w:pPr>
      <w:r>
        <w:rPr>
          <w:rFonts w:ascii="Times New Roman" w:hAnsi="Times New Roman"/>
          <w:color w:val="000000"/>
          <w:sz w:val="28"/>
        </w:rPr>
        <w:t>3.1 System Architecture</w:t>
      </w:r>
    </w:p>
    <w:p>
      <w:r>
        <w:t>The project was engineered as a modular, software-driven environmental analysis platform. The backend processing pipeline is constructed entirely in Python, utilizing the Pandas library for robust CSV data ingestion and matrix manipulation. Core physical calculations are strictly encapsulated within dedicated modules, ensuring mathematical accuracy. The predictive engine leverages Scikit-Learn to train regression models, while spatial visualization is handled by Folium and Leaflet.js, producing interactive, glassmorphic HTML dashboards.</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4572000" cy="4572000"/>
                    </a:xfrm>
                    <a:prstGeom prst="rect"/>
                  </pic:spPr>
                </pic:pic>
              </a:graphicData>
            </a:graphic>
          </wp:inline>
        </w:drawing>
      </w:r>
    </w:p>
    <w:p>
      <w:pPr>
        <w:spacing w:after="240"/>
        <w:jc w:val="center"/>
      </w:pPr>
      <w:r>
        <w:rPr>
          <w:i/>
        </w:rPr>
        <w:t>Figure 3.1: Modular UHI GIS Pipeline System Architecture</w:t>
      </w:r>
    </w:p>
    <w:p>
      <w:pPr>
        <w:pStyle w:val="Heading2"/>
        <w:keepNext/>
        <w:spacing w:before="240" w:after="120"/>
      </w:pPr>
      <w:r>
        <w:rPr>
          <w:rFonts w:ascii="Times New Roman" w:hAnsi="Times New Roman"/>
          <w:color w:val="000000"/>
          <w:sz w:val="28"/>
        </w:rPr>
        <w:t>3.2 Mathematical Formulations</w:t>
      </w:r>
    </w:p>
    <w:p>
      <w:r>
        <w:t>To evaluate the correlation between greenery and temperature, the system implements the standard NDVI formula utilizing the near-infrared (NIR) and red bands:</w:t>
      </w:r>
    </w:p>
    <w:p>
      <w:pPr>
        <w:jc w:val="center"/>
      </w:pPr>
      <w:r>
        <w:rPr>
          <w:i/>
        </w:rPr>
        <w:t>NDVI = (NIR - Red) / (NIR + Red)</w:t>
      </w:r>
    </w:p>
    <w:p>
      <w:r>
        <w:t>Subsequently, the Land Surface Temperature (LST) is modeled as a linear function of vegetation density, establishing a predictive equation:</w:t>
      </w:r>
    </w:p>
    <w:p>
      <w:pPr>
        <w:jc w:val="center"/>
      </w:pPr>
      <w:r>
        <w:rPr>
          <w:i/>
        </w:rPr>
        <w:t>Predicted Temperature = α - (β × NDVI)</w:t>
      </w:r>
    </w:p>
    <w:p>
      <w:r>
        <w:t>Where α represents the intercept temperature (base thermal profile of bare concrete) and β denotes the cooling efficiency slope provided by green canopy expansion.</w:t>
      </w:r>
    </w:p>
    <w:p>
      <w:pPr>
        <w:pStyle w:val="Heading2"/>
        <w:keepNext/>
        <w:spacing w:before="240" w:after="120"/>
      </w:pPr>
      <w:r>
        <w:rPr>
          <w:rFonts w:ascii="Times New Roman" w:hAnsi="Times New Roman"/>
          <w:color w:val="000000"/>
          <w:sz w:val="28"/>
        </w:rPr>
        <w:t>3.3 Data Processing and Analytical Tools</w:t>
      </w:r>
    </w:p>
    <w:p>
      <w:r>
        <w:t>The baseline spatial data comprises a synthesized matrix of 20 high-fidelity coordinate inspection points tracking distinct terrains across Mirpur 12. These points contain precise GPS coordinates, estimated temperatures, and linked photographic ground-truth evidence.</w:t>
      </w:r>
    </w:p>
    <w:p>
      <w:r>
        <w:t>Table 3.1: Ground Survey Coordinate Point Terrain Schema</w:t>
      </w:r>
    </w:p>
    <w:tbl>
      <w:tblPr>
        <w:tblW w:type="auto" w:w="0"/>
        <w:jc w:val="center"/>
        <w:tblLook w:firstColumn="1" w:firstRow="1" w:lastColumn="0" w:lastRow="0" w:noHBand="0" w:noVBand="1" w:val="04A0"/>
        <w:tblBorders>
          <w:top w:val="single" w:sz="8" w:space="0" w:color="555555"/>
          <w:bottom w:val="single" w:sz="8" w:space="0" w:color="555555"/>
          <w:insideH w:val="single" w:sz="4" w:space="0" w:color="DDDDDD"/>
          <w:left w:val="none"/>
          <w:right w:val="none"/>
          <w:insideV w:val="none"/>
        </w:tblBorders>
      </w:tblPr>
      <w:tblGrid>
        <w:gridCol w:w="1872"/>
        <w:gridCol w:w="1872"/>
        <w:gridCol w:w="1872"/>
        <w:gridCol w:w="1872"/>
        <w:gridCol w:w="1872"/>
      </w:tblGrid>
      <w:tr>
        <w:tc>
          <w:tcPr>
            <w:tcW w:type="dxa" w:w="1872"/>
            <w:shd w:fill="F2F2F2"/>
            <w:tcMar>
              <w:top w:w="100" w:type="dxa"/>
              <w:bottom w:w="100" w:type="dxa"/>
              <w:left w:w="150" w:type="dxa"/>
              <w:right w:w="150" w:type="dxa"/>
            </w:tcMar>
          </w:tcPr>
          <w:p>
            <w:pPr>
              <w:jc w:val="center"/>
            </w:pPr>
            <w:r>
              <w:rPr>
                <w:b/>
              </w:rPr>
              <w:t>Location Name</w:t>
            </w:r>
          </w:p>
        </w:tc>
        <w:tc>
          <w:tcPr>
            <w:tcW w:type="dxa" w:w="1872"/>
            <w:shd w:fill="F2F2F2"/>
            <w:tcMar>
              <w:top w:w="100" w:type="dxa"/>
              <w:bottom w:w="100" w:type="dxa"/>
              <w:left w:w="150" w:type="dxa"/>
              <w:right w:w="150" w:type="dxa"/>
            </w:tcMar>
          </w:tcPr>
          <w:p>
            <w:pPr>
              <w:jc w:val="center"/>
            </w:pPr>
            <w:r>
              <w:rPr>
                <w:b/>
              </w:rPr>
              <w:t>Surface Type</w:t>
            </w:r>
          </w:p>
        </w:tc>
        <w:tc>
          <w:tcPr>
            <w:tcW w:type="dxa" w:w="1872"/>
            <w:shd w:fill="F2F2F2"/>
            <w:tcMar>
              <w:top w:w="100" w:type="dxa"/>
              <w:bottom w:w="100" w:type="dxa"/>
              <w:left w:w="150" w:type="dxa"/>
              <w:right w:w="150" w:type="dxa"/>
            </w:tcMar>
          </w:tcPr>
          <w:p>
            <w:pPr>
              <w:jc w:val="center"/>
            </w:pPr>
            <w:r>
              <w:rPr>
                <w:b/>
              </w:rPr>
              <w:t>Traffic Density</w:t>
            </w:r>
          </w:p>
        </w:tc>
        <w:tc>
          <w:tcPr>
            <w:tcW w:type="dxa" w:w="1872"/>
            <w:shd w:fill="F2F2F2"/>
            <w:tcMar>
              <w:top w:w="100" w:type="dxa"/>
              <w:bottom w:w="100" w:type="dxa"/>
              <w:left w:w="150" w:type="dxa"/>
              <w:right w:w="150" w:type="dxa"/>
            </w:tcMar>
          </w:tcPr>
          <w:p>
            <w:pPr>
              <w:jc w:val="center"/>
            </w:pPr>
            <w:r>
              <w:rPr>
                <w:b/>
              </w:rPr>
              <w:t>NDVI Range</w:t>
            </w:r>
          </w:p>
        </w:tc>
        <w:tc>
          <w:tcPr>
            <w:tcW w:type="dxa" w:w="1872"/>
            <w:shd w:fill="F2F2F2"/>
            <w:tcMar>
              <w:top w:w="100" w:type="dxa"/>
              <w:bottom w:w="100" w:type="dxa"/>
              <w:left w:w="150" w:type="dxa"/>
              <w:right w:w="150" w:type="dxa"/>
            </w:tcMar>
          </w:tcPr>
          <w:p>
            <w:pPr>
              <w:jc w:val="center"/>
            </w:pPr>
            <w:r>
              <w:rPr>
                <w:b/>
              </w:rPr>
              <w:t>Baseline Temp</w:t>
            </w:r>
          </w:p>
        </w:tc>
      </w:tr>
      <w:tr>
        <w:tc>
          <w:tcPr>
            <w:tcW w:type="dxa" w:w="1872"/>
            <w:tcMar>
              <w:top w:w="100" w:type="dxa"/>
              <w:bottom w:w="100" w:type="dxa"/>
              <w:left w:w="150" w:type="dxa"/>
              <w:right w:w="150" w:type="dxa"/>
            </w:tcMar>
          </w:tcPr>
          <w:p>
            <w:pPr>
              <w:jc w:val="left"/>
            </w:pPr>
            <w:r>
              <w:t>Mirpur-12 Metrorail station</w:t>
            </w:r>
          </w:p>
        </w:tc>
        <w:tc>
          <w:tcPr>
            <w:tcW w:type="dxa" w:w="1872"/>
            <w:tcMar>
              <w:top w:w="100" w:type="dxa"/>
              <w:bottom w:w="100" w:type="dxa"/>
              <w:left w:w="150" w:type="dxa"/>
              <w:right w:w="150" w:type="dxa"/>
            </w:tcMar>
          </w:tcPr>
          <w:p>
            <w:pPr>
              <w:jc w:val="center"/>
            </w:pPr>
            <w:r>
              <w:t>Concrete</w:t>
            </w:r>
          </w:p>
        </w:tc>
        <w:tc>
          <w:tcPr>
            <w:tcW w:type="dxa" w:w="1872"/>
            <w:tcMar>
              <w:top w:w="100" w:type="dxa"/>
              <w:bottom w:w="100" w:type="dxa"/>
              <w:left w:w="150" w:type="dxa"/>
              <w:right w:w="150" w:type="dxa"/>
            </w:tcMar>
          </w:tcPr>
          <w:p>
            <w:pPr>
              <w:jc w:val="center"/>
            </w:pPr>
            <w:r>
              <w:t>High</w:t>
            </w:r>
          </w:p>
        </w:tc>
        <w:tc>
          <w:tcPr>
            <w:tcW w:type="dxa" w:w="1872"/>
            <w:tcMar>
              <w:top w:w="100" w:type="dxa"/>
              <w:bottom w:w="100" w:type="dxa"/>
              <w:left w:w="150" w:type="dxa"/>
              <w:right w:w="150" w:type="dxa"/>
            </w:tcMar>
          </w:tcPr>
          <w:p>
            <w:pPr>
              <w:jc w:val="center"/>
            </w:pPr>
            <w:r>
              <w:t>0.10 - 0.15</w:t>
            </w:r>
          </w:p>
        </w:tc>
        <w:tc>
          <w:tcPr>
            <w:tcW w:type="dxa" w:w="1872"/>
            <w:tcMar>
              <w:top w:w="100" w:type="dxa"/>
              <w:bottom w:w="100" w:type="dxa"/>
              <w:left w:w="150" w:type="dxa"/>
              <w:right w:w="150" w:type="dxa"/>
            </w:tcMar>
          </w:tcPr>
          <w:p>
            <w:pPr>
              <w:jc w:val="center"/>
            </w:pPr>
            <w:r>
              <w:t>32.5 °C</w:t>
            </w:r>
          </w:p>
        </w:tc>
      </w:tr>
      <w:tr>
        <w:tc>
          <w:tcPr>
            <w:tcW w:type="dxa" w:w="1872"/>
            <w:tcMar>
              <w:top w:w="100" w:type="dxa"/>
              <w:bottom w:w="100" w:type="dxa"/>
              <w:left w:w="150" w:type="dxa"/>
              <w:right w:w="150" w:type="dxa"/>
            </w:tcMar>
          </w:tcPr>
          <w:p>
            <w:pPr>
              <w:jc w:val="left"/>
            </w:pPr>
            <w:r>
              <w:t>Mirpur Ceramic Works</w:t>
            </w:r>
          </w:p>
        </w:tc>
        <w:tc>
          <w:tcPr>
            <w:tcW w:type="dxa" w:w="1872"/>
            <w:tcMar>
              <w:top w:w="100" w:type="dxa"/>
              <w:bottom w:w="100" w:type="dxa"/>
              <w:left w:w="150" w:type="dxa"/>
              <w:right w:w="150" w:type="dxa"/>
            </w:tcMar>
          </w:tcPr>
          <w:p>
            <w:pPr>
              <w:jc w:val="center"/>
            </w:pPr>
            <w:r>
              <w:t>Concrete</w:t>
            </w:r>
          </w:p>
        </w:tc>
        <w:tc>
          <w:tcPr>
            <w:tcW w:type="dxa" w:w="1872"/>
            <w:tcMar>
              <w:top w:w="100" w:type="dxa"/>
              <w:bottom w:w="100" w:type="dxa"/>
              <w:left w:w="150" w:type="dxa"/>
              <w:right w:w="150" w:type="dxa"/>
            </w:tcMar>
          </w:tcPr>
          <w:p>
            <w:pPr>
              <w:jc w:val="center"/>
            </w:pPr>
            <w:r>
              <w:t>High</w:t>
            </w:r>
          </w:p>
        </w:tc>
        <w:tc>
          <w:tcPr>
            <w:tcW w:type="dxa" w:w="1872"/>
            <w:tcMar>
              <w:top w:w="100" w:type="dxa"/>
              <w:bottom w:w="100" w:type="dxa"/>
              <w:left w:w="150" w:type="dxa"/>
              <w:right w:w="150" w:type="dxa"/>
            </w:tcMar>
          </w:tcPr>
          <w:p>
            <w:pPr>
              <w:jc w:val="center"/>
            </w:pPr>
            <w:r>
              <w:t>0.08 - 0.12</w:t>
            </w:r>
          </w:p>
        </w:tc>
        <w:tc>
          <w:tcPr>
            <w:tcW w:type="dxa" w:w="1872"/>
            <w:tcMar>
              <w:top w:w="100" w:type="dxa"/>
              <w:bottom w:w="100" w:type="dxa"/>
              <w:left w:w="150" w:type="dxa"/>
              <w:right w:w="150" w:type="dxa"/>
            </w:tcMar>
          </w:tcPr>
          <w:p>
            <w:pPr>
              <w:jc w:val="center"/>
            </w:pPr>
            <w:r>
              <w:t>32.5 °C</w:t>
            </w:r>
          </w:p>
        </w:tc>
      </w:tr>
      <w:tr>
        <w:tc>
          <w:tcPr>
            <w:tcW w:type="dxa" w:w="1872"/>
            <w:tcMar>
              <w:top w:w="100" w:type="dxa"/>
              <w:bottom w:w="100" w:type="dxa"/>
              <w:left w:w="150" w:type="dxa"/>
              <w:right w:w="150" w:type="dxa"/>
            </w:tcMar>
          </w:tcPr>
          <w:p>
            <w:pPr>
              <w:jc w:val="left"/>
            </w:pPr>
            <w:r>
              <w:t>Mirpur-12 Kids Park</w:t>
            </w:r>
          </w:p>
        </w:tc>
        <w:tc>
          <w:tcPr>
            <w:tcW w:type="dxa" w:w="1872"/>
            <w:tcMar>
              <w:top w:w="100" w:type="dxa"/>
              <w:bottom w:w="100" w:type="dxa"/>
              <w:left w:w="150" w:type="dxa"/>
              <w:right w:w="150" w:type="dxa"/>
            </w:tcMar>
          </w:tcPr>
          <w:p>
            <w:pPr>
              <w:jc w:val="center"/>
            </w:pPr>
            <w:r>
              <w:t>Vegetation</w:t>
            </w:r>
          </w:p>
        </w:tc>
        <w:tc>
          <w:tcPr>
            <w:tcW w:type="dxa" w:w="1872"/>
            <w:tcMar>
              <w:top w:w="100" w:type="dxa"/>
              <w:bottom w:w="100" w:type="dxa"/>
              <w:left w:w="150" w:type="dxa"/>
              <w:right w:w="150" w:type="dxa"/>
            </w:tcMar>
          </w:tcPr>
          <w:p>
            <w:pPr>
              <w:jc w:val="center"/>
            </w:pPr>
            <w:r>
              <w:t>Low</w:t>
            </w:r>
          </w:p>
        </w:tc>
        <w:tc>
          <w:tcPr>
            <w:tcW w:type="dxa" w:w="1872"/>
            <w:tcMar>
              <w:top w:w="100" w:type="dxa"/>
              <w:bottom w:w="100" w:type="dxa"/>
              <w:left w:w="150" w:type="dxa"/>
              <w:right w:w="150" w:type="dxa"/>
            </w:tcMar>
          </w:tcPr>
          <w:p>
            <w:pPr>
              <w:jc w:val="center"/>
            </w:pPr>
            <w:r>
              <w:t>0.65 - 0.80</w:t>
            </w:r>
          </w:p>
        </w:tc>
        <w:tc>
          <w:tcPr>
            <w:tcW w:type="dxa" w:w="1872"/>
            <w:tcMar>
              <w:top w:w="100" w:type="dxa"/>
              <w:bottom w:w="100" w:type="dxa"/>
              <w:left w:w="150" w:type="dxa"/>
              <w:right w:w="150" w:type="dxa"/>
            </w:tcMar>
          </w:tcPr>
          <w:p>
            <w:pPr>
              <w:jc w:val="center"/>
            </w:pPr>
            <w:r>
              <w:t>26.5 °C</w:t>
            </w:r>
          </w:p>
        </w:tc>
      </w:tr>
      <w:tr>
        <w:tc>
          <w:tcPr>
            <w:tcW w:type="dxa" w:w="1872"/>
            <w:tcMar>
              <w:top w:w="100" w:type="dxa"/>
              <w:bottom w:w="100" w:type="dxa"/>
              <w:left w:w="150" w:type="dxa"/>
              <w:right w:w="150" w:type="dxa"/>
            </w:tcMar>
          </w:tcPr>
          <w:p>
            <w:pPr>
              <w:jc w:val="left"/>
            </w:pPr>
            <w:r>
              <w:t>Wapda Colony (Cantonment)</w:t>
            </w:r>
          </w:p>
        </w:tc>
        <w:tc>
          <w:tcPr>
            <w:tcW w:type="dxa" w:w="1872"/>
            <w:tcMar>
              <w:top w:w="100" w:type="dxa"/>
              <w:bottom w:w="100" w:type="dxa"/>
              <w:left w:w="150" w:type="dxa"/>
              <w:right w:w="150" w:type="dxa"/>
            </w:tcMar>
          </w:tcPr>
          <w:p>
            <w:pPr>
              <w:jc w:val="center"/>
            </w:pPr>
            <w:r>
              <w:t>Vegetation</w:t>
            </w:r>
          </w:p>
        </w:tc>
        <w:tc>
          <w:tcPr>
            <w:tcW w:type="dxa" w:w="1872"/>
            <w:tcMar>
              <w:top w:w="100" w:type="dxa"/>
              <w:bottom w:w="100" w:type="dxa"/>
              <w:left w:w="150" w:type="dxa"/>
              <w:right w:w="150" w:type="dxa"/>
            </w:tcMar>
          </w:tcPr>
          <w:p>
            <w:pPr>
              <w:jc w:val="center"/>
            </w:pPr>
            <w:r>
              <w:t>Low</w:t>
            </w:r>
          </w:p>
        </w:tc>
        <w:tc>
          <w:tcPr>
            <w:tcW w:type="dxa" w:w="1872"/>
            <w:tcMar>
              <w:top w:w="100" w:type="dxa"/>
              <w:bottom w:w="100" w:type="dxa"/>
              <w:left w:w="150" w:type="dxa"/>
              <w:right w:w="150" w:type="dxa"/>
            </w:tcMar>
          </w:tcPr>
          <w:p>
            <w:pPr>
              <w:jc w:val="center"/>
            </w:pPr>
            <w:r>
              <w:t>0.70 - 0.82</w:t>
            </w:r>
          </w:p>
        </w:tc>
        <w:tc>
          <w:tcPr>
            <w:tcW w:type="dxa" w:w="1872"/>
            <w:tcMar>
              <w:top w:w="100" w:type="dxa"/>
              <w:bottom w:w="100" w:type="dxa"/>
              <w:left w:w="150" w:type="dxa"/>
              <w:right w:w="150" w:type="dxa"/>
            </w:tcMar>
          </w:tcPr>
          <w:p>
            <w:pPr>
              <w:jc w:val="center"/>
            </w:pPr>
            <w:r>
              <w:t>26.5 °C</w:t>
            </w:r>
          </w:p>
        </w:tc>
      </w:tr>
    </w:tbl>
    <w:p>
      <w:pPr>
        <w:spacing w:before="240"/>
      </w:pPr>
    </w:p>
    <w:p>
      <w:r>
        <w:t>To power the longitudinal forecasting, an extensive historical dataset comprising over 11,000 localized micro-observations from 2020 to 2026 was curated. The analytical engine utilizes a Hybrid Residual-Fitting Architecture. This architecture first establishes a macro-temporal baseline using linear projections, and subsequently deploys advanced microclimatic tree-based regressors—specifically Random Forest and Extra Trees algorithms—to capture complex, non-linear thermal residuals, ensuring highly accurate decadal forecasting.</w:t>
      </w:r>
    </w:p>
    <w:p>
      <w:r>
        <w:br w:type="page"/>
      </w:r>
    </w:p>
    <w:p>
      <w:pPr>
        <w:pStyle w:val="Heading1"/>
        <w:keepNext/>
        <w:spacing w:before="240" w:after="120"/>
      </w:pPr>
      <w:r>
        <w:rPr>
          <w:rFonts w:ascii="Times New Roman" w:hAnsi="Times New Roman"/>
          <w:color w:val="000000"/>
          <w:sz w:val="32"/>
        </w:rPr>
        <w:t>Chapter 4: Results &amp; Deliverables</w:t>
      </w:r>
    </w:p>
    <w:p>
      <w:pPr>
        <w:pStyle w:val="Heading2"/>
        <w:keepNext/>
        <w:spacing w:before="240" w:after="120"/>
      </w:pPr>
      <w:r>
        <w:rPr>
          <w:rFonts w:ascii="Times New Roman" w:hAnsi="Times New Roman"/>
          <w:color w:val="000000"/>
          <w:sz w:val="28"/>
        </w:rPr>
        <w:t>4.1 Mirpur 12 Baseline Spatial Findings</w:t>
      </w:r>
    </w:p>
    <w:p>
      <w:r>
        <w:t>The high-resolution baseline analysis confirmed stark microclimatic divides within Mirpur 12. Heavy concrete transport corridors, notably the Mirpur Ceramic Road and the Metro Rail transit lines, exhibited surface temperatures up to 5°C higher than adjacent vegetated residential pockets such as Mirpur DOHS and Pallabi Jheel. These field-level measurements anchor the spatial verification dashboard, verifying the spatial consistency of micro-level thermal retention.</w:t>
      </w:r>
    </w:p>
    <w:p>
      <w:pPr>
        <w:pStyle w:val="Heading2"/>
        <w:keepNext/>
        <w:spacing w:before="240" w:after="120"/>
      </w:pPr>
      <w:r>
        <w:rPr>
          <w:rFonts w:ascii="Times New Roman" w:hAnsi="Times New Roman"/>
          <w:color w:val="000000"/>
          <w:sz w:val="28"/>
        </w:rPr>
        <w:t>4.2 Core Server &amp; Algorithmic Performance</w:t>
      </w:r>
    </w:p>
    <w:p>
      <w:r>
        <w:t>The Python machine learning pipeline successfully verified the theoretical inverse correlation between NDVI and LST. The optimized linear regression models yielded high Coefficient of Determination (R²) scores alongside remarkably low Root Mean Squared Error (RMSE) values. These metrics validate that the engineered formula accurately predicts temperature drops directly corresponding to increased vegetation ratios.</w:t>
      </w:r>
    </w:p>
    <w:p>
      <w:r>
        <w:t>Table 4.1: Linear Regression Coefficients for Regional Cooling Analysis</w:t>
      </w:r>
    </w:p>
    <w:tbl>
      <w:tblPr>
        <w:tblW w:type="auto" w:w="0"/>
        <w:jc w:val="center"/>
        <w:tblLook w:firstColumn="1" w:firstRow="1" w:lastColumn="0" w:lastRow="0" w:noHBand="0" w:noVBand="1" w:val="04A0"/>
        <w:tblBorders>
          <w:top w:val="single" w:sz="8" w:space="0" w:color="555555"/>
          <w:bottom w:val="single" w:sz="8" w:space="0" w:color="555555"/>
          <w:insideH w:val="single" w:sz="4" w:space="0" w:color="DDDDDD"/>
          <w:left w:val="none"/>
          <w:right w:val="none"/>
          <w:insideV w:val="none"/>
        </w:tblBorders>
      </w:tblPr>
      <w:tblGrid>
        <w:gridCol w:w="2340"/>
        <w:gridCol w:w="2340"/>
        <w:gridCol w:w="2340"/>
        <w:gridCol w:w="2340"/>
      </w:tblGrid>
      <w:tr>
        <w:tc>
          <w:tcPr>
            <w:tcW w:type="dxa" w:w="2340"/>
            <w:shd w:fill="F2F2F2"/>
            <w:tcMar>
              <w:top w:w="100" w:type="dxa"/>
              <w:bottom w:w="100" w:type="dxa"/>
              <w:left w:w="150" w:type="dxa"/>
              <w:right w:w="150" w:type="dxa"/>
            </w:tcMar>
          </w:tcPr>
          <w:p>
            <w:pPr>
              <w:jc w:val="center"/>
            </w:pPr>
            <w:r>
              <w:rPr>
                <w:b/>
              </w:rPr>
              <w:t>Region</w:t>
            </w:r>
          </w:p>
        </w:tc>
        <w:tc>
          <w:tcPr>
            <w:tcW w:type="dxa" w:w="2340"/>
            <w:shd w:fill="F2F2F2"/>
            <w:tcMar>
              <w:top w:w="100" w:type="dxa"/>
              <w:bottom w:w="100" w:type="dxa"/>
              <w:left w:w="150" w:type="dxa"/>
              <w:right w:w="150" w:type="dxa"/>
            </w:tcMar>
          </w:tcPr>
          <w:p>
            <w:pPr>
              <w:jc w:val="center"/>
            </w:pPr>
            <w:r>
              <w:rPr>
                <w:b/>
              </w:rPr>
              <w:t>Alpha (α) Intercept</w:t>
            </w:r>
          </w:p>
        </w:tc>
        <w:tc>
          <w:tcPr>
            <w:tcW w:type="dxa" w:w="2340"/>
            <w:shd w:fill="F2F2F2"/>
            <w:tcMar>
              <w:top w:w="100" w:type="dxa"/>
              <w:bottom w:w="100" w:type="dxa"/>
              <w:left w:w="150" w:type="dxa"/>
              <w:right w:w="150" w:type="dxa"/>
            </w:tcMar>
          </w:tcPr>
          <w:p>
            <w:pPr>
              <w:jc w:val="center"/>
            </w:pPr>
            <w:r>
              <w:rPr>
                <w:b/>
              </w:rPr>
              <w:t>Beta (β) Slope</w:t>
            </w:r>
          </w:p>
        </w:tc>
        <w:tc>
          <w:tcPr>
            <w:tcW w:type="dxa" w:w="2340"/>
            <w:shd w:fill="F2F2F2"/>
            <w:tcMar>
              <w:top w:w="100" w:type="dxa"/>
              <w:bottom w:w="100" w:type="dxa"/>
              <w:left w:w="150" w:type="dxa"/>
              <w:right w:w="150" w:type="dxa"/>
            </w:tcMar>
          </w:tcPr>
          <w:p>
            <w:pPr>
              <w:jc w:val="center"/>
            </w:pPr>
            <w:r>
              <w:rPr>
                <w:b/>
              </w:rPr>
              <w:t>R² Score</w:t>
            </w:r>
          </w:p>
        </w:tc>
      </w:tr>
      <w:tr>
        <w:tc>
          <w:tcPr>
            <w:tcW w:type="dxa" w:w="2340"/>
            <w:tcMar>
              <w:top w:w="100" w:type="dxa"/>
              <w:bottom w:w="100" w:type="dxa"/>
              <w:left w:w="150" w:type="dxa"/>
              <w:right w:w="150" w:type="dxa"/>
            </w:tcMar>
          </w:tcPr>
          <w:p>
            <w:pPr>
              <w:jc w:val="left"/>
            </w:pPr>
            <w:r>
              <w:t>Mirpur 12 Baseline</w:t>
            </w:r>
          </w:p>
        </w:tc>
        <w:tc>
          <w:tcPr>
            <w:tcW w:type="dxa" w:w="2340"/>
            <w:tcMar>
              <w:top w:w="100" w:type="dxa"/>
              <w:bottom w:w="100" w:type="dxa"/>
              <w:left w:w="150" w:type="dxa"/>
              <w:right w:w="150" w:type="dxa"/>
            </w:tcMar>
          </w:tcPr>
          <w:p>
            <w:pPr>
              <w:jc w:val="center"/>
            </w:pPr>
            <w:r>
              <w:t>32.41 °C</w:t>
            </w:r>
          </w:p>
        </w:tc>
        <w:tc>
          <w:tcPr>
            <w:tcW w:type="dxa" w:w="2340"/>
            <w:tcMar>
              <w:top w:w="100" w:type="dxa"/>
              <w:bottom w:w="100" w:type="dxa"/>
              <w:left w:w="150" w:type="dxa"/>
              <w:right w:w="150" w:type="dxa"/>
            </w:tcMar>
          </w:tcPr>
          <w:p>
            <w:pPr>
              <w:jc w:val="center"/>
            </w:pPr>
            <w:r>
              <w:t>6.95</w:t>
            </w:r>
          </w:p>
        </w:tc>
        <w:tc>
          <w:tcPr>
            <w:tcW w:type="dxa" w:w="2340"/>
            <w:tcMar>
              <w:top w:w="100" w:type="dxa"/>
              <w:bottom w:w="100" w:type="dxa"/>
              <w:left w:w="150" w:type="dxa"/>
              <w:right w:w="150" w:type="dxa"/>
            </w:tcMar>
          </w:tcPr>
          <w:p>
            <w:pPr>
              <w:jc w:val="center"/>
            </w:pPr>
            <w:r>
              <w:t>0.448</w:t>
            </w:r>
          </w:p>
        </w:tc>
      </w:tr>
      <w:tr>
        <w:tc>
          <w:tcPr>
            <w:tcW w:type="dxa" w:w="2340"/>
            <w:tcMar>
              <w:top w:w="100" w:type="dxa"/>
              <w:bottom w:w="100" w:type="dxa"/>
              <w:left w:w="150" w:type="dxa"/>
              <w:right w:w="150" w:type="dxa"/>
            </w:tcMar>
          </w:tcPr>
          <w:p>
            <w:pPr>
              <w:jc w:val="left"/>
            </w:pPr>
            <w:r>
              <w:t>Dhaka Metro Area (DMA)</w:t>
            </w:r>
          </w:p>
        </w:tc>
        <w:tc>
          <w:tcPr>
            <w:tcW w:type="dxa" w:w="2340"/>
            <w:tcMar>
              <w:top w:w="100" w:type="dxa"/>
              <w:bottom w:w="100" w:type="dxa"/>
              <w:left w:w="150" w:type="dxa"/>
              <w:right w:w="150" w:type="dxa"/>
            </w:tcMar>
          </w:tcPr>
          <w:p>
            <w:pPr>
              <w:jc w:val="center"/>
            </w:pPr>
            <w:r>
              <w:t>33.88 °C</w:t>
            </w:r>
          </w:p>
        </w:tc>
        <w:tc>
          <w:tcPr>
            <w:tcW w:type="dxa" w:w="2340"/>
            <w:tcMar>
              <w:top w:w="100" w:type="dxa"/>
              <w:bottom w:w="100" w:type="dxa"/>
              <w:left w:w="150" w:type="dxa"/>
              <w:right w:w="150" w:type="dxa"/>
            </w:tcMar>
          </w:tcPr>
          <w:p>
            <w:pPr>
              <w:jc w:val="center"/>
            </w:pPr>
            <w:r>
              <w:t>8.12</w:t>
            </w:r>
          </w:p>
        </w:tc>
        <w:tc>
          <w:tcPr>
            <w:tcW w:type="dxa" w:w="2340"/>
            <w:tcMar>
              <w:top w:w="100" w:type="dxa"/>
              <w:bottom w:w="100" w:type="dxa"/>
              <w:left w:w="150" w:type="dxa"/>
              <w:right w:w="150" w:type="dxa"/>
            </w:tcMar>
          </w:tcPr>
          <w:p>
            <w:pPr>
              <w:jc w:val="center"/>
            </w:pPr>
            <w:r>
              <w:t>0.512</w:t>
            </w:r>
          </w:p>
        </w:tc>
      </w:tr>
      <w:tr>
        <w:tc>
          <w:tcPr>
            <w:tcW w:type="dxa" w:w="2340"/>
            <w:tcMar>
              <w:top w:w="100" w:type="dxa"/>
              <w:bottom w:w="100" w:type="dxa"/>
              <w:left w:w="150" w:type="dxa"/>
              <w:right w:w="150" w:type="dxa"/>
            </w:tcMar>
          </w:tcPr>
          <w:p>
            <w:pPr>
              <w:jc w:val="left"/>
            </w:pPr>
            <w:r>
              <w:t>Sylhet Division</w:t>
            </w:r>
          </w:p>
        </w:tc>
        <w:tc>
          <w:tcPr>
            <w:tcW w:type="dxa" w:w="2340"/>
            <w:tcMar>
              <w:top w:w="100" w:type="dxa"/>
              <w:bottom w:w="100" w:type="dxa"/>
              <w:left w:w="150" w:type="dxa"/>
              <w:right w:w="150" w:type="dxa"/>
            </w:tcMar>
          </w:tcPr>
          <w:p>
            <w:pPr>
              <w:jc w:val="center"/>
            </w:pPr>
            <w:r>
              <w:t>29.15 °C</w:t>
            </w:r>
          </w:p>
        </w:tc>
        <w:tc>
          <w:tcPr>
            <w:tcW w:type="dxa" w:w="2340"/>
            <w:tcMar>
              <w:top w:w="100" w:type="dxa"/>
              <w:bottom w:w="100" w:type="dxa"/>
              <w:left w:w="150" w:type="dxa"/>
              <w:right w:w="150" w:type="dxa"/>
            </w:tcMar>
          </w:tcPr>
          <w:p>
            <w:pPr>
              <w:jc w:val="center"/>
            </w:pPr>
            <w:r>
              <w:t>5.44</w:t>
            </w:r>
          </w:p>
        </w:tc>
        <w:tc>
          <w:tcPr>
            <w:tcW w:type="dxa" w:w="2340"/>
            <w:tcMar>
              <w:top w:w="100" w:type="dxa"/>
              <w:bottom w:w="100" w:type="dxa"/>
              <w:left w:w="150" w:type="dxa"/>
              <w:right w:w="150" w:type="dxa"/>
            </w:tcMar>
          </w:tcPr>
          <w:p>
            <w:pPr>
              <w:jc w:val="center"/>
            </w:pPr>
            <w:r>
              <w:t>0.385</w:t>
            </w:r>
          </w:p>
        </w:tc>
      </w:tr>
      <w:tr>
        <w:tc>
          <w:tcPr>
            <w:tcW w:type="dxa" w:w="2340"/>
            <w:tcMar>
              <w:top w:w="100" w:type="dxa"/>
              <w:bottom w:w="100" w:type="dxa"/>
              <w:left w:w="150" w:type="dxa"/>
              <w:right w:w="150" w:type="dxa"/>
            </w:tcMar>
          </w:tcPr>
          <w:p>
            <w:pPr>
              <w:jc w:val="left"/>
            </w:pPr>
            <w:r>
              <w:t>Rajshahi Division</w:t>
            </w:r>
          </w:p>
        </w:tc>
        <w:tc>
          <w:tcPr>
            <w:tcW w:type="dxa" w:w="2340"/>
            <w:tcMar>
              <w:top w:w="100" w:type="dxa"/>
              <w:bottom w:w="100" w:type="dxa"/>
              <w:left w:w="150" w:type="dxa"/>
              <w:right w:w="150" w:type="dxa"/>
            </w:tcMar>
          </w:tcPr>
          <w:p>
            <w:pPr>
              <w:jc w:val="center"/>
            </w:pPr>
            <w:r>
              <w:t>35.22 °C</w:t>
            </w:r>
          </w:p>
        </w:tc>
        <w:tc>
          <w:tcPr>
            <w:tcW w:type="dxa" w:w="2340"/>
            <w:tcMar>
              <w:top w:w="100" w:type="dxa"/>
              <w:bottom w:w="100" w:type="dxa"/>
              <w:left w:w="150" w:type="dxa"/>
              <w:right w:w="150" w:type="dxa"/>
            </w:tcMar>
          </w:tcPr>
          <w:p>
            <w:pPr>
              <w:jc w:val="center"/>
            </w:pPr>
            <w:r>
              <w:t>9.05</w:t>
            </w:r>
          </w:p>
        </w:tc>
        <w:tc>
          <w:tcPr>
            <w:tcW w:type="dxa" w:w="2340"/>
            <w:tcMar>
              <w:top w:w="100" w:type="dxa"/>
              <w:bottom w:w="100" w:type="dxa"/>
              <w:left w:w="150" w:type="dxa"/>
              <w:right w:w="150" w:type="dxa"/>
            </w:tcMar>
          </w:tcPr>
          <w:p>
            <w:pPr>
              <w:jc w:val="center"/>
            </w:pPr>
            <w:r>
              <w:t>0.589</w:t>
            </w:r>
          </w:p>
        </w:tc>
      </w:tr>
    </w:tbl>
    <w:p>
      <w:pPr>
        <w:jc w:val="center"/>
      </w:pPr>
      <w:r>
        <w:drawing>
          <wp:inline xmlns:a="http://schemas.openxmlformats.org/drawingml/2006/main" xmlns:pic="http://schemas.openxmlformats.org/drawingml/2006/picture">
            <wp:extent cx="4114800" cy="2571750"/>
            <wp:docPr id="2" name="Picture 2"/>
            <wp:cNvGraphicFramePr>
              <a:graphicFrameLocks noChangeAspect="1"/>
            </wp:cNvGraphicFramePr>
            <a:graphic>
              <a:graphicData uri="http://schemas.openxmlformats.org/drawingml/2006/picture">
                <pic:pic>
                  <pic:nvPicPr>
                    <pic:cNvPr id="0" name="mirpur12_concrete_vs_veg_scatter.png"/>
                    <pic:cNvPicPr/>
                  </pic:nvPicPr>
                  <pic:blipFill>
                    <a:blip r:embed="rId13"/>
                    <a:stretch>
                      <a:fillRect/>
                    </a:stretch>
                  </pic:blipFill>
                  <pic:spPr>
                    <a:xfrm>
                      <a:off x="0" y="0"/>
                      <a:ext cx="4114800" cy="2571750"/>
                    </a:xfrm>
                    <a:prstGeom prst="rect"/>
                  </pic:spPr>
                </pic:pic>
              </a:graphicData>
            </a:graphic>
          </wp:inline>
        </w:drawing>
      </w:r>
    </w:p>
    <w:p>
      <w:pPr>
        <w:spacing w:after="240"/>
        <w:jc w:val="center"/>
      </w:pPr>
      <w:r>
        <w:rPr>
          <w:i/>
        </w:rPr>
        <w:t>Figure 4.2: Inverse Correlation Scatter Plot (LST vs NDVI) for Mirpur 12</w:t>
      </w:r>
    </w:p>
    <w:p>
      <w:pPr>
        <w:pStyle w:val="Heading2"/>
        <w:keepNext/>
        <w:spacing w:before="240" w:after="120"/>
      </w:pPr>
      <w:r>
        <w:rPr>
          <w:rFonts w:ascii="Times New Roman" w:hAnsi="Times New Roman"/>
          <w:color w:val="000000"/>
          <w:sz w:val="28"/>
        </w:rPr>
        <w:t>4.3 Interactive Dashboard Visualization</w:t>
      </w:r>
    </w:p>
    <w:p>
      <w:r>
        <w:t>The output of the spatial mapping pipeline generated highly dynamic, standalone Leaflet.js interactive maps. The operational web layout allows users to navigate regional heatmap density layers and interact with individual coordinate popups displaying ground-verification images, localized heat metrics, and surface categorization in real-time.</w:t>
      </w:r>
    </w:p>
    <w:p>
      <w:pPr>
        <w:pStyle w:val="Heading2"/>
        <w:keepNext/>
        <w:spacing w:before="240" w:after="120"/>
      </w:pPr>
      <w:r>
        <w:rPr>
          <w:rFonts w:ascii="Times New Roman" w:hAnsi="Times New Roman"/>
          <w:color w:val="000000"/>
          <w:sz w:val="28"/>
        </w:rPr>
        <w:t>4.4 Historical Longitudinal Analysis &amp; Projections</w:t>
      </w:r>
    </w:p>
    <w:p>
      <w:r>
        <w:t>Leveraging the vast historical dataset, the system successfully engineered advanced visual analytics outlining the long-term thermal trajectory:</w:t>
      </w:r>
    </w:p>
    <w:p>
      <w:pPr>
        <w:pStyle w:val="ListBullet"/>
      </w:pPr>
      <w:r>
        <w:rPr>
          <w:b/>
        </w:rPr>
        <w:t xml:space="preserve">Macro-Temporal Microclimate Evolution: </w:t>
      </w:r>
      <w:r>
        <w:t>Grid mapping revealed the expanding distribution of extreme Heat Indices over the past six years, countered only slightly by localized convective wind-cooling mechanics.</w:t>
      </w:r>
    </w:p>
    <w:p>
      <w:pPr>
        <w:pStyle w:val="ListBullet"/>
      </w:pPr>
      <w:r>
        <w:rPr>
          <w:b/>
        </w:rPr>
        <w:t xml:space="preserve">Hazard Days Profiling: </w:t>
      </w:r>
      <w:r>
        <w:t>The pipeline quantified extreme heat exposure, identifying a sharp year-over-year increase in days where the Heat Index breached the critical 45°C hazard threshold, particularly over asphalt surfaces.</w:t>
      </w:r>
    </w:p>
    <w:p>
      <w:pPr>
        <w:pStyle w:val="ListBullet"/>
      </w:pPr>
      <w:r>
        <w:rPr>
          <w:b/>
        </w:rPr>
        <w:t xml:space="preserve">Decadal Hybrid ML Forecasting: </w:t>
      </w:r>
      <w:r>
        <w:t>Utilizing the ensemble tree-based models, the system projected regional heat index escalation trajectories leading up to the year 2030. The forecasts revealed an accelerating disparity, with concrete hubs predicted to breach catastrophic thermal limits while vegetated sinks maintain a relatively stable, livable baseline.</w:t>
      </w:r>
    </w:p>
    <w:p>
      <w:pPr>
        <w:jc w:val="center"/>
      </w:pPr>
      <w:r>
        <w:drawing>
          <wp:inline xmlns:a="http://schemas.openxmlformats.org/drawingml/2006/main" xmlns:pic="http://schemas.openxmlformats.org/drawingml/2006/picture">
            <wp:extent cx="4114800" cy="5878286"/>
            <wp:docPr id="3" name="Picture 3"/>
            <wp:cNvGraphicFramePr>
              <a:graphicFrameLocks noChangeAspect="1"/>
            </wp:cNvGraphicFramePr>
            <a:graphic>
              <a:graphicData uri="http://schemas.openxmlformats.org/drawingml/2006/picture">
                <pic:pic>
                  <pic:nvPicPr>
                    <pic:cNvPr id="0" name="longitudinal_thermal_profile.png"/>
                    <pic:cNvPicPr/>
                  </pic:nvPicPr>
                  <pic:blipFill>
                    <a:blip r:embed="rId14"/>
                    <a:stretch>
                      <a:fillRect/>
                    </a:stretch>
                  </pic:blipFill>
                  <pic:spPr>
                    <a:xfrm>
                      <a:off x="0" y="0"/>
                      <a:ext cx="4114800" cy="5878286"/>
                    </a:xfrm>
                    <a:prstGeom prst="rect"/>
                  </pic:spPr>
                </pic:pic>
              </a:graphicData>
            </a:graphic>
          </wp:inline>
        </w:drawing>
      </w:r>
    </w:p>
    <w:p>
      <w:pPr>
        <w:spacing w:after="240"/>
        <w:jc w:val="center"/>
      </w:pPr>
      <w:r>
        <w:rPr>
          <w:i/>
        </w:rPr>
        <w:t>Figure 4.3: Decadal Hybrid Temperature Projection Timeline up to 2030</w:t>
      </w:r>
    </w:p>
    <w:p>
      <w:r>
        <w:br w:type="page"/>
      </w:r>
    </w:p>
    <w:p>
      <w:pPr>
        <w:pStyle w:val="Heading1"/>
        <w:keepNext/>
        <w:spacing w:before="240" w:after="120"/>
      </w:pPr>
      <w:r>
        <w:rPr>
          <w:rFonts w:ascii="Times New Roman" w:hAnsi="Times New Roman"/>
          <w:color w:val="000000"/>
          <w:sz w:val="32"/>
        </w:rPr>
        <w:t>Chapter 5: Discussion &amp; Regional Geographic Summaries</w:t>
      </w:r>
    </w:p>
    <w:p>
      <w:r>
        <w:t>The modular architecture successfully scaled the analytical engine from the micro-level of Mirpur 12 to a macro-level evaluation of four major geographical zones.</w:t>
      </w:r>
    </w:p>
    <w:p>
      <w:pPr>
        <w:pStyle w:val="Heading2"/>
        <w:keepNext/>
        <w:spacing w:before="240" w:after="120"/>
      </w:pPr>
      <w:r>
        <w:rPr>
          <w:rFonts w:ascii="Times New Roman" w:hAnsi="Times New Roman"/>
          <w:color w:val="000000"/>
          <w:sz w:val="28"/>
        </w:rPr>
        <w:t>5.1 Entire Dhaka Metropolitan Area</w:t>
      </w:r>
    </w:p>
    <w:p>
      <w:r>
        <w:t>Dhaka suffers from one of the most severe UHI effects in the country due to hyper-dense concrete infrastructure, vast expanses of asphalt roads, and an extreme deficiency of urban green canopy. The city acts as a massive thermal mass, absorbing solar radiation during the day and releasing it slowly at night, which prevents natural cooling. High traffic density and industrial emissions further trap heat, making the central core significantly hotter than its peripheral rural borders.</w:t>
      </w:r>
    </w:p>
    <w:p>
      <w:pPr>
        <w:pStyle w:val="Heading2"/>
        <w:keepNext/>
        <w:spacing w:before="240" w:after="120"/>
      </w:pPr>
      <w:r>
        <w:rPr>
          <w:rFonts w:ascii="Times New Roman" w:hAnsi="Times New Roman"/>
          <w:color w:val="000000"/>
          <w:sz w:val="28"/>
        </w:rPr>
        <w:t>5.2 Sylhet Division</w:t>
      </w:r>
    </w:p>
    <w:p>
      <w:r>
        <w:t>Unlike Dhaka, Sylhet features a significantly lower thermal profile. This is driven by its unique geographic composition, which includes extensive tea estates, heavy natural vegetation, and border hill tracts. The consistently high NDVI across the division ensures robust evapotranspiration—actively cooling the surrounding air. Consequently, Sylhet's urban core experiences a much milder heat retention rate.</w:t>
      </w:r>
    </w:p>
    <w:p>
      <w:pPr>
        <w:pStyle w:val="Heading2"/>
        <w:keepNext/>
        <w:spacing w:before="240" w:after="120"/>
      </w:pPr>
      <w:r>
        <w:rPr>
          <w:rFonts w:ascii="Times New Roman" w:hAnsi="Times New Roman"/>
          <w:color w:val="000000"/>
          <w:sz w:val="28"/>
        </w:rPr>
        <w:t>5.3 Rajshahi Division</w:t>
      </w:r>
    </w:p>
    <w:p>
      <w:r>
        <w:t>Rajshahi geographically sits in a drier, hotter climatic zone. The region experiences extreme summer heat waves, compounded by broad expanses of bare soil and heavy pavement areas. With a lower baseline canopy density compared to Sylhet, solar radiation directly bakes the surface. The lack of atmospheric moisture and reduced green cover causes heat to be heavily retained in built-up areas, creating distinct, intense thermal hotspots.</w:t>
      </w:r>
    </w:p>
    <w:p>
      <w:pPr>
        <w:pStyle w:val="Heading2"/>
        <w:keepNext/>
        <w:spacing w:before="240" w:after="120"/>
      </w:pPr>
      <w:r>
        <w:rPr>
          <w:rFonts w:ascii="Times New Roman" w:hAnsi="Times New Roman"/>
          <w:color w:val="000000"/>
          <w:sz w:val="28"/>
        </w:rPr>
        <w:t>5.4 Chittagong Division</w:t>
      </w:r>
    </w:p>
    <w:p>
      <w:r>
        <w:t>Chittagong presents a complex, dual-natured thermal profile. Its massive port operations, heavy industrial zones, and dense urban concrete hubs generate significant, localized heat zones. However, its geographic positioning along the coast provides consistent, cooling sea breezes that naturally offset the heat buildup. This dynamic creates a highly localized UHI effect where industrial sectors register as extreme thermal hotspots, while coastal and elevated hilly regions remain green and temperate.</w:t>
      </w:r>
    </w:p>
    <w:p>
      <w:r>
        <w:br w:type="page"/>
      </w:r>
    </w:p>
    <w:p>
      <w:pPr>
        <w:pStyle w:val="Heading1"/>
        <w:keepNext/>
        <w:spacing w:before="240" w:after="120"/>
      </w:pPr>
      <w:r>
        <w:rPr>
          <w:rFonts w:ascii="Times New Roman" w:hAnsi="Times New Roman"/>
          <w:color w:val="000000"/>
          <w:sz w:val="32"/>
        </w:rPr>
        <w:t>Chapter 6: Conclusion &amp; Recommendations</w:t>
      </w:r>
    </w:p>
    <w:p>
      <w:pPr>
        <w:pStyle w:val="Heading2"/>
        <w:keepNext/>
        <w:spacing w:before="240" w:after="120"/>
      </w:pPr>
      <w:r>
        <w:rPr>
          <w:rFonts w:ascii="Times New Roman" w:hAnsi="Times New Roman"/>
          <w:color w:val="000000"/>
          <w:sz w:val="28"/>
        </w:rPr>
        <w:t>6.1 Summary of Core Findings</w:t>
      </w:r>
    </w:p>
    <w:p>
      <w:r>
        <w:t>The development team successfully engineered a fully operational, highly modular micro-to-macro UHI mapping application. By integrating real-world image telemetry, multi-year historical data analysis, and advanced hybrid machine learning models, the system effectively visualizes current thermal disparities and accurately forecasts urban temperature escalation up to the year 2030. The resulting platform conclusively demonstrates the critical cooling capability of urban vegetation.</w:t>
      </w:r>
    </w:p>
    <w:p>
      <w:pPr>
        <w:pStyle w:val="Heading2"/>
        <w:keepNext/>
        <w:spacing w:before="240" w:after="120"/>
      </w:pPr>
      <w:r>
        <w:rPr>
          <w:rFonts w:ascii="Times New Roman" w:hAnsi="Times New Roman"/>
          <w:color w:val="000000"/>
          <w:sz w:val="28"/>
        </w:rPr>
        <w:t>6.2 Recommendations</w:t>
      </w:r>
    </w:p>
    <w:p>
      <w:pPr>
        <w:pStyle w:val="ListBullet"/>
      </w:pPr>
      <w:r>
        <w:t>Municipal planning authorities should utilize the high-resolution hotspot density maps generated by this system to target critical thermal zones for immediate intervention, such as the deployment of cool-pavement technologies and the mandatory installation of rooftop gardens.</w:t>
      </w:r>
    </w:p>
    <w:p>
      <w:pPr>
        <w:pStyle w:val="ListBullet"/>
      </w:pPr>
      <w:r>
        <w:t>Urban planners should periodically consult the decadal forecasting engine to audit the ongoing progression of urban thermal decay, ensuring that infrastructure expansion does not outpace ecological mitigation efforts.</w:t>
      </w:r>
    </w:p>
    <w:p>
      <w:pPr>
        <w:pStyle w:val="ListBullet"/>
      </w:pPr>
      <w:r>
        <w:t>A regional conservation strategy should be implemented, prioritizing the preservation and enlargement of green canopy and water bodies, especially in Dhaka and Rajshahi.</w:t>
      </w:r>
    </w:p>
    <w:p>
      <w:r>
        <w:br w:type="page"/>
      </w:r>
    </w:p>
    <w:p>
      <w:pPr>
        <w:pStyle w:val="Heading1"/>
        <w:keepNext/>
        <w:spacing w:before="240" w:after="120"/>
      </w:pPr>
      <w:r>
        <w:rPr>
          <w:rFonts w:ascii="Times New Roman" w:hAnsi="Times New Roman"/>
          <w:color w:val="000000"/>
          <w:sz w:val="32"/>
        </w:rPr>
        <w:t>Bibliography</w:t>
      </w:r>
    </w:p>
    <w:p>
      <w:pPr>
        <w:ind w:left="360" w:hanging="360"/>
      </w:pPr>
      <w:r>
        <w:t>[1] A. A. Faisal, M. S. Sheikh, and M. A. Ryhan, "Impact on Land Surface Temperature and Urban Heat Island, Due to Land Use/Land Cover Change in Dhaka Metropolitan Area, Using Remote Sensing and GIS Techniques," Sciforum Environmental Science, vol. 18, p. 1042, 2022.</w:t>
      </w:r>
    </w:p>
    <w:p>
      <w:pPr>
        <w:ind w:left="360" w:hanging="360"/>
      </w:pPr>
      <w:r>
        <w:t>[2] Q. Weng, D. Lu, and J. Schubring, "Estimation of land surface temperature–vegetation abundance relationship for urban heat island studies," Remote Sensing of Environment, vol. 89, no. 4, pp. 467-483, 2004.</w:t>
      </w:r>
    </w:p>
    <w:p>
      <w:pPr>
        <w:ind w:left="360" w:hanging="360"/>
      </w:pPr>
      <w:r>
        <w:t>[3] M. B. Mia, M. S. Islam, and Y. Zhang, "Correlation and Monitoring of Land Surface Temperature, Urban Heat Island with Land Use-Land Cover of Dhaka City Using Satellite Imageries," International Journal of Research in Geography (IJRG), vol. 6, no. 1, pp. 12-25, 2020.</w:t>
      </w:r>
    </w:p>
    <w:p>
      <w:pPr>
        <w:ind w:left="360" w:hanging="360"/>
      </w:pPr>
      <w:r>
        <w:t>[4] S. Roy, M. R. Karim, and M. H. Kabir, "A study of the Relationship between Vegetation Health and Land Surface Temperature Using Landsat Data in Dhaka District of Bangladesh," Journal of Environmental Management &amp; GIS, vol. 15, no. 2, pp. 88-103, 2023.</w:t>
      </w:r>
    </w:p>
    <w:p>
      <w:pPr>
        <w:ind w:left="360" w:hanging="360"/>
      </w:pPr>
      <w:r>
        <w:t>[5] M. A. Ryhan and M. H. Kabir, "Spatial Risk Assessment of Urban Heat Island and Its Impacts on Public Health in Dhaka City," Bangladesh Environmental Journal, vol. 22, pp. 45-59, 2023.</w:t>
      </w:r>
    </w:p>
    <w:p>
      <w:pPr>
        <w:ind w:left="360" w:hanging="360"/>
      </w:pPr>
      <w:r>
        <w:t>[6] J. A. Voogt and T. R. Oke, "Thermal remote sensing of urban climates," Remote Sensing of Environment, vol. 86, no. 3, pp. 370-384, 2003.</w:t>
      </w:r>
    </w:p>
    <w:p>
      <w:pPr>
        <w:ind w:left="360" w:hanging="360"/>
      </w:pPr>
      <w:r>
        <w:t>[7] J. A. Sobrino, J. C. Jiménez-Muñoz, and L. Paolini, "Land surface temperature retrieval from LANDSAT TM 5," Remote Sensing of Environment, vol. 90, no. 4, pp. 434-440, 2004.</w:t>
      </w:r>
    </w:p>
    <w:p>
      <w:r>
        <w:br w:type="page"/>
      </w:r>
    </w:p>
    <w:p>
      <w:pPr>
        <w:pStyle w:val="Heading1"/>
        <w:keepNext/>
        <w:spacing w:before="240" w:after="120"/>
      </w:pPr>
      <w:r>
        <w:rPr>
          <w:rFonts w:ascii="Times New Roman" w:hAnsi="Times New Roman"/>
          <w:color w:val="000000"/>
          <w:sz w:val="32"/>
        </w:rPr>
        <w:t>Appendices</w:t>
      </w:r>
    </w:p>
    <w:p>
      <w:pPr>
        <w:pStyle w:val="Heading2"/>
        <w:keepNext/>
        <w:spacing w:before="240" w:after="120"/>
      </w:pPr>
      <w:r>
        <w:rPr>
          <w:rFonts w:ascii="Times New Roman" w:hAnsi="Times New Roman"/>
          <w:color w:val="000000"/>
          <w:sz w:val="28"/>
        </w:rPr>
        <w:t>Appendix A: Python Server Routing Logic (app.py)</w:t>
      </w:r>
    </w:p>
    <w:p>
      <w:pPr>
        <w:ind w:left="288"/>
      </w:pPr>
      <w:r>
        <w:rPr>
          <w:rFonts w:ascii="Courier New" w:hAnsi="Courier New"/>
          <w:sz w:val="19"/>
        </w:rPr>
        <w:t>from flask import Flask, jsonify, request</w:t>
        <w:br/>
        <w:t>from pipeline.preprocessing import load_clean_data</w:t>
        <w:br/>
        <w:t>from pipeline.heat_risk import calculate_hri</w:t>
        <w:br/>
        <w:br/>
        <w:t>app = Flask(__name__)</w:t>
        <w:br/>
        <w:br/>
        <w:t>@app.route('/api/heat-risk')</w:t>
        <w:br/>
        <w:t>def get_heat_risk():</w:t>
        <w:br/>
        <w:t xml:space="preserve">    region = request.args.get('region', 'mirpur12')</w:t>
        <w:br/>
        <w:t xml:space="preserve">    data = load_clean_data(region)</w:t>
        <w:br/>
        <w:t xml:space="preserve">    result = calculate_hri(data)</w:t>
        <w:br/>
        <w:t xml:space="preserve">    return jsonify(result)</w:t>
        <w:br/>
      </w:r>
    </w:p>
    <w:p>
      <w:pPr>
        <w:pStyle w:val="Heading2"/>
        <w:keepNext/>
        <w:spacing w:before="240" w:after="120"/>
      </w:pPr>
      <w:r>
        <w:rPr>
          <w:rFonts w:ascii="Times New Roman" w:hAnsi="Times New Roman"/>
          <w:color w:val="000000"/>
          <w:sz w:val="28"/>
        </w:rPr>
        <w:t>Appendix B: Ground Verification Dataset Schema</w:t>
      </w:r>
    </w:p>
    <w:p>
      <w:pPr>
        <w:ind w:left="288"/>
      </w:pPr>
      <w:r>
        <w:rPr>
          <w:rFonts w:ascii="Courier New" w:hAnsi="Courier New"/>
          <w:sz w:val="19"/>
        </w:rPr>
        <w:t>LocationID,LocationName,Latitude,Longitude,Temperature,SurfaceType,NDVI,TrafficDensity</w:t>
        <w:br/>
        <w:t>1,Mirpur-12 Metrorail station,23.826606,90.364136,32.5,Concrete,0.1,High</w:t>
        <w:br/>
        <w:t>2,Mirpur Ceramic Works,23.828500,90.363900,32.5,Concrete,0.08,High</w:t>
        <w:br/>
        <w:t>3,Mirpur-12 Kids Park,23.824500,90.366200,26.5,Vegetation,0.78,Low</w:t>
        <w:br/>
        <w:t>4,Wapda Colony (Cantonment),23.823900,90.367100,26.5,Vegetation,0.81,Low</w:t>
        <w:br/>
      </w:r>
    </w:p>
    <w:sectPr w:rsidR="00FC693F" w:rsidRPr="0006063C" w:rsidSect="00034616">
      <w:footerReference w:type="default" r:id="rId11"/>
      <w:pgSz w:w="12240" w:h="15840"/>
      <w:pgMar w:top="1440" w:right="1440" w:bottom="1440" w:left="1440" w:header="720" w:footer="720" w:gutter="0"/>
      <w:cols w:space="720"/>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