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Employee Handbook (Sample)</w:t>
      </w:r>
    </w:p>
    <w:p>
      <w:r>
        <w:rPr>
          <w:b/>
        </w:rPr>
        <w:t>Leave Policy</w:t>
      </w:r>
      <w:r>
        <w:br/>
        <w:t>Employees receive 20 paid annual leave days, 10 sick leave days, and 12 public holidays each calendar year. Annual leave requires manager approval at least 5 working days in advance.</w:t>
      </w:r>
    </w:p>
    <w:p>
      <w:r>
        <w:rPr>
          <w:b/>
        </w:rPr>
        <w:t>Remote Work</w:t>
      </w:r>
      <w:r>
        <w:br/>
        <w:t>Employees may work remotely up to 3 days per week with manager approval. Core collaboration hours are 10:00 AM to 4:00 PM.</w:t>
      </w:r>
    </w:p>
    <w:p>
      <w:r>
        <w:rPr>
          <w:b/>
        </w:rPr>
        <w:t>Working Hours</w:t>
      </w:r>
      <w:r>
        <w:br/>
        <w:t>Standard working hours are Monday through Friday, 9:00 AM to 6:00 PM, including a one-hour lunch break.</w:t>
      </w:r>
    </w:p>
    <w:p>
      <w:r>
        <w:rPr>
          <w:b/>
        </w:rPr>
        <w:t>Travel Policy</w:t>
      </w:r>
      <w:r>
        <w:br/>
        <w:t>Business travel must be approved before booking. Economy class is required for domestic flights. Hotel reimbursement is capped at $150 per night unless pre-approved.</w:t>
      </w:r>
    </w:p>
    <w:p>
      <w:r>
        <w:rPr>
          <w:b/>
        </w:rPr>
        <w:t>Expense Reimbursement</w:t>
      </w:r>
      <w:r>
        <w:br/>
        <w:t>Expense claims must be submitted within 30 days with valid receipts. Reimbursements are processed within 10 business days.</w:t>
      </w:r>
    </w:p>
    <w:p>
      <w:r>
        <w:rPr>
          <w:b/>
        </w:rPr>
        <w:t>IT Security</w:t>
      </w:r>
      <w:r>
        <w:br/>
        <w:t>Use multi-factor authentication for company systems. Report suspected phishing emails immediately. Company laptops must be encrypted.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