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6104E1B9"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2</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1222</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${edit_monto_contrato_texto}</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$1500 con Pagaré Fecha:  2024-12-24
$150 con Tarjeta de crédito Banco Rumiñahui</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08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90</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