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AutoReview v1.4.2 使用说明</w:t>
      </w:r>
    </w:p>
    <w:p>
      <w:pPr/>
      <w:r>
        <w:rPr>
          <w:b w:val="0"/>
        </w:rPr>
        <w:t>适用版本：v1.4.2（2026年10月16日模型兼容修复版）。按“范本与答案 → 作业处理与复核 → 结果统计”操作。</w:t>
      </w:r>
    </w:p>
    <w:p>
      <w:pPr>
        <w:pStyle w:val="Heading1"/>
      </w:pPr>
      <w:r>
        <w:rPr>
          <w:b w:val="0"/>
        </w:rPr>
        <w:t>1 安装与启动</w:t>
      </w:r>
    </w:p>
    <w:p>
      <w:pPr/>
      <w:r>
        <w:rPr>
          <w:b w:val="0"/>
        </w:rPr>
        <w:t>安装版运行 AutoReview-1.4.2-windows-x64-setup.exe，按提示完成当前用户安装。程序会检测 Microsoft Edge WebView2，并在缺少时安装随包提供的离线组件。</w:t>
      </w:r>
    </w:p>
    <w:p>
      <w:pPr/>
      <w:r>
        <w:rPr>
          <w:b w:val="0"/>
        </w:rPr>
        <w:t>便携版将 AutoReview-1.4.2-desktop-win-x64.zip 完整解压到一个文件夹，再双击 AutoReview.exe。保留 runtime 和 docs 文件夹；没有 WebView2 的电脑先运行包内的 MicrosoftEdgeWebView2RuntimeInstallerX64.exe。便携版无需安装 Python、Node、Rust 或 Codex 桌面程序。</w:t>
      </w:r>
    </w:p>
    <w:p>
      <w:pPr/>
      <w:r>
        <w:rPr>
          <w:b w:val="0"/>
        </w:rPr>
        <w:t>已有窗口时重复启动会显示已有窗口或启动提示。需要后台继续处理时先使用“收起到托盘”；选择退出并确认后，会停止本程序所属的未完成后台处理，已经保存的照片、结果和历史仍在资料库中。</w:t>
      </w:r>
    </w:p>
    <w:p>
      <w:pPr/>
      <w:r>
        <w:rPr>
          <w:b w:val="0"/>
        </w:rPr>
        <w:t>源码使用者运行“启动当前版本.vbs”或 Start-Current.ps1。源码入口与本次冻结包是不同启动方式；源码修改不会自动改变已冻结的安装版和便携包。</w:t>
      </w:r>
    </w:p>
    <w:p>
      <w:pPr>
        <w:pStyle w:val="Heading1"/>
      </w:pPr>
      <w:r>
        <w:rPr>
          <w:b w:val="0"/>
        </w:rPr>
        <w:t>2 账户与资料位置</w:t>
      </w:r>
    </w:p>
    <w:p>
      <w:pPr/>
      <w:r>
        <w:rPr>
          <w:b w:val="0"/>
        </w:rPr>
        <w:t>每份源码、安装版或便携版初次使用时账户完全空白，不继承其他副本或 Codex 桌面的账户。按照软件中的官方流程登录 ChatGPT 账户，并选择资料库和导出位置。云端识别使用当前所选账户额度，不接入另行付费的模型 API，也不会自动购买额度。</w:t>
      </w:r>
    </w:p>
    <w:p>
      <w:pPr/>
      <w:r>
        <w:rPr>
          <w:b w:val="0"/>
        </w:rPr>
        <w:t>默认资料库位于 Windows“文档”中的 AutoReview/Library。账户不在资料库中，默认资料位置按当前用户动态生成，不使用开发机器用户名。搬到另一台电脑时，通过资料库备份、迁移或恢复功能转移作业，在新机器重新登录。不要在程序运行时直接移动资料库。</w:t>
      </w:r>
    </w:p>
    <w:p>
      <w:pPr/>
      <w:r>
        <w:rPr>
          <w:b w:val="0"/>
        </w:rPr>
        <w:t>本副本私有目录为程序目录中的 .autoreview-private，包含独立设置、加密账户索引和独立浏览器缓存。凭据由官方 CLI 使用加密 secrets 存储，文件密钥由 Windows 凭据库保护，禁止明文回退。登录成功后才加入账户列表，下次启动自动复用；未完成或取消登录不留下空账户。不要复制或分享私有目录，分发请使用未运行的原始安装包或 ZIP。</w:t>
      </w:r>
    </w:p>
    <w:p>
      <w:pPr/>
      <w:r>
        <w:rPr>
          <w:b w:val="0"/>
        </w:rPr>
        <w:t>账户面板可切换、退出或删除账户，删除需弹窗确认；清除全部账户并退出用于便携目录删除前清理。卸载安装版会清理其本地账户和凭据，作业库保留。直接在资源管理器删便携目录不会触发 Windows 凭据库清理，请先执行清除操作。清理失败会报告原因，不能当作成功；这些机制不承诺 SSD 物理擦除或抵抗同一 Windows 用户下的恶意进程。</w:t>
      </w:r>
    </w:p>
    <w:p>
      <w:pPr/>
      <w:r>
        <w:rPr>
          <w:b w:val="0"/>
        </w:rPr>
        <w:t>仅打开相机、拍照检查或选择本地图片不会自动上传。识别范本、批量开始处理，以及逐张识别模式中的每次确认，会按界面提示发送必要图片并使用账户额度。</w:t>
      </w:r>
    </w:p>
    <w:p>
      <w:pPr>
        <w:pStyle w:val="Heading1"/>
      </w:pPr>
      <w:r>
        <w:rPr>
          <w:b w:val="0"/>
        </w:rPr>
        <w:t>3 建立任务与确认范本</w:t>
      </w:r>
    </w:p>
    <w:p>
      <w:pPr/>
      <w:r>
        <w:rPr>
          <w:b w:val="0"/>
        </w:rPr>
        <w:t>新建批改任务，设置班级和每份作业的页数。在“范本与答案”中按页序添加本地范本图片，或点击“相机拍摄范本”。相机窗口会自动连接设备；按 Enter 拍摄，检查照片后再次按 Enter 加入范本，随后可继续下一页。此过程只加入本地草稿，点击“识别范本图片”才进行云端解析。</w:t>
      </w:r>
    </w:p>
    <w:p>
      <w:pPr/>
      <w:r>
        <w:rPr>
          <w:b w:val="0"/>
        </w:rPr>
        <w:t>解析完成后，对照图片检查题号、参考答案、题型、页码与完整作答区域，逐页确认答案和位置。图片中的范本区域用于辅助定位，学生的实际笔迹和连线仍需独立识别。</w:t>
      </w:r>
    </w:p>
    <w:p>
      <w:pPr/>
      <w:r>
        <w:rPr>
          <w:b w:val="0"/>
        </w:rPr>
        <w:t>开启自动计分时，填写或核对试卷总分、各题分值与分配方式。连线题默认按源端点分项计分，总分按端点个数分配。完成每页分值分布与试卷总分核对，点击“发布计分规则”并确认，再点击“确认答案并用于批改”。</w:t>
      </w:r>
    </w:p>
    <w:p>
      <w:pPr/>
      <w:r>
        <w:rPr>
          <w:b w:val="0"/>
        </w:rPr>
        <w:t>答案内容没有变化时重复确认会复用现有版本。答案版本与计分规则版本分别保存；查看作业上的“批改依据”可只读预览它实际使用的版本。编辑规则后可以预览并确认回退到最新已发布规则；已有任务沿用各自冻结的版本。</w:t>
      </w:r>
    </w:p>
    <w:p>
      <w:pPr>
        <w:pStyle w:val="Heading1"/>
      </w:pPr>
      <w:r>
        <w:rPr>
          <w:b w:val="0"/>
        </w:rPr>
        <w:t>4 导入本地图片批处理</w:t>
      </w:r>
    </w:p>
    <w:p>
      <w:pPr/>
      <w:r>
        <w:rPr>
          <w:b w:val="0"/>
        </w:rPr>
        <w:t>在“作业处理与复核”选择班级，点击“导入本地图片”，检查文件顺序、起始纸签和编排方式。整份方式按 001/P1、001/P2、002/P1、002/P2 编排；单面方式用于先收同一页，再按名单补齐其他页。</w:t>
      </w:r>
    </w:p>
    <w:p>
      <w:pPr/>
      <w:r>
        <w:rPr>
          <w:b w:val="0"/>
        </w:rPr>
        <w:t>进入“图片准备与定位”，检查方向、裁剪、纸签页位与完整作答区。可以点击整张缩略卡选择或取消，多选后统一旋转；自动方向处理不代替教师确认。确认检查后点击“开始处理”，核对发送账户、范围和设置，再提交云端。</w:t>
      </w:r>
    </w:p>
    <w:p>
      <w:pPr/>
      <w:r>
        <w:rPr>
          <w:b w:val="0"/>
        </w:rPr>
        <w:t>批处理并发度在设置中调整，范围1至13，默认10。它只限制批处理，流式识别使用独立设置。任务提交后会冻结模型、推理强度、并发度和保守复看开关；之后修改设置仅影响新提交的任务。</w:t>
      </w:r>
    </w:p>
    <w:p>
      <w:pPr>
        <w:pStyle w:val="Heading1"/>
      </w:pPr>
      <w:r>
        <w:rPr>
          <w:b w:val="0"/>
        </w:rPr>
        <w:t>5 连续拍摄作业</w:t>
      </w:r>
    </w:p>
    <w:p>
      <w:pPr/>
      <w:r>
        <w:rPr>
          <w:b w:val="0"/>
        </w:rPr>
        <w:t>点击“连续拍摄与批改”，选择班级、摄像头、编排方式、起始纸签及处理方式。多页接续用于继续已有未齐页的纸签；没有可接续对象时只会显示开始新纸签。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186"/>
        <w:gridCol w:w="5067"/>
        <w:gridCol w:w="2683"/>
      </w:tblGrid>
      <w:tr>
        <w:trPr>
          <w:cantSplit/>
          <w:tblHeader/>
        </w:trPr>
        <w:tc>
          <w:tcPr>
            <w:tcW w:type="dxa" w:w="2186"/>
            <w:vAlign w:val="center"/>
            <w:shd w:fill="F0F0F0"/>
          </w:tcPr>
          <w:p>
            <w:pPr>
              <w:keepNext/>
              <w:spacing w:after="0" w:before="0" w:line="252" w:lineRule="auto"/>
              <w:jc w:val="center"/>
            </w:pPr>
            <w:r>
              <w:rPr>
                <w:b/>
                <w:sz w:val="21"/>
              </w:rPr>
              <w:t>处理方式</w:t>
            </w:r>
          </w:p>
        </w:tc>
        <w:tc>
          <w:tcPr>
            <w:tcW w:type="dxa" w:w="5067"/>
            <w:vAlign w:val="center"/>
            <w:shd w:fill="F0F0F0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21"/>
              </w:rPr>
              <w:t>检查后按 Enter 的行为</w:t>
            </w:r>
          </w:p>
        </w:tc>
        <w:tc>
          <w:tcPr>
            <w:tcW w:type="dxa" w:w="2683"/>
            <w:vAlign w:val="center"/>
            <w:shd w:fill="F0F0F0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21"/>
              </w:rPr>
              <w:t>适用情况</w:t>
            </w:r>
          </w:p>
        </w:tc>
      </w:tr>
      <w:tr>
        <w:trPr>
          <w:cantSplit/>
        </w:trPr>
        <w:tc>
          <w:tcPr>
            <w:tcW w:type="dxa" w:w="2186"/>
            <w:vAlign w:val="center"/>
          </w:tcPr>
          <w:p>
            <w:pPr>
              <w:keepNext w:val="0"/>
              <w:spacing w:after="0" w:before="0" w:line="252" w:lineRule="auto"/>
              <w:jc w:val="center"/>
            </w:pPr>
            <w:r>
              <w:rPr>
                <w:b w:val="0"/>
                <w:sz w:val="21"/>
              </w:rPr>
              <w:t>确认后逐张提交云端识别</w:t>
            </w:r>
          </w:p>
        </w:tc>
        <w:tc>
          <w:tcPr>
            <w:tcW w:type="dxa" w:w="5067"/>
            <w:vAlign w:val="center"/>
          </w:tcPr>
          <w:p>
            <w:pPr>
              <w:keepNext w:val="0"/>
              <w:spacing w:after="0" w:before="0" w:line="252" w:lineRule="auto"/>
            </w:pPr>
            <w:r>
              <w:rPr>
                <w:b w:val="0"/>
                <w:sz w:val="21"/>
              </w:rPr>
              <w:t>保存本页并立即加入独立流式队列，有空位即处理</w:t>
            </w:r>
          </w:p>
        </w:tc>
        <w:tc>
          <w:tcPr>
            <w:tcW w:type="dxa" w:w="2683"/>
            <w:vAlign w:val="center"/>
          </w:tcPr>
          <w:p>
            <w:pPr>
              <w:keepNext w:val="0"/>
              <w:spacing w:after="0" w:before="0" w:line="252" w:lineRule="auto"/>
            </w:pPr>
            <w:r>
              <w:rPr>
                <w:b w:val="0"/>
                <w:sz w:val="21"/>
              </w:rPr>
              <w:t>希望拍摄与识别同时进行</w:t>
            </w:r>
          </w:p>
        </w:tc>
      </w:tr>
      <w:tr>
        <w:trPr>
          <w:cantSplit/>
        </w:trPr>
        <w:tc>
          <w:tcPr>
            <w:tcW w:type="dxa" w:w="2186"/>
            <w:vAlign w:val="center"/>
          </w:tcPr>
          <w:p>
            <w:pPr>
              <w:keepNext w:val="0"/>
              <w:spacing w:after="0" w:before="0" w:line="252" w:lineRule="auto"/>
              <w:jc w:val="center"/>
            </w:pPr>
            <w:r>
              <w:rPr>
                <w:b w:val="0"/>
                <w:sz w:val="21"/>
              </w:rPr>
              <w:t>仅保存本地，稍后批量提交</w:t>
            </w:r>
          </w:p>
        </w:tc>
        <w:tc>
          <w:tcPr>
            <w:tcW w:type="dxa" w:w="5067"/>
            <w:vAlign w:val="center"/>
          </w:tcPr>
          <w:p>
            <w:pPr>
              <w:keepNext w:val="0"/>
              <w:spacing w:after="0" w:before="0" w:line="252" w:lineRule="auto"/>
            </w:pPr>
            <w:r>
              <w:rPr>
                <w:b w:val="0"/>
                <w:sz w:val="21"/>
              </w:rPr>
              <w:t>保存本页到本地图库，不调用云端</w:t>
            </w:r>
          </w:p>
        </w:tc>
        <w:tc>
          <w:tcPr>
            <w:tcW w:type="dxa" w:w="2683"/>
            <w:vAlign w:val="center"/>
          </w:tcPr>
          <w:p>
            <w:pPr>
              <w:keepNext w:val="0"/>
              <w:spacing w:after="0" w:before="0" w:line="252" w:lineRule="auto"/>
            </w:pPr>
            <w:r>
              <w:rPr>
                <w:b w:val="0"/>
                <w:sz w:val="21"/>
              </w:rPr>
              <w:t>先集中拍完，之后统一检查和提交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pPr/>
      <w:r>
        <w:rPr>
          <w:b w:val="0"/>
        </w:rPr>
        <w:t>开始采集后，镜头旁会醒目显示本张纸签和页数。放好对应页面后按 Enter 拍摄，检查清晰度、方向、页边与答题区，再按 Enter 确认。确认后默认等待2秒准备下一张；时间可在设置中改为0至60秒，准备就绪后仍由你按 Enter 拍摄。</w:t>
      </w:r>
    </w:p>
    <w:p>
      <w:pPr/>
      <w:r>
        <w:rPr>
          <w:b w:val="0"/>
        </w:rPr>
        <w:t>流式并发槽位独立设置，范围1至13，默认10。每页确认即入队，必要的跨页作答依赖齐页后处理。结果按照拍摄时的纸签和页位组织，后拍照片不会占用前面失败或尚未返回的位置。</w:t>
      </w:r>
    </w:p>
    <w:p>
      <w:pPr/>
      <w:r>
        <w:rPr>
          <w:b w:val="0"/>
        </w:rPr>
        <w:t>可以隐藏全屏拍摄面板，同时查看图库。图库入口旁显示所属任务、采集状态和下一页位，可随时显示面板或停止拍摄。Esc 停止采集并释放镜头；已确认的识别队列继续处理，未确认照片保留在本机。仅本地模式结束后，在图库点击“开始处理”统一提交，使用届时的批处理设置。</w:t>
      </w:r>
    </w:p>
    <w:p>
      <w:pPr>
        <w:pStyle w:val="Heading1"/>
      </w:pPr>
      <w:r>
        <w:rPr>
          <w:b w:val="0"/>
        </w:rPr>
        <w:t>6 相机预览与清晰度</w:t>
      </w:r>
    </w:p>
    <w:p>
      <w:pPr/>
      <w:r>
        <w:rPr>
          <w:b w:val="0"/>
        </w:rPr>
        <w:t>选择正确的内置或外置摄像头。“实时预览1920×1080”表示预览尺寸；快门另按设备支持情况请求最高可用原生分辨率，照片检查页显示实际尺寸。本机 Web Camera 已验证3840×2160拍照，实际可用模式取决于设备和驱动。</w:t>
      </w:r>
    </w:p>
    <w:p>
      <w:pPr/>
      <w:r>
        <w:rPr>
          <w:b w:val="0"/>
        </w:rPr>
        <w:t>预览保持原始比例，可切换完整画面、原始像素、缩放或大屏。右侧通过“拍摄概览”“相机参数”“画面说明”切换内容，纸签和拍摄键固定保留。缩放预览不会提高照片本身的清晰度。</w:t>
      </w:r>
    </w:p>
    <w:p>
      <w:pPr/>
      <w:r>
        <w:rPr>
          <w:b w:val="0"/>
        </w:rPr>
        <w:t>相机参数只显示设备支持的项目，可以设置自动或手动对焦、曝光等，检查读回值后保存本机配置。移动镜头、更改角度或灯光后应重新检查整页和四角细字：先让镜头正对纸面、压平试卷，再调整对焦和曝光。手动焦点与固定拍摄距离绑定；必要时恢复自动、重新对焦后再保存。</w:t>
      </w:r>
    </w:p>
    <w:p>
      <w:pPr/>
      <w:r>
        <w:rPr>
          <w:b w:val="0"/>
        </w:rPr>
        <w:t>连接卡住时先取消连接，再点击“重新初始化相机”；确认其他软件没有占用设备。程序只有收到可用新画面才允许拍照。关闭拍摄面板会释放其镜头；连接失败时已经拍好的照片仍保留。</w:t>
      </w:r>
    </w:p>
    <w:p>
      <w:pPr>
        <w:pStyle w:val="Heading1"/>
      </w:pPr>
      <w:r>
        <w:rPr>
          <w:b w:val="0"/>
        </w:rPr>
        <w:t>7 误拍、撤回与替换</w:t>
      </w:r>
    </w:p>
    <w:p>
      <w:pPr/>
      <w:r>
        <w:rPr>
          <w:b w:val="0"/>
        </w:rPr>
        <w:t>最近确认的照片可选择“撤回最近确认照片”，先查看弹窗中受影响页和编号，再确认撤回。满足安全条件时会回退到原纸签页位，便于重拍。</w:t>
      </w:r>
    </w:p>
    <w:p>
      <w:pPr/>
      <w:r>
        <w:rPr>
          <w:b w:val="0"/>
        </w:rPr>
        <w:t>中间照片使用“撤回本页识别”“选择正确照片替换”或“相机现场重拍”。中间页保留固定纸签和页位，后续照片顺序不被压缩。替换后自动进入检查，确认后弹出是否重新提交云端的提示，可使用 Enter 连续操作。仅本地模式下的照片继续保存本地，等待批量提交。</w:t>
      </w:r>
    </w:p>
    <w:p>
      <w:pPr/>
      <w:r>
        <w:rPr>
          <w:b w:val="0"/>
        </w:rPr>
        <w:t>撤回和替换可能取消在途任务、使依赖该页的跨页结果重新等待。迟到结果不能覆盖替换照片或教师修改；已经发送的云端内容和已经发生的额度无法撤销。存在教师修改或依赖限制时，先阅读弹窗列出的影响范围。</w:t>
      </w:r>
    </w:p>
    <w:p>
      <w:pPr>
        <w:pStyle w:val="Heading1"/>
      </w:pPr>
      <w:r>
        <w:rPr>
          <w:b w:val="0"/>
        </w:rPr>
        <w:t>8 教师复核</w:t>
      </w:r>
    </w:p>
    <w:p>
      <w:pPr/>
      <w:r>
        <w:rPr>
          <w:b w:val="0"/>
        </w:rPr>
        <w:t>从图库点击“开始复核”进入当前可见范围第一张，或点击某张的“进入复核详情页”。上下一页、上一份和下一份遵循进入时的图库筛选范围及顺序。点击题目导航会同时定位左图与右侧详情；“全部”恢复整页显示。</w:t>
      </w:r>
    </w:p>
    <w:p>
      <w:pPr/>
      <w:r>
        <w:rPr>
          <w:b w:val="0"/>
        </w:rPr>
        <w:t>对比“参考答案”和“识别出的学生答案”，通过顶部内容或计分单元判定正确、错误或漏答。明确作出上述判定后，书写状态在同一次操作中改为无问题，不需要再操作一次。已判错或漏答的旧记录，也不会仅因机器书写候选残留而阻止确认；原始候选和历史保留。</w:t>
      </w:r>
    </w:p>
    <w:p>
      <w:pPr/>
      <w:r>
        <w:rPr>
          <w:b w:val="0"/>
        </w:rPr>
        <w:t>真正内容未知、未确认正确且仍有书写疑点，或教师主动保留待核实的题目，仍会出现在“待核实”中。照片问题需要单独确认可判读，或标记重拍。若选择保留待核实并完成本页，该页不会得到完整最终成绩。</w:t>
      </w:r>
    </w:p>
    <w:p>
      <w:pPr/>
      <w:r>
        <w:rPr>
          <w:b w:val="0"/>
        </w:rPr>
        <w:t>确认本页后自动前进到下一张可见图片。已复核页的按钮会变为取消复核。图库支持多选确认和取消，并先预览可执行与拒绝数量；拒绝原因会指出具体题目或照片问题。明确的教师书写错误可单独设置，修改识别转录仅在需要记录实际笔迹时使用。</w:t>
      </w:r>
    </w:p>
    <w:p>
      <w:pPr>
        <w:pStyle w:val="Heading1"/>
      </w:pPr>
      <w:r>
        <w:rPr>
          <w:b w:val="0"/>
        </w:rPr>
        <w:t>9 撤销与快捷键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186"/>
        <w:gridCol w:w="5067"/>
        <w:gridCol w:w="2683"/>
      </w:tblGrid>
      <w:tr>
        <w:trPr>
          <w:cantSplit/>
          <w:tblHeader/>
        </w:trPr>
        <w:tc>
          <w:tcPr>
            <w:tcW w:type="dxa" w:w="2186"/>
            <w:vAlign w:val="center"/>
            <w:shd w:fill="F0F0F0"/>
          </w:tcPr>
          <w:p>
            <w:pPr>
              <w:keepNext/>
              <w:spacing w:after="0" w:before="0" w:line="252" w:lineRule="auto"/>
              <w:jc w:val="center"/>
            </w:pPr>
            <w:r>
              <w:rPr>
                <w:b/>
                <w:sz w:val="21"/>
              </w:rPr>
              <w:t>场景</w:t>
            </w:r>
          </w:p>
        </w:tc>
        <w:tc>
          <w:tcPr>
            <w:tcW w:type="dxa" w:w="5067"/>
            <w:vAlign w:val="center"/>
            <w:shd w:fill="F0F0F0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21"/>
              </w:rPr>
              <w:t>快捷键</w:t>
            </w:r>
          </w:p>
        </w:tc>
        <w:tc>
          <w:tcPr>
            <w:tcW w:type="dxa" w:w="2683"/>
            <w:vAlign w:val="center"/>
            <w:shd w:fill="F0F0F0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2186"/>
            <w:vAlign w:val="center"/>
          </w:tcPr>
          <w:p>
            <w:pPr>
              <w:keepNext w:val="0"/>
              <w:spacing w:after="0" w:before="0" w:line="252" w:lineRule="auto"/>
              <w:jc w:val="center"/>
            </w:pPr>
            <w:r>
              <w:rPr>
                <w:b w:val="0"/>
                <w:sz w:val="21"/>
              </w:rPr>
              <w:t>相机拍摄与检查</w:t>
            </w:r>
          </w:p>
        </w:tc>
        <w:tc>
          <w:tcPr>
            <w:tcW w:type="dxa" w:w="5067"/>
            <w:vAlign w:val="center"/>
          </w:tcPr>
          <w:p>
            <w:pPr>
              <w:keepNext w:val="0"/>
              <w:spacing w:after="0" w:before="0" w:line="252" w:lineRule="auto"/>
            </w:pPr>
            <w:r>
              <w:rPr>
                <w:b w:val="0"/>
                <w:sz w:val="21"/>
              </w:rPr>
              <w:t>Enter</w:t>
            </w:r>
          </w:p>
        </w:tc>
        <w:tc>
          <w:tcPr>
            <w:tcW w:type="dxa" w:w="2683"/>
            <w:vAlign w:val="center"/>
          </w:tcPr>
          <w:p>
            <w:pPr>
              <w:keepNext w:val="0"/>
              <w:spacing w:after="0" w:before="0" w:line="252" w:lineRule="auto"/>
            </w:pPr>
            <w:r>
              <w:rPr>
                <w:b w:val="0"/>
                <w:sz w:val="21"/>
              </w:rPr>
              <w:t>拍摄当前页或确认照片</w:t>
            </w:r>
          </w:p>
        </w:tc>
      </w:tr>
      <w:tr>
        <w:trPr>
          <w:cantSplit/>
        </w:trPr>
        <w:tc>
          <w:tcPr>
            <w:tcW w:type="dxa" w:w="2186"/>
            <w:vAlign w:val="center"/>
          </w:tcPr>
          <w:p>
            <w:pPr>
              <w:keepNext w:val="0"/>
              <w:spacing w:after="0" w:before="0" w:line="252" w:lineRule="auto"/>
              <w:jc w:val="center"/>
            </w:pPr>
            <w:r>
              <w:rPr>
                <w:b w:val="0"/>
                <w:sz w:val="21"/>
              </w:rPr>
              <w:t>流式采集</w:t>
            </w:r>
          </w:p>
        </w:tc>
        <w:tc>
          <w:tcPr>
            <w:tcW w:type="dxa" w:w="5067"/>
            <w:vAlign w:val="center"/>
          </w:tcPr>
          <w:p>
            <w:pPr>
              <w:keepNext w:val="0"/>
              <w:spacing w:after="0" w:before="0" w:line="252" w:lineRule="auto"/>
            </w:pPr>
            <w:r>
              <w:rPr>
                <w:b w:val="0"/>
                <w:sz w:val="21"/>
              </w:rPr>
              <w:t>Esc</w:t>
            </w:r>
          </w:p>
        </w:tc>
        <w:tc>
          <w:tcPr>
            <w:tcW w:type="dxa" w:w="2683"/>
            <w:vAlign w:val="center"/>
          </w:tcPr>
          <w:p>
            <w:pPr>
              <w:keepNext w:val="0"/>
              <w:spacing w:after="0" w:before="0" w:line="252" w:lineRule="auto"/>
            </w:pPr>
            <w:r>
              <w:rPr>
                <w:b w:val="0"/>
                <w:sz w:val="21"/>
              </w:rPr>
              <w:t>停止采集，保留已确认照片和未确认草稿</w:t>
            </w:r>
          </w:p>
        </w:tc>
      </w:tr>
      <w:tr>
        <w:trPr>
          <w:cantSplit/>
        </w:trPr>
        <w:tc>
          <w:tcPr>
            <w:tcW w:type="dxa" w:w="2186"/>
            <w:vAlign w:val="center"/>
          </w:tcPr>
          <w:p>
            <w:pPr>
              <w:keepNext w:val="0"/>
              <w:spacing w:after="0" w:before="0" w:line="252" w:lineRule="auto"/>
              <w:jc w:val="center"/>
            </w:pPr>
            <w:r>
              <w:rPr>
                <w:b w:val="0"/>
                <w:sz w:val="21"/>
              </w:rPr>
              <w:t>复核与支持历史的编辑区</w:t>
            </w:r>
          </w:p>
        </w:tc>
        <w:tc>
          <w:tcPr>
            <w:tcW w:type="dxa" w:w="5067"/>
            <w:vAlign w:val="center"/>
          </w:tcPr>
          <w:p>
            <w:pPr>
              <w:keepNext w:val="0"/>
              <w:spacing w:after="0" w:before="0" w:line="252" w:lineRule="auto"/>
            </w:pPr>
            <w:r>
              <w:rPr>
                <w:b w:val="0"/>
                <w:sz w:val="21"/>
              </w:rPr>
              <w:t>Ctrl+Z</w:t>
            </w:r>
          </w:p>
        </w:tc>
        <w:tc>
          <w:tcPr>
            <w:tcW w:type="dxa" w:w="2683"/>
            <w:vAlign w:val="center"/>
          </w:tcPr>
          <w:p>
            <w:pPr>
              <w:keepNext w:val="0"/>
              <w:spacing w:after="0" w:before="0" w:line="252" w:lineRule="auto"/>
            </w:pPr>
            <w:r>
              <w:rPr>
                <w:b w:val="0"/>
                <w:sz w:val="21"/>
              </w:rPr>
              <w:t>撤销最近操作</w:t>
            </w:r>
          </w:p>
        </w:tc>
      </w:tr>
      <w:tr>
        <w:trPr>
          <w:cantSplit/>
        </w:trPr>
        <w:tc>
          <w:tcPr>
            <w:tcW w:type="dxa" w:w="2186"/>
            <w:vAlign w:val="center"/>
          </w:tcPr>
          <w:p>
            <w:pPr>
              <w:keepNext w:val="0"/>
              <w:spacing w:after="0" w:before="0" w:line="252" w:lineRule="auto"/>
              <w:jc w:val="center"/>
            </w:pPr>
            <w:r>
              <w:rPr>
                <w:b w:val="0"/>
                <w:sz w:val="21"/>
              </w:rPr>
              <w:t>复核与支持历史的编辑区</w:t>
            </w:r>
          </w:p>
        </w:tc>
        <w:tc>
          <w:tcPr>
            <w:tcW w:type="dxa" w:w="5067"/>
            <w:vAlign w:val="center"/>
          </w:tcPr>
          <w:p>
            <w:pPr>
              <w:keepNext w:val="0"/>
              <w:spacing w:after="0" w:before="0" w:line="252" w:lineRule="auto"/>
            </w:pPr>
            <w:r>
              <w:rPr>
                <w:b w:val="0"/>
                <w:sz w:val="21"/>
              </w:rPr>
              <w:t>Ctrl+Y 或 Ctrl+Shift+Z</w:t>
            </w:r>
          </w:p>
        </w:tc>
        <w:tc>
          <w:tcPr>
            <w:tcW w:type="dxa" w:w="2683"/>
            <w:vAlign w:val="center"/>
          </w:tcPr>
          <w:p>
            <w:pPr>
              <w:keepNext w:val="0"/>
              <w:spacing w:after="0" w:before="0" w:line="252" w:lineRule="auto"/>
            </w:pPr>
            <w:r>
              <w:rPr>
                <w:b w:val="0"/>
                <w:sz w:val="21"/>
              </w:rPr>
              <w:t>重做</w:t>
            </w:r>
          </w:p>
        </w:tc>
      </w:tr>
      <w:tr>
        <w:trPr>
          <w:cantSplit/>
        </w:trPr>
        <w:tc>
          <w:tcPr>
            <w:tcW w:type="dxa" w:w="2186"/>
            <w:vAlign w:val="center"/>
          </w:tcPr>
          <w:p>
            <w:pPr>
              <w:keepNext w:val="0"/>
              <w:spacing w:after="0" w:before="0" w:line="252" w:lineRule="auto"/>
              <w:jc w:val="center"/>
            </w:pPr>
            <w:r>
              <w:rPr>
                <w:b w:val="0"/>
                <w:sz w:val="21"/>
              </w:rPr>
              <w:t>流式面板</w:t>
            </w:r>
          </w:p>
        </w:tc>
        <w:tc>
          <w:tcPr>
            <w:tcW w:type="dxa" w:w="5067"/>
            <w:vAlign w:val="center"/>
          </w:tcPr>
          <w:p>
            <w:pPr>
              <w:keepNext w:val="0"/>
              <w:spacing w:after="0" w:before="0" w:line="252" w:lineRule="auto"/>
            </w:pPr>
            <w:r>
              <w:rPr>
                <w:b w:val="0"/>
                <w:sz w:val="21"/>
              </w:rPr>
              <w:t>Ctrl+Z</w:t>
            </w:r>
          </w:p>
        </w:tc>
        <w:tc>
          <w:tcPr>
            <w:tcW w:type="dxa" w:w="2683"/>
            <w:vAlign w:val="center"/>
          </w:tcPr>
          <w:p>
            <w:pPr>
              <w:keepNext w:val="0"/>
              <w:spacing w:after="0" w:before="0" w:line="252" w:lineRule="auto"/>
            </w:pPr>
            <w:r>
              <w:rPr>
                <w:b w:val="0"/>
                <w:sz w:val="21"/>
              </w:rPr>
              <w:t>预览撤回最近确认照片，弹窗确认后执行</w:t>
            </w:r>
          </w:p>
        </w:tc>
      </w:tr>
    </w:tbl>
    <w:p>
      <w:pPr>
        <w:spacing w:after="40" w:before="0" w:line="120" w:lineRule="auto"/>
      </w:pPr>
      <w:r>
        <w:rPr>
          <w:sz w:val="4"/>
        </w:rPr>
      </w:r>
    </w:p>
    <w:p>
      <w:pPr/>
      <w:r>
        <w:rPr>
          <w:b w:val="0"/>
        </w:rPr>
        <w:t>文字输入框中的快捷键优先编辑文字。相机参数、选择框或按钮正在获得焦点时，Enter 按该控件的常见方式执行；拍摄或检查区域获得焦点时可使用全程 Enter 操作。</w:t>
      </w:r>
    </w:p>
    <w:p>
      <w:pPr>
        <w:pStyle w:val="Heading1"/>
      </w:pPr>
      <w:r>
        <w:rPr>
          <w:b w:val="0"/>
        </w:rPr>
        <w:t>10 失败与继续处理</w:t>
      </w:r>
    </w:p>
    <w:p>
      <w:pPr/>
      <w:r>
        <w:rPr>
          <w:b w:val="0"/>
        </w:rPr>
        <w:t>图库会显示云端处理中数量、未判分页面、失败页和具体原因，处理历史默认收起。普通单页失败保留原位，其他页面继续。同一连续任务中相同错误码连续出现3次，会终止本轮并提示；成功页面或其他错误会打断连续计数。账户额度、登录等全局问题会立即暂停。</w:t>
      </w:r>
    </w:p>
    <w:p>
      <w:pPr/>
      <w:r>
        <w:rPr>
          <w:b w:val="0"/>
        </w:rPr>
        <w:t>检查原因后点击“检查后继续未完成页面”，确认后优先复用匹配的已有识别结果，只补做缺失阶段。继续仍沿用原任务冻结的账户、模型和复看设置；需要云端处理的缺失阶段会产生调用。若想使用新设置，应另行明确提交新任务。</w:t>
      </w:r>
    </w:p>
    <w:p>
      <w:pPr/>
      <w:r>
        <w:rPr>
          <w:b w:val="0"/>
        </w:rPr>
        <w:t>可选定位框格式错误会被局部弃用，并采用已确认作答区显示；没有可靠位置时保留待核实。内容或必要结构错误仍会拒绝该页。出现本地服务断开时保留当前界面修改，先尝试重试连接，再按界面提示重启本地服务；恢复后检查未完成队列，避免反复重复提交。</w:t>
      </w:r>
    </w:p>
    <w:p>
      <w:pPr>
        <w:pStyle w:val="Heading1"/>
      </w:pPr>
      <w:r>
        <w:rPr>
          <w:b w:val="0"/>
        </w:rPr>
        <w:t>11 结果统计与备份</w:t>
      </w:r>
    </w:p>
    <w:p>
      <w:pPr/>
      <w:r>
        <w:rPr>
          <w:b w:val="0"/>
        </w:rPr>
        <w:t>完整复核后在“结果统计”查看成绩与易错题。题目使用完整页码、大题和小题名称，可通过大图定位。易错分析按照题型显示常见错误选项、填写项或其他错误分布，统计保留所用答案和规则版本。</w:t>
      </w:r>
    </w:p>
    <w:p>
      <w:pPr/>
      <w:r>
        <w:rPr>
          <w:b w:val="0"/>
        </w:rPr>
        <w:t>支持 CSV、XLSX、PDF、批注图片和 JSON 导出，导出结果是当时的快照。定期在设置与资料库中备份；备份不包含账户登录凭据。卸载或升级程序前也建议保留最新资料库备份。</w:t>
      </w:r>
    </w:p>
    <w:p>
      <w:pPr>
        <w:pStyle w:val="Heading1"/>
      </w:pPr>
      <w:r>
        <w:rPr>
          <w:b w:val="0"/>
        </w:rPr>
        <w:t>12 连接故障与组件更新</w:t>
      </w:r>
    </w:p>
    <w:p>
      <w:pPr/>
      <w:r>
        <w:rPr>
          <w:b w:val="0"/>
        </w:rPr>
        <w:t>账户列表表示本副本保存过账户，不代表已连接。未连接或登录存储损坏时无法读取额度，可点击“重新登录”，在弹窗确认清除该账户失效登录，再完成官方登录；作业资料、原账户关联与其他账户保留。登录成功后自动刷新额度，官方暂未返回时明确提示，不能当作额度为零。删除及清空账户支持损坏存储和Windows超长插件缓存，失败可重试。</w:t>
      </w:r>
    </w:p>
    <w:p>
      <w:pPr/>
      <w:r>
        <w:rPr>
          <w:b w:val="0"/>
        </w:rPr>
        <w:t>路由超时不等于账户失效；取消登录、删除账户与退出不依赖云端。目录加载失败请刷新，未列出模型请更新程序，目录不代表账户权限。修复版支持gpt-6.1-sol，不自动换模型或调用测试。</w:t>
      </w:r>
    </w:p>
    <w:p>
      <w:pPr/>
      <w:r>
        <w:rPr>
          <w:b w:val="0"/>
        </w:rPr>
        <w:t>设置中的“启动时检查Codex CLI更新（有更新时询问）”默认关闭。开启后仅启动检查一次；点击“刷新模型目录”始终检查，无论开关状态。发现兼容更新时弹窗列出版本和下载大小，确认后才下载。</w:t>
      </w:r>
    </w:p>
    <w:p>
      <w:pPr/>
      <w:r>
        <w:rPr>
          <w:b w:val="0"/>
        </w:rPr>
        <w:t>下载校验SHA256并测试接口，不调用模型。处理、采集或登录期间等待空闲后切换，失败回退。可在设置中查看进度、取消尚未切换的更新。网络中断后重新确认可断点续传，仍核验完整文件。只作用于本副本，账户与作业保留；当前支持0.163.x稳定版，超出兼容系列须升级主程序。实测边界见源码V1.4.2_MODEL_FIX_REPORT.m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Fonts w:ascii="Calibri" w:hAnsi="Calibri" w:eastAsia="宋体" w:cs="Calibri"/>
      <w:rPr>
        <w:rFonts w:ascii="Calibri" w:hAnsi="Calibri"/>
        <w:color w:val="000000"/>
        <w:sz w:val="18"/>
      </w:rPr>
      <w:t xml:space="preserve">第 </w:t>
    </w:r>
    <w:fldSimple w:instr="PAGE"/>
    <w:r>
      <w:rFonts w:ascii="Calibri" w:hAnsi="Calibri" w:eastAsia="宋体" w:cs="Calibri"/>
      <w:rPr>
        <w:rFonts w:ascii="Calibri" w:hAnsi="Calibri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Fonts w:ascii="Calibri" w:hAnsi="Calibri" w:eastAsia="宋体" w:cs="Calibri"/>
      <w:rPr>
        <w:rFonts w:ascii="Calibri" w:hAnsi="Calibri"/>
        <w:color w:val="000000"/>
        <w:sz w:val="18"/>
      </w:rPr>
      <w:t>AutoReview 软件使用说明  v1.4.2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rFonts w:ascii="Calibri" w:hAnsi="Calibri" w:eastAsia="宋体" w:cs="Calibri"/>
    <w:name w:val="Normal"/>
    <w:qFormat/>
    <w:rsid w:val="00FC693F"/>
    <w:pPr>
      <w:widowControl/>
      <w:spacing w:after="10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rFonts w:ascii="Calibri" w:hAnsi="Calibri" w:eastAsia="黑体" w:cs="Calibri"/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rFonts w:ascii="Calibri" w:hAnsi="Calibri" w:eastAsia="黑体" w:cs="Calibri"/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rFonts w:ascii="Calibri" w:hAnsi="Calibri" w:eastAsia="黑体" w:cs="Calibri"/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rFonts w:ascii="Calibri" w:hAnsi="Calibri" w:eastAsia="黑体" w:cs="Calibri"/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rFonts w:ascii="Calibri" w:hAnsi="Calibri" w:eastAsia="宋体" w:cs="Calibri"/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rFonts w:ascii="Calibri" w:hAnsi="Calibri" w:eastAsia="宋体" w:cs="Calibri"/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AutoReview 软件使用说明</dc:title>
  <dc:subject>AutoReview v1.4.2 教师操作与故障恢复</dc:subject>
  <dc:creator>AutoReview</dc:creator>
  <cp:keywords>PRD, 多页作业, 可恢复批处理, 迭代日志, v1.4.2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