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600"/>
      </w:pPr>
    </w:p>
    <w:p>
      <w:pPr>
        <w:spacing w:line="600"/>
      </w:pPr>
    </w:p>
    <w:p>
      <w:pPr>
        <w:spacing w:line="600"/>
      </w:pPr>
    </w:p>
    <w:p>
      <w:pPr>
        <w:pStyle w:val="Heading1"/>
        <w:spacing w:after="200" w:before="400" w:line="400"/>
        <w:jc w:val="center"/>
      </w:pPr>
      <w:r>
        <w:t xml:space="preserve">RECONIX</w:t>
      </w:r>
    </w:p>
    <w:p>
      <w:pPr>
        <w:spacing w:after="600" w:before="0" w:line="360"/>
        <w:jc w:val="center"/>
      </w:pPr>
      <w:r>
        <w:t xml:space="preserve">National SIM-NIN-BVN Reconciliation Platform</w:t>
      </w:r>
    </w:p>
    <w:p>
      <w:pPr>
        <w:spacing w:after="600" w:before="600" w:line="360"/>
        <w:jc w:val="center"/>
      </w:pPr>
      <w:r>
        <w:t xml:space="preserve">Project Proposal</w:t>
      </w:r>
    </w:p>
    <w:p>
      <w:pPr>
        <w:spacing w:line="600"/>
      </w:pPr>
    </w:p>
    <w:p>
      <w:pPr>
        <w:spacing w:line="600"/>
      </w:pPr>
    </w:p>
    <w:p>
      <w:pPr>
        <w:spacing w:line="600"/>
      </w:pPr>
    </w:p>
    <w:p>
      <w:pPr>
        <w:spacing w:after="200" w:before="400" w:line="360"/>
        <w:jc w:val="center"/>
      </w:pPr>
      <w:r>
        <w:t xml:space="preserve">[Organization Name]</w:t>
      </w:r>
    </w:p>
    <w:p>
      <w:pPr>
        <w:spacing w:after="200" w:before="0" w:line="360"/>
        <w:jc w:val="center"/>
      </w:pPr>
      <w:r>
        <w:t xml:space="preserve">Date: March 22, 2026</w:t>
      </w:r>
    </w:p>
    <w:p>
      <w:pPr>
        <w:spacing w:after="400" w:before="0" w:line="360"/>
        <w:jc w:val="center"/>
      </w:pPr>
      <w:r>
        <w:t xml:space="preserve">Duration: 12 Months</w:t>
      </w:r>
    </w:p>
    <w:r>
      <w:br w:type="page"/>
    </w:r>
    <w:p>
      <w:pPr>
        <w:pStyle w:val="Heading1"/>
        <w:spacing w:after="400" w:before="0" w:line="360"/>
      </w:pPr>
      <w:r>
        <w:t xml:space="preserve">Table of Contents</w:t>
      </w:r>
    </w:p>
    <w:p>
      <w:pPr>
        <w:spacing w:after="200" w:before="0" w:line="360"/>
      </w:pPr>
      <w:r>
        <w:t xml:space="preserve">1. Executive Summary</w:t>
      </w:r>
    </w:p>
    <w:p>
      <w:pPr>
        <w:spacing w:after="200" w:before="0" w:line="360"/>
      </w:pPr>
      <w:r>
        <w:t xml:space="preserve">2. Background and Context</w:t>
      </w:r>
    </w:p>
    <w:p>
      <w:pPr>
        <w:spacing w:after="200" w:before="0" w:line="360"/>
      </w:pPr>
      <w:r>
        <w:t xml:space="preserve">3. Problem Statement</w:t>
      </w:r>
    </w:p>
    <w:p>
      <w:pPr>
        <w:spacing w:after="200" w:before="0" w:line="360"/>
      </w:pPr>
      <w:r>
        <w:t xml:space="preserve">4. Proposed Solution</w:t>
      </w:r>
    </w:p>
    <w:p>
      <w:pPr>
        <w:spacing w:after="200" w:before="0" w:line="360"/>
      </w:pPr>
      <w:r>
        <w:t xml:space="preserve">5. Stakeholder Analysis</w:t>
      </w:r>
    </w:p>
    <w:p>
      <w:pPr>
        <w:spacing w:after="200" w:before="0" w:line="360"/>
      </w:pPr>
      <w:r>
        <w:t xml:space="preserve">6. Implementation Timeline</w:t>
      </w:r>
    </w:p>
    <w:p>
      <w:pPr>
        <w:spacing w:after="200" w:before="0" w:line="360"/>
      </w:pPr>
      <w:r>
        <w:t xml:space="preserve">7. Budget Estimate</w:t>
      </w:r>
    </w:p>
    <w:p>
      <w:pPr>
        <w:spacing w:after="200" w:before="0" w:line="360"/>
      </w:pPr>
      <w:r>
        <w:t xml:space="preserve">8. Risk Assessment</w:t>
      </w:r>
    </w:p>
    <w:p>
      <w:pPr>
        <w:spacing w:after="200" w:before="0" w:line="360"/>
      </w:pPr>
      <w:r>
        <w:t xml:space="preserve">9. Expected Benefits</w:t>
      </w:r>
    </w:p>
    <w:p>
      <w:pPr>
        <w:spacing w:after="400" w:before="0" w:line="360"/>
      </w:pPr>
      <w:r>
        <w:t xml:space="preserve">10. Conclusion and Recommendations</w:t>
      </w:r>
    </w:p>
    <w:r>
      <w:br w:type="page"/>
    </w:r>
    <w:p>
      <w:pPr>
        <w:pStyle w:val="Heading1"/>
        <w:spacing w:after="300" w:before="0" w:line="360"/>
      </w:pPr>
      <w:r>
        <w:t xml:space="preserve">1. Executive Summary</w:t>
      </w:r>
    </w:p>
    <w:p>
      <w:pPr>
        <w:spacing w:after="300" w:before="0" w:line="360"/>
      </w:pPr>
      <w:r>
        <w:t xml:space="preserve">The Reconix platform addresses a critical identity security gap in Nigeria's telecommunications and banking infrastructure. When telecom operators recycle inactive phone numbers after approximately 180 days, these numbers often retain linkages to original owners' National Identification Numbers (NINs) and Bank Verification Numbers (BVNs) in national databases. This mismatch creates significant risks including identity fraud, unauthorized access to financial services, and regulatory non-compliance.</w:t>
      </w:r>
    </w:p>
    <w:p>
      <w:pPr>
        <w:spacing w:after="300" w:before="0" w:line="360"/>
      </w:pPr>
      <w:r>
        <w:t xml:space="preserve">Reconix is a comprehensive reconciliation platform that automatically detects, flags, and remediates stale identity linkages across telecommunications, banking, and national identification systems. By orchestrating data flows between the Nigerian Communications Commission (NCC), National Identity Management Commission (NIMC), Nigerian Inter-Bank Settlement System (NIBSS), Central Bank of Nigeria (CBN), telecom operators, and commercial banks, Reconix resolves identity conflicts before they escalate into fraud or regulatory violations.</w:t>
      </w:r>
    </w:p>
    <w:p>
      <w:pPr>
        <w:spacing w:after="200" w:before="0" w:line="360"/>
      </w:pPr>
      <w:r>
        <w:t xml:space="preserve">Implementation across three phases over 12 months will result in:</w:t>
      </w:r>
    </w:p>
    <w:p>
      <w:pPr>
        <w:pStyle w:val="ListParagraph"/>
        <w:numPr>
          <w:ilvl w:val="0"/>
          <w:numId w:val="1"/>
        </w:numPr>
        <w:spacing w:after="150" w:before="0" w:line="360"/>
      </w:pPr>
      <w:r>
        <w:t xml:space="preserve">Elimination of 99% of orphaned identity linkages from recycled SIM cards</w:t>
      </w:r>
    </w:p>
    <w:p>
      <w:pPr>
        <w:pStyle w:val="ListParagraph"/>
        <w:numPr>
          <w:ilvl w:val="0"/>
          <w:numId w:val="1"/>
        </w:numPr>
        <w:spacing w:after="150" w:before="0" w:line="360"/>
      </w:pPr>
      <w:r>
        <w:t xml:space="preserve">Prevention of estimated ₦8.2 billion in annual fraud losses</w:t>
      </w:r>
    </w:p>
    <w:p>
      <w:pPr>
        <w:pStyle w:val="ListParagraph"/>
        <w:numPr>
          <w:ilvl w:val="0"/>
          <w:numId w:val="1"/>
        </w:numPr>
        <w:spacing w:after="150" w:before="0" w:line="360"/>
      </w:pPr>
      <w:r>
        <w:t xml:space="preserve">Resolution of 2.4 million identity conflict cases within first year</w:t>
      </w:r>
    </w:p>
    <w:p>
      <w:pPr>
        <w:pStyle w:val="ListParagraph"/>
        <w:numPr>
          <w:ilvl w:val="0"/>
          <w:numId w:val="1"/>
        </w:numPr>
        <w:spacing w:after="300" w:before="0" w:line="360"/>
      </w:pPr>
      <w:r>
        <w:t xml:space="preserve">Full regulatory compliance with CBN Know-Your-Customer (KYC) guidelines</w:t>
      </w:r>
    </w:p>
    <w:p>
      <w:pPr>
        <w:pStyle w:val="Heading1"/>
        <w:spacing w:after="300" w:before="400" w:line="360"/>
      </w:pPr>
      <w:r>
        <w:t xml:space="preserve">2. Background and Context</w:t>
      </w:r>
    </w:p>
    <w:p>
      <w:pPr>
        <w:pStyle w:val="Heading2"/>
        <w:spacing w:after="200" w:before="200" w:line="360"/>
      </w:pPr>
      <w:r>
        <w:t xml:space="preserve">2.1 Nigeria's Identity Linkage Framework</w:t>
      </w:r>
    </w:p>
    <w:p>
      <w:pPr>
        <w:spacing w:after="300" w:before="0" w:line="360"/>
      </w:pPr>
      <w:r>
        <w:t xml:space="preserve">Nigerian financial and telecommunications regulations mandate that all SIM card activations and bank accounts be linked to verified National Identification Numbers (NINs). The NIMC maintains the authoritative NIN registry, while the Central Bank of Nigeria requires all financial institutions to maintain Bank Verification Number (BVN) linkages. These dual requirements create a complex identity ecosystem where a single SIM card may carry multiple database references.</w:t>
      </w:r>
    </w:p>
    <w:p>
      <w:pPr>
        <w:pStyle w:val="Heading2"/>
        <w:spacing w:after="200" w:before="200" w:line="360"/>
      </w:pPr>
      <w:r>
        <w:t xml:space="preserve">2.2 SIM Card Recycling Practices</w:t>
      </w:r>
    </w:p>
    <w:p>
      <w:pPr>
        <w:spacing w:after="300" w:before="0" w:line="360"/>
      </w:pPr>
      <w:r>
        <w:t xml:space="preserve">Nigerian telecommunications regulations permit recycling of phone numbers after 180 days of inactivity to manage the finite phone number pool across four major operators (MTN, Airtel, Glo, 9Mobile). Each month, an estimated 150,000-200,000 phone numbers are recycled and reassigned to new subscribers. However, when a number is recycled, the legacy identity linkages (original owner's NIN, BVN, KYC records) persist in telecom, banking, and national databases unless explicitly delisted.</w:t>
      </w:r>
    </w:p>
    <w:p>
      <w:pPr>
        <w:pStyle w:val="Heading2"/>
        <w:spacing w:after="200" w:before="200" w:line="360"/>
      </w:pPr>
      <w:r>
        <w:t xml:space="preserve">2.3 Current System Gaps</w:t>
      </w:r>
    </w:p>
    <w:p>
      <w:pPr>
        <w:spacing w:after="150" w:before="0" w:line="360"/>
      </w:pPr>
      <w:r>
        <w:t xml:space="preserve">Today, there is no systematic mechanism to:</w:t>
      </w:r>
    </w:p>
    <w:p>
      <w:pPr>
        <w:pStyle w:val="ListParagraph"/>
        <w:numPr>
          <w:ilvl w:val="0"/>
          <w:numId w:val="1"/>
        </w:numPr>
        <w:spacing w:after="150" w:before="0" w:line="360"/>
      </w:pPr>
      <w:r>
        <w:t xml:space="preserve">Detect when a SIM number has been recycled and reassigned</w:t>
      </w:r>
    </w:p>
    <w:p>
      <w:pPr>
        <w:pStyle w:val="ListParagraph"/>
        <w:numPr>
          <w:ilvl w:val="0"/>
          <w:numId w:val="1"/>
        </w:numPr>
        <w:spacing w:after="150" w:before="0" w:line="360"/>
      </w:pPr>
      <w:r>
        <w:t xml:space="preserve">Automatically identify stale identity linkages in connected databases</w:t>
      </w:r>
    </w:p>
    <w:p>
      <w:pPr>
        <w:pStyle w:val="ListParagraph"/>
        <w:numPr>
          <w:ilvl w:val="0"/>
          <w:numId w:val="1"/>
        </w:numPr>
        <w:spacing w:after="150" w:before="0" w:line="360"/>
      </w:pPr>
      <w:r>
        <w:t xml:space="preserve">Notify relevant stakeholders (banks, NIMC, CBN) of conflicts</w:t>
      </w:r>
    </w:p>
    <w:p>
      <w:pPr>
        <w:pStyle w:val="ListParagraph"/>
        <w:numPr>
          <w:ilvl w:val="0"/>
          <w:numId w:val="1"/>
        </w:numPr>
        <w:spacing w:after="300" w:before="0" w:line="360"/>
      </w:pPr>
      <w:r>
        <w:t xml:space="preserve">Remediate linkages in a coordinated, auditable manner</w:t>
      </w:r>
    </w:p>
    <w:r>
      <w:br w:type="page"/>
    </w:r>
    <w:p>
      <w:pPr>
        <w:pStyle w:val="Heading1"/>
        <w:spacing w:after="300" w:before="0" w:line="360"/>
      </w:pPr>
      <w:r>
        <w:t xml:space="preserve">3. Problem Statement</w:t>
      </w:r>
    </w:p>
    <w:p>
      <w:pPr>
        <w:pStyle w:val="Heading2"/>
        <w:spacing w:after="200" w:before="200" w:line="360"/>
      </w:pPr>
      <w:r>
        <w:t xml:space="preserve">3.1 Core Problem</w:t>
      </w:r>
    </w:p>
    <w:p>
      <w:pPr>
        <w:spacing w:after="300" w:before="0" w:line="360"/>
      </w:pPr>
      <w:r>
        <w:t xml:space="preserve">Recycled SIM cards with legacy identity linkages create a critical security vulnerability affecting millions of Nigerians. When a phone number is reassigned to a new owner, the previous owner's NIN and BVN remain linked in at least one (and often multiple) database systems. This creates scenarios where:</w:t>
      </w:r>
    </w:p>
    <w:p>
      <w:pPr>
        <w:pStyle w:val="ListParagraph"/>
        <w:numPr>
          <w:ilvl w:val="0"/>
          <w:numId w:val="1"/>
        </w:numPr>
        <w:spacing w:after="150" w:before="0" w:line="360"/>
      </w:pPr>
      <w:r>
        <w:t xml:space="preserve">New SIM owners receive OTPs and authentication codes intended for the previous owner</w:t>
      </w:r>
    </w:p>
    <w:p>
      <w:pPr>
        <w:pStyle w:val="ListParagraph"/>
        <w:numPr>
          <w:ilvl w:val="0"/>
          <w:numId w:val="1"/>
        </w:numPr>
        <w:spacing w:after="150" w:before="0" w:line="360"/>
      </w:pPr>
      <w:r>
        <w:t xml:space="preserve">Bank accounts, mobile money wallets, and government services remain accessible via the recycled number</w:t>
      </w:r>
    </w:p>
    <w:p>
      <w:pPr>
        <w:pStyle w:val="ListParagraph"/>
        <w:numPr>
          <w:ilvl w:val="0"/>
          <w:numId w:val="1"/>
        </w:numPr>
        <w:spacing w:after="150" w:before="0" w:line="360"/>
      </w:pPr>
      <w:r>
        <w:t xml:space="preserve">New owners cannot link their own NIN/BVN to the recycled number due to conflict detection</w:t>
      </w:r>
    </w:p>
    <w:p>
      <w:pPr>
        <w:pStyle w:val="ListParagraph"/>
        <w:numPr>
          <w:ilvl w:val="0"/>
          <w:numId w:val="1"/>
        </w:numPr>
        <w:spacing w:after="300" w:before="0" w:line="360"/>
      </w:pPr>
      <w:r>
        <w:t xml:space="preserve">Previous owners lose access to critical financial and government services without understanding why</w:t>
      </w:r>
    </w:p>
    <w:p>
      <w:pPr>
        <w:pStyle w:val="Heading2"/>
        <w:spacing w:after="200" w:before="200" w:line="360"/>
      </w:pPr>
      <w:r>
        <w:t xml:space="preserve">3.2 Impact Assessment</w:t>
      </w:r>
    </w:p>
    <w:p>
      <w:pPr>
        <w:spacing w:after="150" w:before="0" w:line="360"/>
      </w:pPr>
      <w:r>
        <w:t xml:space="preserve">Estimated 2.4 million citizens currently experience identity conflict due to recycled SIM cards. This translates to:</w:t>
      </w:r>
    </w:p>
    <w:p>
      <w:pPr>
        <w:pStyle w:val="ListParagraph"/>
        <w:numPr>
          <w:ilvl w:val="0"/>
          <w:numId w:val="1"/>
        </w:numPr>
        <w:spacing w:after="150" w:before="0" w:line="360"/>
      </w:pPr>
      <w:r>
        <w:t xml:space="preserve">₦8.2 billion in annual fraudulent transactions leveraging recycled numbers and legacy identity linkages</w:t>
      </w:r>
    </w:p>
    <w:p>
      <w:pPr>
        <w:pStyle w:val="ListParagraph"/>
        <w:numPr>
          <w:ilvl w:val="0"/>
          <w:numId w:val="1"/>
        </w:numPr>
        <w:spacing w:after="150" w:before="0" w:line="360"/>
      </w:pPr>
      <w:r>
        <w:t xml:space="preserve">340,000+ documented cases of identity fraud reported to CBN annually</w:t>
      </w:r>
    </w:p>
    <w:p>
      <w:pPr>
        <w:pStyle w:val="ListParagraph"/>
        <w:numPr>
          <w:ilvl w:val="0"/>
          <w:numId w:val="1"/>
        </w:numPr>
        <w:spacing w:after="150" w:before="0" w:line="360"/>
      </w:pPr>
      <w:r>
        <w:t xml:space="preserve">52% of recycled numbers subject to unauthorized financial transactions within 30 days of reassignment</w:t>
      </w:r>
    </w:p>
    <w:p>
      <w:pPr>
        <w:pStyle w:val="ListParagraph"/>
        <w:numPr>
          <w:ilvl w:val="0"/>
          <w:numId w:val="1"/>
        </w:numPr>
        <w:spacing w:after="300" w:before="0" w:line="360"/>
      </w:pPr>
      <w:r>
        <w:t xml:space="preserve">98% of banks manually managing identity conflicts with no automated detection</w:t>
      </w:r>
    </w:p>
    <w:r>
      <w:br w:type="page"/>
    </w:r>
    <w:p>
      <w:pPr>
        <w:pStyle w:val="Heading1"/>
        <w:spacing w:after="300" w:before="0" w:line="360"/>
      </w:pPr>
      <w:r>
        <w:t xml:space="preserve">4. Proposed Solution: Reconix Platform</w:t>
      </w:r>
    </w:p>
    <w:p>
      <w:pPr>
        <w:pStyle w:val="Heading2"/>
        <w:spacing w:after="200" w:before="200" w:line="360"/>
      </w:pPr>
      <w:r>
        <w:t xml:space="preserve">4.1 Platform Overview</w:t>
      </w:r>
    </w:p>
    <w:p>
      <w:pPr>
        <w:spacing w:after="200" w:before="0" w:line="360"/>
      </w:pPr>
      <w:r>
        <w:t xml:space="preserve">Reconix is a cloud-based identity reconciliation platform that serves as the trusted intermediary between telecommunications operators, national identification authorities, banking systems, and regulatory bodies. The platform operates through three core functions:</w:t>
      </w:r>
    </w:p>
    <w:p>
      <w:pPr>
        <w:pStyle w:val="ListParagraph"/>
        <w:numPr>
          <w:ilvl w:val="0"/>
          <w:numId w:val="1"/>
        </w:numPr>
        <w:spacing w:after="150" w:before="0" w:line="360"/>
      </w:pPr>
      <w:r>
        <w:t xml:space="preserve">Real-time Reconciliation: Monitors SIM recycling events and automatically cross-references identity linkages across NIMC, NIBSS, and banking databases</w:t>
      </w:r>
    </w:p>
    <w:p>
      <w:pPr>
        <w:pStyle w:val="ListParagraph"/>
        <w:numPr>
          <w:ilvl w:val="0"/>
          <w:numId w:val="1"/>
        </w:numPr>
        <w:spacing w:after="150" w:before="0" w:line="360"/>
      </w:pPr>
      <w:r>
        <w:t xml:space="preserve">Conflict Detection: Identifies mismatches between current SIM owners and NIN/BVN records within 15 minutes of number reassignment</w:t>
      </w:r>
    </w:p>
    <w:p>
      <w:pPr>
        <w:pStyle w:val="ListParagraph"/>
        <w:numPr>
          <w:ilvl w:val="0"/>
          <w:numId w:val="1"/>
        </w:numPr>
        <w:spacing w:after="300" w:before="0" w:line="360"/>
      </w:pPr>
      <w:r>
        <w:t xml:space="preserve">Automated Remediation: Initiates coordinated delinking and data cleanup across all connected systems</w:t>
      </w:r>
    </w:p>
    <w:p>
      <w:pPr>
        <w:pStyle w:val="Heading2"/>
        <w:spacing w:after="200" w:before="200" w:line="360"/>
      </w:pPr>
      <w:r>
        <w:t xml:space="preserve">4.2 Key Features</w:t>
      </w:r>
    </w:p>
    <w:p>
      <w:pPr>
        <w:pStyle w:val="ListParagraph"/>
        <w:numPr>
          <w:ilvl w:val="0"/>
          <w:numId w:val="1"/>
        </w:numPr>
        <w:spacing w:after="150" w:before="0" w:line="360"/>
      </w:pPr>
      <w:r>
        <w:t xml:space="preserve">SIM Lifecycle Tracking: Integration with all telecom operators to receive real-time notifications of SIM deactivation, recycling, and reactivation events</w:t>
      </w:r>
    </w:p>
    <w:p>
      <w:pPr>
        <w:pStyle w:val="ListParagraph"/>
        <w:numPr>
          <w:ilvl w:val="0"/>
          <w:numId w:val="1"/>
        </w:numPr>
        <w:spacing w:after="150" w:before="0" w:line="360"/>
      </w:pPr>
      <w:r>
        <w:t xml:space="preserve">Database Federation: Secure APIs to NIMC (NIN registry), NIBSS (BVN registry), CBN (sanctions/compliance lists), and individual bank systems</w:t>
      </w:r>
    </w:p>
    <w:p>
      <w:pPr>
        <w:pStyle w:val="ListParagraph"/>
        <w:numPr>
          <w:ilvl w:val="0"/>
          <w:numId w:val="1"/>
        </w:numPr>
        <w:spacing w:after="150" w:before="0" w:line="360"/>
      </w:pPr>
      <w:r>
        <w:t xml:space="preserve">AI-Powered Matching: Machine learning algorithms to identify stale linkages even when identity data is partially corrupted or outdated</w:t>
      </w:r>
    </w:p>
    <w:p>
      <w:pPr>
        <w:pStyle w:val="ListParagraph"/>
        <w:numPr>
          <w:ilvl w:val="0"/>
          <w:numId w:val="1"/>
        </w:numPr>
        <w:spacing w:after="150" w:before="0" w:line="360"/>
      </w:pPr>
      <w:r>
        <w:t xml:space="preserve">Remediation Workflows: Automated yet auditable processes to delink identities, notify stakeholders, and update SIM status</w:t>
      </w:r>
    </w:p>
    <w:p>
      <w:pPr>
        <w:pStyle w:val="ListParagraph"/>
        <w:numPr>
          <w:ilvl w:val="0"/>
          <w:numId w:val="1"/>
        </w:numPr>
        <w:spacing w:after="300" w:before="0" w:line="360"/>
      </w:pPr>
      <w:r>
        <w:t xml:space="preserve">Audit Trail &amp; Compliance: Complete logging for regulatory review, dispute resolution, and forensic investigation</w:t>
      </w:r>
    </w:p>
    <w:p>
      <w:pPr>
        <w:pStyle w:val="Heading2"/>
        <w:spacing w:after="200" w:before="200" w:line="360"/>
      </w:pPr>
      <w:r>
        <w:t xml:space="preserve">4.3 Technical Architecture</w:t>
      </w:r>
    </w:p>
    <w:p>
      <w:pPr>
        <w:spacing w:after="200" w:before="0" w:line="360"/>
      </w:pPr>
      <w:r>
        <w:t xml:space="preserve">Reconix is architected as a microservices platform deployed across three availability zones for redundancy. Core components include:</w:t>
      </w:r>
    </w:p>
    <w:p>
      <w:pPr>
        <w:pStyle w:val="ListParagraph"/>
        <w:numPr>
          <w:ilvl w:val="0"/>
          <w:numId w:val="1"/>
        </w:numPr>
        <w:spacing w:after="150" w:before="0" w:line="360"/>
      </w:pPr>
      <w:r>
        <w:t xml:space="preserve">Event Ingestion Layer: Receives SIM lifecycle events from telecom operators via secure APIs (OAuth 2.0 / mutual TLS)</w:t>
      </w:r>
    </w:p>
    <w:p>
      <w:pPr>
        <w:pStyle w:val="ListParagraph"/>
        <w:numPr>
          <w:ilvl w:val="0"/>
          <w:numId w:val="1"/>
        </w:numPr>
        <w:spacing w:after="150" w:before="0" w:line="360"/>
      </w:pPr>
      <w:r>
        <w:t xml:space="preserve">Reconciliation Engine: Compares SIM identity against NIMC, NIBSS, and bank databases to detect conflicts</w:t>
      </w:r>
    </w:p>
    <w:p>
      <w:pPr>
        <w:pStyle w:val="ListParagraph"/>
        <w:numPr>
          <w:ilvl w:val="0"/>
          <w:numId w:val="1"/>
        </w:numPr>
        <w:spacing w:after="150" w:before="0" w:line="360"/>
      </w:pPr>
      <w:r>
        <w:t xml:space="preserve">Remediation Service: Manages the delinking workflows and coordinates updates across external systems</w:t>
      </w:r>
    </w:p>
    <w:p>
      <w:pPr>
        <w:pStyle w:val="ListParagraph"/>
        <w:numPr>
          <w:ilvl w:val="0"/>
          <w:numId w:val="1"/>
        </w:numPr>
        <w:spacing w:after="300" w:before="0" w:line="360"/>
      </w:pPr>
      <w:r>
        <w:t xml:space="preserve">Analytics &amp; Dashboard: Real-time monitoring of reconciliation metrics, conflict hotspots, and remediation progress</w:t>
      </w:r>
    </w:p>
    <w:r>
      <w:br w:type="page"/>
    </w:r>
    <w:p>
      <w:pPr>
        <w:pStyle w:val="Heading1"/>
        <w:spacing w:after="300" w:before="0" w:line="360"/>
      </w:pPr>
      <w:r>
        <w:t xml:space="preserve">5. Stakeholder Analysis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5%"/>
            <w:shd w:fill="D3D3D3" w:val="clear"/>
          </w:tcPr>
          <w:p>
            <w:pPr>
              <w:spacing w:line="360"/>
            </w:pPr>
            <w:r>
              <w:t xml:space="preserve">Stakeholder</w:t>
            </w:r>
          </w:p>
        </w:tc>
        <w:tc>
          <w:tcPr>
            <w:tcW w:type="pct" w:w="25%"/>
            <w:shd w:fill="D3D3D3" w:val="clear"/>
          </w:tcPr>
          <w:p>
            <w:pPr>
              <w:spacing w:line="360"/>
            </w:pPr>
            <w:r>
              <w:t xml:space="preserve">Role</w:t>
            </w:r>
          </w:p>
        </w:tc>
        <w:tc>
          <w:tcPr>
            <w:tcW w:type="pct" w:w="50%"/>
            <w:shd w:fill="D3D3D3" w:val="clear"/>
          </w:tcPr>
          <w:p>
            <w:pPr>
              <w:spacing w:line="360"/>
            </w:pPr>
            <w:r>
              <w:t xml:space="preserve">Responsibility</w:t>
            </w:r>
          </w:p>
        </w:tc>
      </w:tr>
      <w:tr>
        <w:tc>
          <w:tcPr>
            <w:tcW w:type="pct" w:w="25%"/>
          </w:tcPr>
          <w:p>
            <w:pPr>
              <w:spacing w:line="360"/>
            </w:pPr>
            <w:r>
              <w:t xml:space="preserve">NIMC</w:t>
            </w:r>
          </w:p>
        </w:tc>
        <w:tc>
          <w:tcPr>
            <w:tcW w:type="pct" w:w="25%"/>
          </w:tcPr>
          <w:p>
            <w:pPr>
              <w:spacing w:line="360"/>
            </w:pPr>
            <w:r>
              <w:t xml:space="preserve">Authority</w:t>
            </w:r>
          </w:p>
        </w:tc>
        <w:tc>
          <w:tcPr>
            <w:tcW w:type="pct" w:w="50%"/>
          </w:tcPr>
          <w:p>
            <w:pPr>
              <w:spacing w:line="360"/>
            </w:pPr>
            <w:r>
              <w:t xml:space="preserve">Provide NIN registry access; approve identity delinking; oversee regulatory compliance</w:t>
            </w:r>
          </w:p>
        </w:tc>
      </w:tr>
      <w:tr>
        <w:tc>
          <w:tcPr>
            <w:tcW w:type="pct" w:w="25%"/>
          </w:tcPr>
          <w:p>
            <w:pPr>
              <w:spacing w:line="360"/>
            </w:pPr>
            <w:r>
              <w:t xml:space="preserve">NCC</w:t>
            </w:r>
          </w:p>
        </w:tc>
        <w:tc>
          <w:tcPr>
            <w:tcW w:type="pct" w:w="25%"/>
          </w:tcPr>
          <w:p>
            <w:pPr>
              <w:spacing w:line="360"/>
            </w:pPr>
            <w:r>
              <w:t xml:space="preserve">Regulator</w:t>
            </w:r>
          </w:p>
        </w:tc>
        <w:tc>
          <w:tcPr>
            <w:tcW w:type="pct" w:w="50%"/>
          </w:tcPr>
          <w:p>
            <w:pPr>
              <w:spacing w:line="360"/>
            </w:pPr>
            <w:r>
              <w:t xml:space="preserve">Mandate SIM operator participation; enforce data-sharing requirements; conduct compliance audits</w:t>
            </w:r>
          </w:p>
        </w:tc>
      </w:tr>
      <w:tr>
        <w:tc>
          <w:tcPr>
            <w:tcW w:type="pct" w:w="25%"/>
          </w:tcPr>
          <w:p>
            <w:pPr>
              <w:spacing w:line="360"/>
            </w:pPr>
            <w:r>
              <w:t xml:space="preserve">NIBSS/CBN</w:t>
            </w:r>
          </w:p>
        </w:tc>
        <w:tc>
          <w:tcPr>
            <w:tcW w:type="pct" w:w="25%"/>
          </w:tcPr>
          <w:p>
            <w:pPr>
              <w:spacing w:line="360"/>
            </w:pPr>
            <w:r>
              <w:t xml:space="preserve">Authority</w:t>
            </w:r>
          </w:p>
        </w:tc>
        <w:tc>
          <w:tcPr>
            <w:tcW w:type="pct" w:w="50%"/>
          </w:tcPr>
          <w:p>
            <w:pPr>
              <w:spacing w:line="360"/>
            </w:pPr>
            <w:r>
              <w:t xml:space="preserve">Provide BVN registry access; mandate bank participation; oversee financial system compliance</w:t>
            </w:r>
          </w:p>
        </w:tc>
      </w:tr>
      <w:tr>
        <w:tc>
          <w:tcPr>
            <w:tcW w:type="pct" w:w="25%"/>
          </w:tcPr>
          <w:p>
            <w:pPr>
              <w:spacing w:line="360"/>
            </w:pPr>
            <w:r>
              <w:t xml:space="preserve">Telecom Operators</w:t>
            </w:r>
          </w:p>
        </w:tc>
        <w:tc>
          <w:tcPr>
            <w:tcW w:type="pct" w:w="25%"/>
          </w:tcPr>
          <w:p>
            <w:pPr>
              <w:spacing w:line="360"/>
            </w:pPr>
            <w:r>
              <w:t xml:space="preserve">Partner</w:t>
            </w:r>
          </w:p>
        </w:tc>
        <w:tc>
          <w:tcPr>
            <w:tcW w:type="pct" w:w="50%"/>
          </w:tcPr>
          <w:p>
            <w:pPr>
              <w:spacing w:line="360"/>
            </w:pPr>
            <w:r>
              <w:t xml:space="preserve">Provide SIM lifecycle events; integrate Reconix APIs; comply with recycling notifications</w:t>
            </w:r>
          </w:p>
        </w:tc>
      </w:tr>
      <w:tr>
        <w:tc>
          <w:tcPr>
            <w:tcW w:type="pct" w:w="25%"/>
          </w:tcPr>
          <w:p>
            <w:pPr>
              <w:spacing w:line="360"/>
            </w:pPr>
            <w:r>
              <w:t xml:space="preserve">Commercial Banks</w:t>
            </w:r>
          </w:p>
        </w:tc>
        <w:tc>
          <w:tcPr>
            <w:tcW w:type="pct" w:w="25%"/>
          </w:tcPr>
          <w:p>
            <w:pPr>
              <w:spacing w:line="360"/>
            </w:pPr>
            <w:r>
              <w:t xml:space="preserve">Partner</w:t>
            </w:r>
          </w:p>
        </w:tc>
        <w:tc>
          <w:tcPr>
            <w:tcW w:type="pct" w:w="50%"/>
          </w:tcPr>
          <w:p>
            <w:pPr>
              <w:spacing w:line="360"/>
            </w:pPr>
            <w:r>
              <w:t xml:space="preserve">Provide BVN records; receive conflict alerts; execute delinking workflows</w:t>
            </w:r>
          </w:p>
        </w:tc>
      </w:tr>
    </w:tbl>
    <w:p>
      <w:pPr>
        <w:spacing w:after="300" w:before="300" w:line="360"/>
      </w:pPr>
    </w:p>
    <w:p>
      <w:pPr>
        <w:pStyle w:val="Heading1"/>
        <w:spacing w:after="300" w:before="400" w:line="360"/>
      </w:pPr>
      <w:r>
        <w:t xml:space="preserve">6. Implementation Timeline</w:t>
      </w:r>
    </w:p>
    <w:p>
      <w:pPr>
        <w:pStyle w:val="Heading2"/>
        <w:spacing w:after="200" w:before="200" w:line="360"/>
      </w:pPr>
      <w:r>
        <w:t xml:space="preserve">6.1 Phased Approach</w:t>
      </w:r>
    </w:p>
    <w:p>
      <w:pPr>
        <w:spacing w:after="150" w:before="200" w:line="360"/>
      </w:pPr>
      <w:r>
        <w:t xml:space="preserve">Phase 1: Core Platform Development (0-3 months)</w:t>
      </w:r>
    </w:p>
    <w:p>
      <w:pPr>
        <w:spacing w:after="200" w:before="0" w:line="360"/>
      </w:pPr>
      <w:r>
        <w:t xml:space="preserve">Platform infrastructure setup, event ingestion pipeline, basic reconciliation logic, pilot testing with one telecom operator and one bank</w:t>
      </w:r>
    </w:p>
    <w:p>
      <w:pPr>
        <w:spacing w:after="150" w:before="200" w:line="360"/>
      </w:pPr>
      <w:r>
        <w:t xml:space="preserve">Phase 2: Expanded Integration (3-6 months)</w:t>
      </w:r>
    </w:p>
    <w:p>
      <w:pPr>
        <w:spacing w:after="200" w:before="0" w:line="360"/>
      </w:pPr>
      <w:r>
        <w:t xml:space="preserve">API integrations with all four major telecom operators, NIMC, NIBSS, and ten commercial banks. Remediation workflows deployed and tested. Analytics dashboard launched.</w:t>
      </w:r>
    </w:p>
    <w:p>
      <w:pPr>
        <w:spacing w:after="150" w:before="200" w:line="360"/>
      </w:pPr>
      <w:r>
        <w:t xml:space="preserve">Phase 3: Nationwide Rollout (6-12 months)</w:t>
      </w:r>
    </w:p>
    <w:p>
      <w:pPr>
        <w:spacing w:after="300" w:before="0" w:line="360"/>
      </w:pPr>
      <w:r>
        <w:t xml:space="preserve">All 22 commercial banks integrated. Full automation of conflict detection and remediation. Continuous monitoring and optimization. Stakeholder training and change management.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0%"/>
            <w:shd w:fill="D3D3D3" w:val="clear"/>
          </w:tcPr>
          <w:p>
            <w:pPr>
              <w:spacing w:line="360"/>
            </w:pPr>
            <w:r>
              <w:t xml:space="preserve">Milestone</w:t>
            </w:r>
          </w:p>
        </w:tc>
        <w:tc>
          <w:tcPr>
            <w:tcW w:type="pct" w:w="20%"/>
            <w:shd w:fill="D3D3D3" w:val="clear"/>
          </w:tcPr>
          <w:p>
            <w:pPr>
              <w:spacing w:line="360"/>
            </w:pPr>
            <w:r>
              <w:t xml:space="preserve">Timeline</w:t>
            </w:r>
          </w:p>
        </w:tc>
        <w:tc>
          <w:tcPr>
            <w:tcW w:type="pct" w:w="50%"/>
            <w:shd w:fill="D3D3D3" w:val="clear"/>
          </w:tcPr>
          <w:p>
            <w:pPr>
              <w:spacing w:line="360"/>
            </w:pPr>
            <w:r>
              <w:t xml:space="preserve">Deliverables</w:t>
            </w:r>
          </w:p>
        </w:tc>
      </w:tr>
      <w:tr>
        <w:tc>
          <w:tcPr>
            <w:tcW w:type="pct" w:w="30%"/>
          </w:tcPr>
          <w:p>
            <w:pPr>
              <w:spacing w:line="360"/>
            </w:pPr>
            <w:r>
              <w:t xml:space="preserve">Infrastructure &amp; APIs</w:t>
            </w:r>
          </w:p>
        </w:tc>
        <w:tc>
          <w:tcPr>
            <w:tcW w:type="pct" w:w="20%"/>
          </w:tcPr>
          <w:p>
            <w:pPr>
              <w:spacing w:line="360"/>
            </w:pPr>
            <w:r>
              <w:t xml:space="preserve">Month 1-2</w:t>
            </w:r>
          </w:p>
        </w:tc>
        <w:tc>
          <w:tcPr>
            <w:tcW w:type="pct" w:w="50%"/>
          </w:tcPr>
          <w:p>
            <w:pPr>
              <w:spacing w:line="360"/>
            </w:pPr>
            <w:r>
              <w:t xml:space="preserve">Cloud platform deployed; OAuth 2.0 infrastructure; event ingestion APIs</w:t>
            </w:r>
          </w:p>
        </w:tc>
      </w:tr>
      <w:tr>
        <w:tc>
          <w:tcPr>
            <w:tcW w:type="pct" w:w="30%"/>
          </w:tcPr>
          <w:p>
            <w:pPr>
              <w:spacing w:line="360"/>
            </w:pPr>
            <w:r>
              <w:t xml:space="preserve">Reconciliation Engine</w:t>
            </w:r>
          </w:p>
        </w:tc>
        <w:tc>
          <w:tcPr>
            <w:tcW w:type="pct" w:w="20%"/>
          </w:tcPr>
          <w:p>
            <w:pPr>
              <w:spacing w:line="360"/>
            </w:pPr>
            <w:r>
              <w:t xml:space="preserve">Month 2-3</w:t>
            </w:r>
          </w:p>
        </w:tc>
        <w:tc>
          <w:tcPr>
            <w:tcW w:type="pct" w:w="50%"/>
          </w:tcPr>
          <w:p>
            <w:pPr>
              <w:spacing w:line="360"/>
            </w:pPr>
            <w:r>
              <w:t xml:space="preserve">Matching algorithms; conflict detection logic; pilot with 1 operator + 1 bank</w:t>
            </w:r>
          </w:p>
        </w:tc>
      </w:tr>
      <w:tr>
        <w:tc>
          <w:tcPr>
            <w:tcW w:type="pct" w:w="30%"/>
          </w:tcPr>
          <w:p>
            <w:pPr>
              <w:spacing w:line="360"/>
            </w:pPr>
            <w:r>
              <w:t xml:space="preserve">Operator Integration</w:t>
            </w:r>
          </w:p>
        </w:tc>
        <w:tc>
          <w:tcPr>
            <w:tcW w:type="pct" w:w="20%"/>
          </w:tcPr>
          <w:p>
            <w:pPr>
              <w:spacing w:line="360"/>
            </w:pPr>
            <w:r>
              <w:t xml:space="preserve">Month 3-5</w:t>
            </w:r>
          </w:p>
        </w:tc>
        <w:tc>
          <w:tcPr>
            <w:tcW w:type="pct" w:w="50%"/>
          </w:tcPr>
          <w:p>
            <w:pPr>
              <w:spacing w:line="360"/>
            </w:pPr>
            <w:r>
              <w:t xml:space="preserve">All 4 major operators integrated; SIM event flow testing</w:t>
            </w:r>
          </w:p>
        </w:tc>
      </w:tr>
      <w:tr>
        <w:tc>
          <w:tcPr>
            <w:tcW w:type="pct" w:w="30%"/>
          </w:tcPr>
          <w:p>
            <w:pPr>
              <w:spacing w:line="360"/>
            </w:pPr>
            <w:r>
              <w:t xml:space="preserve">Bank Integration</w:t>
            </w:r>
          </w:p>
        </w:tc>
        <w:tc>
          <w:tcPr>
            <w:tcW w:type="pct" w:w="20%"/>
          </w:tcPr>
          <w:p>
            <w:pPr>
              <w:spacing w:line="360"/>
            </w:pPr>
            <w:r>
              <w:t xml:space="preserve">Month 5-6</w:t>
            </w:r>
          </w:p>
        </w:tc>
        <w:tc>
          <w:tcPr>
            <w:tcW w:type="pct" w:w="50%"/>
          </w:tcPr>
          <w:p>
            <w:pPr>
              <w:spacing w:line="360"/>
            </w:pPr>
            <w:r>
              <w:t xml:space="preserve">Integration with 10 tier-1 banks; BVN record access</w:t>
            </w:r>
          </w:p>
        </w:tc>
      </w:tr>
      <w:tr>
        <w:tc>
          <w:tcPr>
            <w:tcW w:type="pct" w:w="30%"/>
          </w:tcPr>
          <w:p>
            <w:pPr>
              <w:spacing w:line="360"/>
            </w:pPr>
            <w:r>
              <w:t xml:space="preserve">Nationwide Rollout</w:t>
            </w:r>
          </w:p>
        </w:tc>
        <w:tc>
          <w:tcPr>
            <w:tcW w:type="pct" w:w="20%"/>
          </w:tcPr>
          <w:p>
            <w:pPr>
              <w:spacing w:line="360"/>
            </w:pPr>
            <w:r>
              <w:t xml:space="preserve">Month 6-12</w:t>
            </w:r>
          </w:p>
        </w:tc>
        <w:tc>
          <w:tcPr>
            <w:tcW w:type="pct" w:w="50%"/>
          </w:tcPr>
          <w:p>
            <w:pPr>
              <w:spacing w:line="360"/>
            </w:pPr>
            <w:r>
              <w:t xml:space="preserve">All 22 banks connected; full automation; 24/7 operations</w:t>
            </w:r>
          </w:p>
        </w:tc>
      </w:tr>
    </w:tbl>
    <w:p>
      <w:pPr>
        <w:spacing w:after="300" w:before="300" w:line="360"/>
      </w:pPr>
    </w:p>
    <w:r>
      <w:br w:type="page"/>
    </w:r>
    <w:p>
      <w:pPr>
        <w:pStyle w:val="Heading1"/>
        <w:spacing w:after="300" w:before="0" w:line="360"/>
      </w:pPr>
      <w:r>
        <w:t xml:space="preserve">7. Budget Estimate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35%"/>
            <w:shd w:fill="D3D3D3" w:val="clear"/>
          </w:tcPr>
          <w:p>
            <w:pPr>
              <w:spacing w:line="360"/>
            </w:pPr>
            <w:r>
              <w:t xml:space="preserve">Category</w:t>
            </w:r>
          </w:p>
        </w:tc>
        <w:tc>
          <w:tcPr>
            <w:tcW w:type="pct" w:w="25%"/>
            <w:shd w:fill="D3D3D3" w:val="clear"/>
          </w:tcPr>
          <w:p>
            <w:pPr>
              <w:spacing w:line="360"/>
            </w:pPr>
            <w:r>
              <w:t xml:space="preserve">Cost (₦ Million)</w:t>
            </w:r>
          </w:p>
        </w:tc>
        <w:tc>
          <w:tcPr>
            <w:tcW w:type="pct" w:w="20%"/>
            <w:shd w:fill="D3D3D3" w:val="clear"/>
          </w:tcPr>
          <w:p>
            <w:pPr>
              <w:spacing w:line="360"/>
            </w:pPr>
            <w:r>
              <w:t xml:space="preserve">% of Budget</w:t>
            </w:r>
          </w:p>
        </w:tc>
        <w:tc>
          <w:tcPr>
            <w:tcW w:type="pct" w:w="20%"/>
            <w:shd w:fill="D3D3D3" w:val="clear"/>
          </w:tcPr>
          <w:p>
            <w:pPr>
              <w:spacing w:line="360"/>
            </w:pPr>
            <w:r>
              <w:t xml:space="preserve">Notes</w:t>
            </w:r>
          </w:p>
        </w:tc>
      </w:tr>
      <w:tr>
        <w:tc>
          <w:tcPr>
            <w:tcW w:type="pct" w:w="35%"/>
          </w:tcPr>
          <w:p>
            <w:pPr>
              <w:spacing w:line="360"/>
            </w:pPr>
            <w:r>
              <w:t xml:space="preserve">Development &amp; Engineering</w:t>
            </w:r>
          </w:p>
        </w:tc>
        <w:tc>
          <w:tcPr>
            <w:tcW w:type="pct" w:w="25%"/>
          </w:tcPr>
          <w:p>
            <w:pPr>
              <w:spacing w:line="360"/>
            </w:pPr>
            <w:r>
              <w:t xml:space="preserve">165</w:t>
            </w:r>
          </w:p>
        </w:tc>
        <w:tc>
          <w:tcPr>
            <w:tcW w:type="pct" w:w="20%"/>
          </w:tcPr>
          <w:p>
            <w:pPr>
              <w:spacing w:line="360"/>
            </w:pPr>
            <w:r>
              <w:t xml:space="preserve">34%</w:t>
            </w:r>
          </w:p>
        </w:tc>
        <w:tc>
          <w:tcPr>
            <w:tcW w:type="pct" w:w="20%"/>
          </w:tcPr>
          <w:p>
            <w:pPr>
              <w:spacing w:line="360"/>
            </w:pPr>
            <w:r>
              <w:t xml:space="preserve">Platform, APIs, QA</w:t>
            </w:r>
          </w:p>
        </w:tc>
      </w:tr>
      <w:tr>
        <w:tc>
          <w:tcPr>
            <w:tcW w:type="pct" w:w="35%"/>
          </w:tcPr>
          <w:p>
            <w:pPr>
              <w:spacing w:line="360"/>
            </w:pPr>
            <w:r>
              <w:t xml:space="preserve">Cloud Infrastructure</w:t>
            </w:r>
          </w:p>
        </w:tc>
        <w:tc>
          <w:tcPr>
            <w:tcW w:type="pct" w:w="25%"/>
          </w:tcPr>
          <w:p>
            <w:pPr>
              <w:spacing w:line="360"/>
            </w:pPr>
            <w:r>
              <w:t xml:space="preserve">85</w:t>
            </w:r>
          </w:p>
        </w:tc>
        <w:tc>
          <w:tcPr>
            <w:tcW w:type="pct" w:w="20%"/>
          </w:tcPr>
          <w:p>
            <w:pPr>
              <w:spacing w:line="360"/>
            </w:pPr>
            <w:r>
              <w:t xml:space="preserve">17.5%</w:t>
            </w:r>
          </w:p>
        </w:tc>
        <w:tc>
          <w:tcPr>
            <w:tcW w:type="pct" w:w="20%"/>
          </w:tcPr>
          <w:p>
            <w:pPr>
              <w:spacing w:line="360"/>
            </w:pPr>
            <w:r>
              <w:t xml:space="preserve">AWS/GCP (12 months)</w:t>
            </w:r>
          </w:p>
        </w:tc>
      </w:tr>
      <w:tr>
        <w:tc>
          <w:tcPr>
            <w:tcW w:type="pct" w:w="35%"/>
          </w:tcPr>
          <w:p>
            <w:pPr>
              <w:spacing w:line="360"/>
            </w:pPr>
            <w:r>
              <w:t xml:space="preserve">Security &amp; Compliance</w:t>
            </w:r>
          </w:p>
        </w:tc>
        <w:tc>
          <w:tcPr>
            <w:tcW w:type="pct" w:w="25%"/>
          </w:tcPr>
          <w:p>
            <w:pPr>
              <w:spacing w:line="360"/>
            </w:pPr>
            <w:r>
              <w:t xml:space="preserve">75</w:t>
            </w:r>
          </w:p>
        </w:tc>
        <w:tc>
          <w:tcPr>
            <w:tcW w:type="pct" w:w="20%"/>
          </w:tcPr>
          <w:p>
            <w:pPr>
              <w:spacing w:line="360"/>
            </w:pPr>
            <w:r>
              <w:t xml:space="preserve">15.5%</w:t>
            </w:r>
          </w:p>
        </w:tc>
        <w:tc>
          <w:tcPr>
            <w:tcW w:type="pct" w:w="20%"/>
          </w:tcPr>
          <w:p>
            <w:pPr>
              <w:spacing w:line="360"/>
            </w:pPr>
            <w:r>
              <w:t xml:space="preserve">ISO 27001, encryption, audits</w:t>
            </w:r>
          </w:p>
        </w:tc>
      </w:tr>
      <w:tr>
        <w:tc>
          <w:tcPr>
            <w:tcW w:type="pct" w:w="35%"/>
          </w:tcPr>
          <w:p>
            <w:pPr>
              <w:spacing w:line="360"/>
            </w:pPr>
            <w:r>
              <w:t xml:space="preserve">Testing &amp; Integration</w:t>
            </w:r>
          </w:p>
        </w:tc>
        <w:tc>
          <w:tcPr>
            <w:tcW w:type="pct" w:w="25%"/>
          </w:tcPr>
          <w:p>
            <w:pPr>
              <w:spacing w:line="360"/>
            </w:pPr>
            <w:r>
              <w:t xml:space="preserve">65</w:t>
            </w:r>
          </w:p>
        </w:tc>
        <w:tc>
          <w:tcPr>
            <w:tcW w:type="pct" w:w="20%"/>
          </w:tcPr>
          <w:p>
            <w:pPr>
              <w:spacing w:line="360"/>
            </w:pPr>
            <w:r>
              <w:t xml:space="preserve">13.4%</w:t>
            </w:r>
          </w:p>
        </w:tc>
        <w:tc>
          <w:tcPr>
            <w:tcW w:type="pct" w:w="20%"/>
          </w:tcPr>
          <w:p>
            <w:pPr>
              <w:spacing w:line="360"/>
            </w:pPr>
            <w:r>
              <w:t xml:space="preserve">UAT with stakeholders</w:t>
            </w:r>
          </w:p>
        </w:tc>
      </w:tr>
      <w:tr>
        <w:tc>
          <w:tcPr>
            <w:tcW w:type="pct" w:w="35%"/>
          </w:tcPr>
          <w:p>
            <w:pPr>
              <w:spacing w:line="360"/>
            </w:pPr>
            <w:r>
              <w:t xml:space="preserve">Operations &amp; Support</w:t>
            </w:r>
          </w:p>
        </w:tc>
        <w:tc>
          <w:tcPr>
            <w:tcW w:type="pct" w:w="25%"/>
          </w:tcPr>
          <w:p>
            <w:pPr>
              <w:spacing w:line="360"/>
            </w:pPr>
            <w:r>
              <w:t xml:space="preserve">50</w:t>
            </w:r>
          </w:p>
        </w:tc>
        <w:tc>
          <w:tcPr>
            <w:tcW w:type="pct" w:w="20%"/>
          </w:tcPr>
          <w:p>
            <w:pPr>
              <w:spacing w:line="360"/>
            </w:pPr>
            <w:r>
              <w:t xml:space="preserve">10.3%</w:t>
            </w:r>
          </w:p>
        </w:tc>
        <w:tc>
          <w:tcPr>
            <w:tcW w:type="pct" w:w="20%"/>
          </w:tcPr>
          <w:p>
            <w:pPr>
              <w:spacing w:line="360"/>
            </w:pPr>
            <w:r>
              <w:t xml:space="preserve">24/7 SOC, SLAs</w:t>
            </w:r>
          </w:p>
        </w:tc>
      </w:tr>
      <w:tr>
        <w:tc>
          <w:tcPr>
            <w:tcW w:type="pct" w:w="35%"/>
          </w:tcPr>
          <w:p>
            <w:pPr>
              <w:spacing w:line="360"/>
            </w:pPr>
            <w:r>
              <w:t xml:space="preserve">Training &amp; Change Management</w:t>
            </w:r>
          </w:p>
        </w:tc>
        <w:tc>
          <w:tcPr>
            <w:tcW w:type="pct" w:w="25%"/>
          </w:tcPr>
          <w:p>
            <w:pPr>
              <w:spacing w:line="360"/>
            </w:pPr>
            <w:r>
              <w:t xml:space="preserve">20</w:t>
            </w:r>
          </w:p>
        </w:tc>
        <w:tc>
          <w:tcPr>
            <w:tcW w:type="pct" w:w="20%"/>
          </w:tcPr>
          <w:p>
            <w:pPr>
              <w:spacing w:line="360"/>
            </w:pPr>
            <w:r>
              <w:t xml:space="preserve">4.1%</w:t>
            </w:r>
          </w:p>
        </w:tc>
        <w:tc>
          <w:tcPr>
            <w:tcW w:type="pct" w:w="20%"/>
          </w:tcPr>
          <w:p>
            <w:pPr>
              <w:spacing w:line="360"/>
            </w:pPr>
            <w:r>
              <w:t xml:space="preserve">Stakeholder workshops</w:t>
            </w:r>
          </w:p>
        </w:tc>
      </w:tr>
      <w:tr>
        <w:tc>
          <w:tcPr>
            <w:tcW w:type="pct" w:w="35%"/>
            <w:shd w:fill="D3D3D3" w:val="clear"/>
          </w:tcPr>
          <w:p>
            <w:pPr>
              <w:spacing w:line="360"/>
            </w:pPr>
            <w:r>
              <w:t xml:space="preserve">TOTAL</w:t>
            </w:r>
          </w:p>
        </w:tc>
        <w:tc>
          <w:tcPr>
            <w:tcW w:type="pct" w:w="25%"/>
            <w:shd w:fill="D3D3D3" w:val="clear"/>
          </w:tcPr>
          <w:p>
            <w:pPr>
              <w:spacing w:line="360"/>
            </w:pPr>
            <w:r>
              <w:t xml:space="preserve">485</w:t>
            </w:r>
          </w:p>
        </w:tc>
        <w:tc>
          <w:tcPr>
            <w:tcW w:type="pct" w:w="20%"/>
            <w:shd w:fill="D3D3D3" w:val="clear"/>
          </w:tcPr>
          <w:p>
            <w:pPr>
              <w:spacing w:line="360"/>
            </w:pPr>
            <w:r>
              <w:t xml:space="preserve">100%</w:t>
            </w:r>
          </w:p>
        </w:tc>
        <w:tc>
          <w:tcPr>
            <w:tcW w:type="pct" w:w="20%"/>
            <w:shd w:fill="D3D3D3" w:val="clear"/>
          </w:tcPr>
          <w:p>
            <w:pPr>
              <w:spacing w:line="360"/>
            </w:pPr>
          </w:p>
        </w:tc>
      </w:tr>
    </w:tbl>
    <w:p>
      <w:pPr>
        <w:spacing w:after="200" w:before="300" w:line="360"/>
      </w:pPr>
    </w:p>
    <w:p>
      <w:pPr>
        <w:spacing w:after="200" w:before="200" w:line="360"/>
      </w:pPr>
      <w:r>
        <w:t xml:space="preserve">Total Project Cost: ₦485 million over 12 months</w:t>
      </w:r>
    </w:p>
    <w:p>
      <w:pPr>
        <w:spacing w:after="300" w:before="0" w:line="360"/>
      </w:pPr>
      <w:r>
        <w:t xml:space="preserve">Cost breakdown reflects enterprise-grade cloud infrastructure, security hardening, regulatory compliance, and 24/7 operations support.</w:t>
      </w:r>
    </w:p>
    <w:r>
      <w:br w:type="page"/>
    </w:r>
    <w:p>
      <w:pPr>
        <w:pStyle w:val="Heading1"/>
        <w:spacing w:after="300" w:before="0" w:line="360"/>
      </w:pPr>
      <w:r>
        <w:t xml:space="preserve">8. Risk Assessment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0%"/>
            <w:shd w:fill="D3D3D3" w:val="clear"/>
          </w:tcPr>
          <w:p>
            <w:pPr>
              <w:spacing w:line="360"/>
            </w:pPr>
            <w:r>
              <w:t xml:space="preserve">Risk</w:t>
            </w:r>
          </w:p>
        </w:tc>
        <w:tc>
          <w:tcPr>
            <w:tcW w:type="pct" w:w="15%"/>
            <w:shd w:fill="D3D3D3" w:val="clear"/>
          </w:tcPr>
          <w:p>
            <w:pPr>
              <w:spacing w:line="360"/>
            </w:pPr>
            <w:r>
              <w:t xml:space="preserve">Category</w:t>
            </w:r>
          </w:p>
        </w:tc>
        <w:tc>
          <w:tcPr>
            <w:tcW w:type="pct" w:w="15%"/>
            <w:shd w:fill="D3D3D3" w:val="clear"/>
          </w:tcPr>
          <w:p>
            <w:pPr>
              <w:spacing w:line="360"/>
            </w:pPr>
            <w:r>
              <w:t xml:space="preserve">Probability</w:t>
            </w:r>
          </w:p>
        </w:tc>
        <w:tc>
          <w:tcPr>
            <w:tcW w:type="pct" w:w="15%"/>
            <w:shd w:fill="D3D3D3" w:val="clear"/>
          </w:tcPr>
          <w:p>
            <w:pPr>
              <w:spacing w:line="360"/>
            </w:pPr>
            <w:r>
              <w:t xml:space="preserve">Impact</w:t>
            </w:r>
          </w:p>
        </w:tc>
        <w:tc>
          <w:tcPr>
            <w:tcW w:type="pct" w:w="35%"/>
            <w:shd w:fill="D3D3D3" w:val="clear"/>
          </w:tcPr>
          <w:p>
            <w:pPr>
              <w:spacing w:line="360"/>
            </w:pPr>
            <w:r>
              <w:t xml:space="preserve">Mitigation</w:t>
            </w:r>
          </w:p>
        </w:tc>
      </w:tr>
      <w:tr>
        <w:tc>
          <w:tcPr>
            <w:tcW w:type="pct" w:w="20%"/>
          </w:tcPr>
          <w:p>
            <w:pPr>
              <w:spacing w:line="360"/>
            </w:pPr>
            <w:r>
              <w:t xml:space="preserve">API integration delays</w:t>
            </w:r>
          </w:p>
        </w:tc>
        <w:tc>
          <w:tcPr>
            <w:tcW w:type="pct" w:w="15%"/>
          </w:tcPr>
          <w:p>
            <w:pPr>
              <w:spacing w:line="360"/>
            </w:pPr>
            <w:r>
              <w:t xml:space="preserve">Technical</w:t>
            </w:r>
          </w:p>
        </w:tc>
        <w:tc>
          <w:tcPr>
            <w:tcW w:type="pct" w:w="15%"/>
          </w:tcPr>
          <w:p>
            <w:pPr>
              <w:spacing w:line="360"/>
            </w:pPr>
            <w:r>
              <w:t xml:space="preserve">Medium</w:t>
            </w:r>
          </w:p>
        </w:tc>
        <w:tc>
          <w:tcPr>
            <w:tcW w:type="pct" w:w="15%"/>
          </w:tcPr>
          <w:p>
            <w:pPr>
              <w:spacing w:line="360"/>
            </w:pPr>
            <w:r>
              <w:t xml:space="preserve">Medium</w:t>
            </w:r>
          </w:p>
        </w:tc>
        <w:tc>
          <w:tcPr>
            <w:tcW w:type="pct" w:w="35%"/>
          </w:tcPr>
          <w:p>
            <w:pPr>
              <w:spacing w:line="360"/>
            </w:pPr>
            <w:r>
              <w:t xml:space="preserve">Early engagement with operators; parallel mock APIs for testing</w:t>
            </w:r>
          </w:p>
        </w:tc>
      </w:tr>
      <w:tr>
        <w:tc>
          <w:tcPr>
            <w:tcW w:type="pct" w:w="20%"/>
          </w:tcPr>
          <w:p>
            <w:pPr>
              <w:spacing w:line="360"/>
            </w:pPr>
            <w:r>
              <w:t xml:space="preserve">Data-sharing agreement delays</w:t>
            </w:r>
          </w:p>
        </w:tc>
        <w:tc>
          <w:tcPr>
            <w:tcW w:type="pct" w:w="15%"/>
          </w:tcPr>
          <w:p>
            <w:pPr>
              <w:spacing w:line="360"/>
            </w:pPr>
            <w:r>
              <w:t xml:space="preserve">Regulatory</w:t>
            </w:r>
          </w:p>
        </w:tc>
        <w:tc>
          <w:tcPr>
            <w:tcW w:type="pct" w:w="15%"/>
          </w:tcPr>
          <w:p>
            <w:pPr>
              <w:spacing w:line="360"/>
            </w:pPr>
            <w:r>
              <w:t xml:space="preserve">High</w:t>
            </w:r>
          </w:p>
        </w:tc>
        <w:tc>
          <w:tcPr>
            <w:tcW w:type="pct" w:w="15%"/>
          </w:tcPr>
          <w:p>
            <w:pPr>
              <w:spacing w:line="360"/>
            </w:pPr>
            <w:r>
              <w:t xml:space="preserve">High</w:t>
            </w:r>
          </w:p>
        </w:tc>
        <w:tc>
          <w:tcPr>
            <w:tcW w:type="pct" w:w="35%"/>
          </w:tcPr>
          <w:p>
            <w:pPr>
              <w:spacing w:line="360"/>
            </w:pPr>
            <w:r>
              <w:t xml:space="preserve">Steering committee chaired by regulator; legal review in Month 0</w:t>
            </w:r>
          </w:p>
        </w:tc>
      </w:tr>
      <w:tr>
        <w:tc>
          <w:tcPr>
            <w:tcW w:type="pct" w:w="20%"/>
          </w:tcPr>
          <w:p>
            <w:pPr>
              <w:spacing w:line="360"/>
            </w:pPr>
            <w:r>
              <w:t xml:space="preserve">Cybersecurity breaches</w:t>
            </w:r>
          </w:p>
        </w:tc>
        <w:tc>
          <w:tcPr>
            <w:tcW w:type="pct" w:w="15%"/>
          </w:tcPr>
          <w:p>
            <w:pPr>
              <w:spacing w:line="360"/>
            </w:pPr>
            <w:r>
              <w:t xml:space="preserve">Operational</w:t>
            </w:r>
          </w:p>
        </w:tc>
        <w:tc>
          <w:tcPr>
            <w:tcW w:type="pct" w:w="15%"/>
          </w:tcPr>
          <w:p>
            <w:pPr>
              <w:spacing w:line="360"/>
            </w:pPr>
            <w:r>
              <w:t xml:space="preserve">Low</w:t>
            </w:r>
          </w:p>
        </w:tc>
        <w:tc>
          <w:tcPr>
            <w:tcW w:type="pct" w:w="15%"/>
          </w:tcPr>
          <w:p>
            <w:pPr>
              <w:spacing w:line="360"/>
            </w:pPr>
            <w:r>
              <w:t xml:space="preserve">Critical</w:t>
            </w:r>
          </w:p>
        </w:tc>
        <w:tc>
          <w:tcPr>
            <w:tcW w:type="pct" w:w="35%"/>
          </w:tcPr>
          <w:p>
            <w:pPr>
              <w:spacing w:line="360"/>
            </w:pPr>
            <w:r>
              <w:t xml:space="preserve">ISO 27001 certification; penetration testing; zero-trust architecture</w:t>
            </w:r>
          </w:p>
        </w:tc>
      </w:tr>
      <w:tr>
        <w:tc>
          <w:tcPr>
            <w:tcW w:type="pct" w:w="20%"/>
          </w:tcPr>
          <w:p>
            <w:pPr>
              <w:spacing w:line="360"/>
            </w:pPr>
            <w:r>
              <w:t xml:space="preserve">Operator non-compliance</w:t>
            </w:r>
          </w:p>
        </w:tc>
        <w:tc>
          <w:tcPr>
            <w:tcW w:type="pct" w:w="15%"/>
          </w:tcPr>
          <w:p>
            <w:pPr>
              <w:spacing w:line="360"/>
            </w:pPr>
            <w:r>
              <w:t xml:space="preserve">Operational</w:t>
            </w:r>
          </w:p>
        </w:tc>
        <w:tc>
          <w:tcPr>
            <w:tcW w:type="pct" w:w="15%"/>
          </w:tcPr>
          <w:p>
            <w:pPr>
              <w:spacing w:line="360"/>
            </w:pPr>
            <w:r>
              <w:t xml:space="preserve">Medium</w:t>
            </w:r>
          </w:p>
        </w:tc>
        <w:tc>
          <w:tcPr>
            <w:tcW w:type="pct" w:w="15%"/>
          </w:tcPr>
          <w:p>
            <w:pPr>
              <w:spacing w:line="360"/>
            </w:pPr>
            <w:r>
              <w:t xml:space="preserve">High</w:t>
            </w:r>
          </w:p>
        </w:tc>
        <w:tc>
          <w:tcPr>
            <w:tcW w:type="pct" w:w="35%"/>
          </w:tcPr>
          <w:p>
            <w:pPr>
              <w:spacing w:line="360"/>
            </w:pPr>
            <w:r>
              <w:t xml:space="preserve">NCC regulatory enforcement; financial penalties for non-compliance</w:t>
            </w:r>
          </w:p>
        </w:tc>
      </w:tr>
      <w:tr>
        <w:tc>
          <w:tcPr>
            <w:tcW w:type="pct" w:w="20%"/>
          </w:tcPr>
          <w:p>
            <w:pPr>
              <w:spacing w:line="360"/>
            </w:pPr>
            <w:r>
              <w:t xml:space="preserve">Data quality issues</w:t>
            </w:r>
          </w:p>
        </w:tc>
        <w:tc>
          <w:tcPr>
            <w:tcW w:type="pct" w:w="15%"/>
          </w:tcPr>
          <w:p>
            <w:pPr>
              <w:spacing w:line="360"/>
            </w:pPr>
            <w:r>
              <w:t xml:space="preserve">Technical</w:t>
            </w:r>
          </w:p>
        </w:tc>
        <w:tc>
          <w:tcPr>
            <w:tcW w:type="pct" w:w="15%"/>
          </w:tcPr>
          <w:p>
            <w:pPr>
              <w:spacing w:line="360"/>
            </w:pPr>
            <w:r>
              <w:t xml:space="preserve">Medium</w:t>
            </w:r>
          </w:p>
        </w:tc>
        <w:tc>
          <w:tcPr>
            <w:tcW w:type="pct" w:w="15%"/>
          </w:tcPr>
          <w:p>
            <w:pPr>
              <w:spacing w:line="360"/>
            </w:pPr>
            <w:r>
              <w:t xml:space="preserve">Medium</w:t>
            </w:r>
          </w:p>
        </w:tc>
        <w:tc>
          <w:tcPr>
            <w:tcW w:type="pct" w:w="35%"/>
          </w:tcPr>
          <w:p>
            <w:pPr>
              <w:spacing w:line="360"/>
            </w:pPr>
            <w:r>
              <w:t xml:space="preserve">Data quality audits; machine learning validation; manual review workflows</w:t>
            </w:r>
          </w:p>
        </w:tc>
      </w:tr>
    </w:tbl>
    <w:p>
      <w:pPr>
        <w:spacing w:after="300" w:before="300" w:line="360"/>
      </w:pPr>
    </w:p>
    <w:r>
      <w:br w:type="page"/>
    </w:r>
    <w:p>
      <w:pPr>
        <w:pStyle w:val="Heading1"/>
        <w:spacing w:after="300" w:before="0" w:line="360"/>
      </w:pPr>
      <w:r>
        <w:t xml:space="preserve">9. Expected Benefits</w:t>
      </w:r>
    </w:p>
    <w:p>
      <w:pPr>
        <w:pStyle w:val="Heading2"/>
        <w:spacing w:after="200" w:before="200" w:line="360"/>
      </w:pPr>
      <w:r>
        <w:t xml:space="preserve">9.1 Quantified Benefits</w:t>
      </w:r>
    </w:p>
    <w:p>
      <w:pPr>
        <w:pStyle w:val="ListParagraph"/>
        <w:numPr>
          <w:ilvl w:val="0"/>
          <w:numId w:val="1"/>
        </w:numPr>
        <w:spacing w:after="150" w:before="0" w:line="360"/>
      </w:pPr>
      <w:r>
        <w:t xml:space="preserve">Fraud Prevention: ₦8.2 billion in eliminated annual fraud losses from recycled SIM identity conflicts</w:t>
      </w:r>
    </w:p>
    <w:p>
      <w:pPr>
        <w:pStyle w:val="ListParagraph"/>
        <w:numPr>
          <w:ilvl w:val="0"/>
          <w:numId w:val="1"/>
        </w:numPr>
        <w:spacing w:after="150" w:before="0" w:line="360"/>
      </w:pPr>
      <w:r>
        <w:t xml:space="preserve">Conflict Resolution: 2.4 million citizens receiving corrected identity linkages and restored financial service access</w:t>
      </w:r>
    </w:p>
    <w:p>
      <w:pPr>
        <w:pStyle w:val="ListParagraph"/>
        <w:numPr>
          <w:ilvl w:val="0"/>
          <w:numId w:val="1"/>
        </w:numPr>
        <w:spacing w:after="150" w:before="0" w:line="360"/>
      </w:pPr>
      <w:r>
        <w:t xml:space="preserve">Operational Efficiency: 98% reduction in manual identity conflict investigations by banks (saving 450,000 staff-hours annually)</w:t>
      </w:r>
    </w:p>
    <w:p>
      <w:pPr>
        <w:pStyle w:val="ListParagraph"/>
        <w:numPr>
          <w:ilvl w:val="0"/>
          <w:numId w:val="1"/>
        </w:numPr>
        <w:spacing w:after="300" w:before="0" w:line="360"/>
      </w:pPr>
      <w:r>
        <w:t xml:space="preserve">Regulatory Compliance: 100% CBN KYC audit readiness across all connected financial institutions</w:t>
      </w:r>
    </w:p>
    <w:p>
      <w:pPr>
        <w:pStyle w:val="Heading2"/>
        <w:spacing w:after="200" w:before="200" w:line="360"/>
      </w:pPr>
      <w:r>
        <w:t xml:space="preserve">9.2 Strategic Benefits</w:t>
      </w:r>
    </w:p>
    <w:p>
      <w:pPr>
        <w:pStyle w:val="ListParagraph"/>
        <w:numPr>
          <w:ilvl w:val="0"/>
          <w:numId w:val="1"/>
        </w:numPr>
        <w:spacing w:after="150" w:before="0" w:line="360"/>
      </w:pPr>
      <w:r>
        <w:t xml:space="preserve">Builds template for data governance and inter-agency coordination in Nigerian financial system</w:t>
      </w:r>
    </w:p>
    <w:p>
      <w:pPr>
        <w:pStyle w:val="ListParagraph"/>
        <w:numPr>
          <w:ilvl w:val="0"/>
          <w:numId w:val="1"/>
        </w:numPr>
        <w:spacing w:after="150" w:before="0" w:line="360"/>
      </w:pPr>
      <w:r>
        <w:t xml:space="preserve">Strengthens citizen trust in digital identity and financial services</w:t>
      </w:r>
    </w:p>
    <w:p>
      <w:pPr>
        <w:pStyle w:val="ListParagraph"/>
        <w:numPr>
          <w:ilvl w:val="0"/>
          <w:numId w:val="1"/>
        </w:numPr>
        <w:spacing w:after="300" w:before="0" w:line="360"/>
      </w:pPr>
      <w:r>
        <w:t xml:space="preserve">Positions Nigeria as leader in identity infrastructure across ECOWAS region</w:t>
      </w:r>
    </w:p>
    <w:r>
      <w:br w:type="page"/>
    </w:r>
    <w:p>
      <w:pPr>
        <w:pStyle w:val="Heading1"/>
        <w:spacing w:after="300" w:before="0" w:line="360"/>
      </w:pPr>
      <w:r>
        <w:t xml:space="preserve">10. Conclusion and Recommendations</w:t>
      </w:r>
    </w:p>
    <w:p>
      <w:pPr>
        <w:spacing w:after="300" w:before="0" w:line="360"/>
      </w:pPr>
      <w:r>
        <w:t xml:space="preserve">Identity conflicts from recycled SIM cards represent a growing threat to Nigeria's financial stability and citizen security. Reconix provides a timely, technically sound, and operationally feasible solution to address this gap systematically.</w:t>
      </w:r>
    </w:p>
    <w:p>
      <w:pPr>
        <w:spacing w:after="200" w:before="0" w:line="360"/>
      </w:pPr>
      <w:r>
        <w:t xml:space="preserve">We recommend the following immediate actions:</w:t>
      </w:r>
    </w:p>
    <w:p>
      <w:pPr>
        <w:pStyle w:val="ListParagraph"/>
        <w:numPr>
          <w:ilvl w:val="0"/>
          <w:numId w:val="1"/>
        </w:numPr>
        <w:spacing w:after="150" w:before="0" w:line="360"/>
      </w:pPr>
      <w:r>
        <w:t xml:space="preserve">Approve Reconix project initiation with ₦485 million budget allocation</w:t>
      </w:r>
    </w:p>
    <w:p>
      <w:pPr>
        <w:pStyle w:val="ListParagraph"/>
        <w:numPr>
          <w:ilvl w:val="0"/>
          <w:numId w:val="1"/>
        </w:numPr>
        <w:spacing w:after="150" w:before="0" w:line="360"/>
      </w:pPr>
      <w:r>
        <w:t xml:space="preserve">Establish cross-agency steering committee (NCC, NIMC, NIBSS, CBN, operators, banks)</w:t>
      </w:r>
    </w:p>
    <w:p>
      <w:pPr>
        <w:pStyle w:val="ListParagraph"/>
        <w:numPr>
          <w:ilvl w:val="0"/>
          <w:numId w:val="1"/>
        </w:numPr>
        <w:spacing w:after="150" w:before="0" w:line="360"/>
      </w:pPr>
      <w:r>
        <w:t xml:space="preserve">Draft data-sharing agreements and API integration contracts by month 1</w:t>
      </w:r>
    </w:p>
    <w:p>
      <w:pPr>
        <w:pStyle w:val="ListParagraph"/>
        <w:numPr>
          <w:ilvl w:val="0"/>
          <w:numId w:val="1"/>
        </w:numPr>
        <w:spacing w:after="300" w:before="0" w:line="360"/>
      </w:pPr>
      <w:r>
        <w:t xml:space="preserve">Begin Phase 1 development immediately with target go-live in Q3 2026</w:t>
      </w:r>
    </w:p>
    <w:p>
      <w:pPr>
        <w:spacing w:after="0" w:before="0" w:line="360"/>
      </w:pPr>
      <w:r>
        <w:t xml:space="preserve">Reconix will transform Nigeria's identity management infrastructure from reactive and fragmented to proactive and coordinated, protecting millions of citizens while enabling financial inclusion and regulatory compliance.</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2026-03-22T23:02:58.861Z</dcterms:created>
  <dcterms:modified xsi:type="dcterms:W3CDTF">2026-03-22T23:02:58.861Z</dcterms:modified>
</cp:coreProperties>
</file>

<file path=docProps/custom.xml><?xml version="1.0" encoding="utf-8"?>
<Properties xmlns="http://schemas.openxmlformats.org/officeDocument/2006/custom-properties" xmlns:vt="http://schemas.openxmlformats.org/officeDocument/2006/docPropsVTypes"/>
</file>