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600"/>
      </w:pPr>
    </w:p>
    <w:p>
      <w:pPr>
        <w:spacing w:line="600"/>
      </w:pPr>
    </w:p>
    <w:p>
      <w:pPr>
        <w:spacing w:line="600"/>
      </w:pPr>
    </w:p>
    <w:p>
      <w:pPr>
        <w:pStyle w:val="Heading1"/>
        <w:spacing w:after="200" w:before="400" w:line="400"/>
        <w:jc w:val="center"/>
      </w:pPr>
      <w:r>
        <w:t xml:space="preserve">SOFTWARE REQUIREMENTS SPECIFICATION</w:t>
      </w:r>
    </w:p>
    <w:p>
      <w:pPr>
        <w:spacing w:after="600" w:before="0" w:line="360"/>
        <w:jc w:val="center"/>
      </w:pPr>
      <w:r>
        <w:t xml:space="preserve">Reconix Platform</w:t>
      </w:r>
    </w:p>
    <w:p>
      <w:pPr>
        <w:spacing w:after="600" w:before="0" w:line="360"/>
        <w:jc w:val="center"/>
      </w:pPr>
      <w:r>
        <w:t xml:space="preserve">National SIM-NIN-BVN Reconciliation Platform</w:t>
      </w:r>
    </w:p>
    <w:p>
      <w:pPr>
        <w:spacing w:after="600" w:before="600" w:line="360"/>
        <w:jc w:val="center"/>
      </w:pPr>
      <w:r>
        <w:t xml:space="preserve">IEEE 830 Standard Format</w:t>
      </w:r>
    </w:p>
    <w:p>
      <w:pPr>
        <w:spacing w:line="600"/>
      </w:pPr>
    </w:p>
    <w:p>
      <w:pPr>
        <w:spacing w:line="600"/>
      </w:pPr>
    </w:p>
    <w:p>
      <w:pPr>
        <w:spacing w:after="200" w:before="400" w:line="360"/>
        <w:jc w:val="center"/>
      </w:pPr>
      <w:r>
        <w:t xml:space="preserve">Document Version: 1.0</w:t>
      </w:r>
    </w:p>
    <w:p>
      <w:pPr>
        <w:spacing w:after="200" w:before="0" w:line="360"/>
        <w:jc w:val="center"/>
      </w:pPr>
      <w:r>
        <w:t xml:space="preserve">Date: March 22, 2026</w:t>
      </w:r>
    </w:p>
    <w:p>
      <w:pPr>
        <w:spacing w:after="400" w:before="0" w:line="360"/>
        <w:jc w:val="center"/>
      </w:pPr>
      <w:r>
        <w:t xml:space="preserve">Status: Draft</w:t>
      </w:r>
    </w:p>
    <w:r>
      <w:br w:type="page"/>
    </w:r>
    <w:p>
      <w:pPr>
        <w:pStyle w:val="Heading1"/>
        <w:spacing w:after="400" w:before="0" w:line="360"/>
      </w:pPr>
      <w:r>
        <w:t xml:space="preserve">Table of Contents</w:t>
      </w:r>
    </w:p>
    <w:p>
      <w:pPr>
        <w:spacing w:after="150" w:before="0" w:line="360"/>
      </w:pPr>
      <w:r>
        <w:t xml:space="preserve">1. Introduction</w:t>
      </w:r>
    </w:p>
    <w:p>
      <w:pPr>
        <w:spacing w:after="150" w:before="0" w:line="360"/>
      </w:pPr>
      <w:r>
        <w:t xml:space="preserve">2. Overall Description</w:t>
      </w:r>
    </w:p>
    <w:p>
      <w:pPr>
        <w:spacing w:after="150" w:before="0" w:line="360"/>
      </w:pPr>
      <w:r>
        <w:t xml:space="preserve">3. Specific Requirements</w:t>
      </w:r>
    </w:p>
    <w:p>
      <w:pPr>
        <w:spacing w:after="150" w:before="0" w:line="360"/>
      </w:pPr>
      <w:r>
        <w:t xml:space="preserve">4. Non-Functional Requirements</w:t>
      </w:r>
    </w:p>
    <w:p>
      <w:pPr>
        <w:spacing w:after="400" w:before="0" w:line="360"/>
      </w:pPr>
      <w:r>
        <w:t xml:space="preserve">5. Appendices</w:t>
      </w:r>
    </w:p>
    <w:r>
      <w:br w:type="page"/>
    </w:r>
    <w:p>
      <w:pPr>
        <w:pStyle w:val="Heading1"/>
        <w:spacing w:after="300" w:before="0" w:line="360"/>
      </w:pPr>
      <w:r>
        <w:t xml:space="preserve">1. Introduction</w:t>
      </w:r>
    </w:p>
    <w:p>
      <w:pPr>
        <w:pStyle w:val="Heading2"/>
        <w:spacing w:after="200" w:before="200" w:line="360"/>
      </w:pPr>
      <w:r>
        <w:t xml:space="preserve">1.1 Purpose</w:t>
      </w:r>
    </w:p>
    <w:p>
      <w:pPr>
        <w:spacing w:after="300" w:before="0" w:line="360"/>
      </w:pPr>
      <w:r>
        <w:t xml:space="preserve">This Software Requirements Specification (SRS) document defines all functional and non-functional requirements for the Reconix platform, a national-scale identity reconciliation system. The document follows IEEE 830-1998 standards and serves as the contract between stakeholders and the development team.</w:t>
      </w:r>
    </w:p>
    <w:p>
      <w:pPr>
        <w:pStyle w:val="Heading2"/>
        <w:spacing w:after="200" w:before="200" w:line="360"/>
      </w:pPr>
      <w:r>
        <w:t xml:space="preserve">1.2 Scope</w:t>
      </w:r>
    </w:p>
    <w:p>
      <w:pPr>
        <w:spacing w:after="300" w:before="0" w:line="360"/>
      </w:pPr>
      <w:r>
        <w:t xml:space="preserve">Reconix is a cloud-based platform designed to detect and remediate stale identity linkages from recycled SIM cards across Nigeria's telecommunications, banking, and national identification systems. The platform will integrate with NIMC, NIBSS, CBN, four major telecom operators, and 22 commercial banks.</w:t>
      </w:r>
    </w:p>
    <w:p>
      <w:pPr>
        <w:pStyle w:val="Heading2"/>
        <w:spacing w:after="200" w:before="200" w:line="360"/>
      </w:pPr>
      <w:r>
        <w:t xml:space="preserve">1.3 Definitions and Acronyms</w:t>
      </w:r>
    </w:p>
    <w:p>
      <w:pPr>
        <w:pStyle w:val="ListParagraph"/>
        <w:numPr>
          <w:ilvl w:val="0"/>
          <w:numId w:val="1"/>
        </w:numPr>
        <w:spacing w:after="100" w:before="0" w:line="360"/>
      </w:pPr>
      <w:r>
        <w:t xml:space="preserve">NIN: National Identification Number</w:t>
      </w:r>
    </w:p>
    <w:p>
      <w:pPr>
        <w:pStyle w:val="ListParagraph"/>
        <w:numPr>
          <w:ilvl w:val="0"/>
          <w:numId w:val="1"/>
        </w:numPr>
        <w:spacing w:after="100" w:before="0" w:line="360"/>
      </w:pPr>
      <w:r>
        <w:t xml:space="preserve">BVN: Bank Verification Number</w:t>
      </w:r>
    </w:p>
    <w:p>
      <w:pPr>
        <w:pStyle w:val="ListParagraph"/>
        <w:numPr>
          <w:ilvl w:val="0"/>
          <w:numId w:val="1"/>
        </w:numPr>
        <w:spacing w:after="100" w:before="0" w:line="360"/>
      </w:pPr>
      <w:r>
        <w:t xml:space="preserve">NIMC: National Identity Management Commission</w:t>
      </w:r>
    </w:p>
    <w:p>
      <w:pPr>
        <w:pStyle w:val="ListParagraph"/>
        <w:numPr>
          <w:ilvl w:val="0"/>
          <w:numId w:val="1"/>
        </w:numPr>
        <w:spacing w:after="100" w:before="0" w:line="360"/>
      </w:pPr>
      <w:r>
        <w:t xml:space="preserve">NIBSS: Nigerian Inter-Bank Settlement System</w:t>
      </w:r>
    </w:p>
    <w:p>
      <w:pPr>
        <w:pStyle w:val="ListParagraph"/>
        <w:numPr>
          <w:ilvl w:val="0"/>
          <w:numId w:val="1"/>
        </w:numPr>
        <w:spacing w:after="100" w:before="0" w:line="360"/>
      </w:pPr>
      <w:r>
        <w:t xml:space="preserve">CBN: Central Bank of Nigeria</w:t>
      </w:r>
    </w:p>
    <w:p>
      <w:pPr>
        <w:pStyle w:val="ListParagraph"/>
        <w:numPr>
          <w:ilvl w:val="0"/>
          <w:numId w:val="1"/>
        </w:numPr>
        <w:spacing w:after="100" w:before="0" w:line="360"/>
      </w:pPr>
      <w:r>
        <w:t xml:space="preserve">NCC: Nigerian Communications Commission</w:t>
      </w:r>
    </w:p>
    <w:p>
      <w:pPr>
        <w:pStyle w:val="ListParagraph"/>
        <w:numPr>
          <w:ilvl w:val="0"/>
          <w:numId w:val="1"/>
        </w:numPr>
        <w:spacing w:after="100" w:before="0" w:line="360"/>
      </w:pPr>
      <w:r>
        <w:t xml:space="preserve">KYC: Know-Your-Customer</w:t>
      </w:r>
    </w:p>
    <w:p>
      <w:pPr>
        <w:pStyle w:val="ListParagraph"/>
        <w:numPr>
          <w:ilvl w:val="0"/>
          <w:numId w:val="1"/>
        </w:numPr>
        <w:spacing w:after="100" w:before="0" w:line="360"/>
      </w:pPr>
      <w:r>
        <w:t xml:space="preserve">API: Application Programming Interface</w:t>
      </w:r>
    </w:p>
    <w:p>
      <w:pPr>
        <w:pStyle w:val="ListParagraph"/>
        <w:numPr>
          <w:ilvl w:val="0"/>
          <w:numId w:val="1"/>
        </w:numPr>
        <w:spacing w:after="100" w:before="0" w:line="360"/>
      </w:pPr>
      <w:r>
        <w:t xml:space="preserve">REST: Representational State Transfer</w:t>
      </w:r>
    </w:p>
    <w:p>
      <w:pPr>
        <w:pStyle w:val="ListParagraph"/>
        <w:numPr>
          <w:ilvl w:val="0"/>
          <w:numId w:val="1"/>
        </w:numPr>
        <w:spacing w:after="300" w:before="0" w:line="360"/>
      </w:pPr>
      <w:r>
        <w:t xml:space="preserve">TLS: Transport Layer Security</w:t>
      </w:r>
    </w:p>
    <w:p>
      <w:pPr>
        <w:pStyle w:val="Heading2"/>
        <w:spacing w:after="200" w:before="200" w:line="360"/>
      </w:pPr>
      <w:r>
        <w:t xml:space="preserve">1.4 References</w:t>
      </w:r>
    </w:p>
    <w:p>
      <w:pPr>
        <w:pStyle w:val="ListParagraph"/>
        <w:numPr>
          <w:ilvl w:val="0"/>
          <w:numId w:val="1"/>
        </w:numPr>
        <w:spacing w:after="100" w:before="0" w:line="360"/>
      </w:pPr>
      <w:r>
        <w:t xml:space="preserve">IEEE 830-1998 Standard for Software Requirements Specification</w:t>
      </w:r>
    </w:p>
    <w:p>
      <w:pPr>
        <w:pStyle w:val="ListParagraph"/>
        <w:numPr>
          <w:ilvl w:val="0"/>
          <w:numId w:val="1"/>
        </w:numPr>
        <w:spacing w:after="100" w:before="0" w:line="360"/>
      </w:pPr>
      <w:r>
        <w:t xml:space="preserve">OWASP Top 10 Security Guidelines (2021)</w:t>
      </w:r>
    </w:p>
    <w:p>
      <w:pPr>
        <w:pStyle w:val="ListParagraph"/>
        <w:numPr>
          <w:ilvl w:val="0"/>
          <w:numId w:val="1"/>
        </w:numPr>
        <w:spacing w:after="300" w:before="0" w:line="360"/>
      </w:pPr>
      <w:r>
        <w:t xml:space="preserve">ISO/IEC 27001:2022 Information Security Management</w:t>
      </w:r>
    </w:p>
    <w:r>
      <w:br w:type="page"/>
    </w:r>
    <w:p>
      <w:pPr>
        <w:pStyle w:val="Heading1"/>
        <w:spacing w:after="300" w:before="0" w:line="360"/>
      </w:pPr>
      <w:r>
        <w:t xml:space="preserve">2. Overall Description</w:t>
      </w:r>
    </w:p>
    <w:p>
      <w:pPr>
        <w:pStyle w:val="Heading2"/>
        <w:spacing w:after="200" w:before="200" w:line="360"/>
      </w:pPr>
      <w:r>
        <w:t xml:space="preserve">2.1 Product Perspective</w:t>
      </w:r>
    </w:p>
    <w:p>
      <w:pPr>
        <w:spacing w:after="300" w:before="0" w:line="360"/>
      </w:pPr>
      <w:r>
        <w:t xml:space="preserve">Reconix is a standalone platform that integrates with existing external systems via APIs. It is not an upgrade or replacement for existing databases but a coordinating layer that enables data reconciliation without centralizing sensitive identity data.</w:t>
      </w:r>
    </w:p>
    <w:p>
      <w:pPr>
        <w:pStyle w:val="Heading2"/>
        <w:spacing w:after="200" w:before="200" w:line="360"/>
      </w:pPr>
      <w:r>
        <w:t xml:space="preserve">2.2 Product Functions</w:t>
      </w:r>
    </w:p>
    <w:p>
      <w:pPr>
        <w:pStyle w:val="ListParagraph"/>
        <w:numPr>
          <w:ilvl w:val="0"/>
          <w:numId w:val="1"/>
        </w:numPr>
        <w:spacing w:after="150" w:before="0" w:line="360"/>
      </w:pPr>
      <w:r>
        <w:t xml:space="preserve">Receive SIM lifecycle events from telecom operators</w:t>
      </w:r>
    </w:p>
    <w:p>
      <w:pPr>
        <w:pStyle w:val="ListParagraph"/>
        <w:numPr>
          <w:ilvl w:val="0"/>
          <w:numId w:val="1"/>
        </w:numPr>
        <w:spacing w:after="150" w:before="0" w:line="360"/>
      </w:pPr>
      <w:r>
        <w:t xml:space="preserve">Query NIMC, NIBSS, and bank databases for identity linkages</w:t>
      </w:r>
    </w:p>
    <w:p>
      <w:pPr>
        <w:pStyle w:val="ListParagraph"/>
        <w:numPr>
          <w:ilvl w:val="0"/>
          <w:numId w:val="1"/>
        </w:numPr>
        <w:spacing w:after="150" w:before="0" w:line="360"/>
      </w:pPr>
      <w:r>
        <w:t xml:space="preserve">Detect conflicts between current SIM owner and legacy identity records</w:t>
      </w:r>
    </w:p>
    <w:p>
      <w:pPr>
        <w:pStyle w:val="ListParagraph"/>
        <w:numPr>
          <w:ilvl w:val="0"/>
          <w:numId w:val="1"/>
        </w:numPr>
        <w:spacing w:after="150" w:before="0" w:line="360"/>
      </w:pPr>
      <w:r>
        <w:t xml:space="preserve">Generate audit-trail records for all reconciliation actions</w:t>
      </w:r>
    </w:p>
    <w:p>
      <w:pPr>
        <w:pStyle w:val="ListParagraph"/>
        <w:numPr>
          <w:ilvl w:val="0"/>
          <w:numId w:val="1"/>
        </w:numPr>
        <w:spacing w:after="150" w:before="0" w:line="360"/>
      </w:pPr>
      <w:r>
        <w:t xml:space="preserve">Trigger remediation workflows to delink stale identities</w:t>
      </w:r>
    </w:p>
    <w:p>
      <w:pPr>
        <w:pStyle w:val="ListParagraph"/>
        <w:numPr>
          <w:ilvl w:val="0"/>
          <w:numId w:val="1"/>
        </w:numPr>
        <w:spacing w:after="300" w:before="0" w:line="360"/>
      </w:pPr>
      <w:r>
        <w:t xml:space="preserve">Provide real-time analytics and monitoring dashboards</w:t>
      </w:r>
    </w:p>
    <w:p>
      <w:pPr>
        <w:pStyle w:val="Heading2"/>
        <w:spacing w:after="200" w:before="200" w:line="360"/>
      </w:pPr>
      <w:r>
        <w:t xml:space="preserve">2.3 User Characteristics</w:t>
      </w:r>
    </w:p>
    <w:p>
      <w:pPr>
        <w:pStyle w:val="ListParagraph"/>
        <w:numPr>
          <w:ilvl w:val="0"/>
          <w:numId w:val="1"/>
        </w:numPr>
        <w:spacing w:after="150" w:before="0" w:line="360"/>
      </w:pPr>
      <w:r>
        <w:t xml:space="preserve">System Administrators: Configure platform settings, manage API credentials</w:t>
      </w:r>
    </w:p>
    <w:p>
      <w:pPr>
        <w:pStyle w:val="ListParagraph"/>
        <w:numPr>
          <w:ilvl w:val="0"/>
          <w:numId w:val="1"/>
        </w:numPr>
        <w:spacing w:after="150" w:before="0" w:line="360"/>
      </w:pPr>
      <w:r>
        <w:t xml:space="preserve">Operators: Monitor SIM reconciliation status, resolve exceptions</w:t>
      </w:r>
    </w:p>
    <w:p>
      <w:pPr>
        <w:pStyle w:val="ListParagraph"/>
        <w:numPr>
          <w:ilvl w:val="0"/>
          <w:numId w:val="1"/>
        </w:numPr>
        <w:spacing w:after="150" w:before="0" w:line="360"/>
      </w:pPr>
      <w:r>
        <w:t xml:space="preserve">Bank Compliance Officers: Review identity conflict alerts, approve remediation</w:t>
      </w:r>
    </w:p>
    <w:p>
      <w:pPr>
        <w:pStyle w:val="ListParagraph"/>
        <w:numPr>
          <w:ilvl w:val="0"/>
          <w:numId w:val="1"/>
        </w:numPr>
        <w:spacing w:after="300" w:before="0" w:line="360"/>
      </w:pPr>
      <w:r>
        <w:t xml:space="preserve">Regulators: Access audit logs, compliance reports, system metrics</w:t>
      </w:r>
    </w:p>
    <w:p>
      <w:pPr>
        <w:pStyle w:val="Heading2"/>
        <w:spacing w:after="200" w:before="200" w:line="360"/>
      </w:pPr>
      <w:r>
        <w:t xml:space="preserve">2.4 Constraints and Assumptions</w:t>
      </w:r>
    </w:p>
    <w:p>
      <w:pPr>
        <w:pStyle w:val="ListParagraph"/>
        <w:numPr>
          <w:ilvl w:val="0"/>
          <w:numId w:val="1"/>
        </w:numPr>
        <w:spacing w:after="150" w:before="0" w:line="360"/>
      </w:pPr>
      <w:r>
        <w:t xml:space="preserve">All telecom operators must provide SIM lifecycle APIs by project go-live</w:t>
      </w:r>
    </w:p>
    <w:p>
      <w:pPr>
        <w:pStyle w:val="ListParagraph"/>
        <w:numPr>
          <w:ilvl w:val="0"/>
          <w:numId w:val="1"/>
        </w:numPr>
        <w:spacing w:after="150" w:before="0" w:line="360"/>
      </w:pPr>
      <w:r>
        <w:t xml:space="preserve">NIMC and NIBSS databases will be available 99.5% of the time</w:t>
      </w:r>
    </w:p>
    <w:p>
      <w:pPr>
        <w:pStyle w:val="ListParagraph"/>
        <w:numPr>
          <w:ilvl w:val="0"/>
          <w:numId w:val="1"/>
        </w:numPr>
        <w:spacing w:after="300" w:before="0" w:line="360"/>
      </w:pPr>
      <w:r>
        <w:t xml:space="preserve">Data-sharing agreements will be signed before Phase 2 integration begins</w:t>
      </w:r>
    </w:p>
    <w:r>
      <w:br w:type="page"/>
    </w:r>
    <w:p>
      <w:pPr>
        <w:pStyle w:val="Heading1"/>
        <w:spacing w:after="300" w:before="0" w:line="360"/>
      </w:pPr>
      <w:r>
        <w:t xml:space="preserve">3. Specific Requirements</w:t>
      </w:r>
    </w:p>
    <w:p>
      <w:pPr>
        <w:pStyle w:val="Heading2"/>
        <w:spacing w:after="200" w:before="200" w:line="360"/>
      </w:pPr>
      <w:r>
        <w:t xml:space="preserve">3.1 Functional Requirements</w:t>
      </w:r>
    </w:p>
    <w:p>
      <w:pPr>
        <w:pStyle w:val="Heading3"/>
        <w:spacing w:after="100" w:before="150" w:line="360"/>
      </w:pPr>
      <w:r>
        <w:t xml:space="preserve">FR1: Event Ingestion</w:t>
      </w:r>
    </w:p>
    <w:p>
      <w:pPr>
        <w:spacing w:after="200" w:before="0" w:line="360"/>
      </w:pPr>
      <w:r>
        <w:t xml:space="preserve">The platform SHALL accept SIM lifecycle events (DEACTIVATED, RECYCLED, REACTIVATED) from telecom operator APIs. Events MUST include MSISDN (phone number), previous owner NIN (if available), timestamp, and operator identifier. The system SHALL validate event schema and reject malformed events with error code 400.</w:t>
      </w:r>
    </w:p>
    <w:p>
      <w:pPr>
        <w:pStyle w:val="Heading3"/>
        <w:spacing w:after="100" w:before="150" w:line="360"/>
      </w:pPr>
      <w:r>
        <w:t xml:space="preserve">FR2: Conflict Detection</w:t>
      </w:r>
    </w:p>
    <w:p>
      <w:pPr>
        <w:spacing w:after="200" w:before="0" w:line="360"/>
      </w:pPr>
      <w:r>
        <w:t xml:space="preserve">Upon SIM reactivation, the system SHALL query NIMC and NIBSS databases to retrieve all identity linkages for that MSISDN. The system SHALL compare linkages against new owner's NIN to identify stale records. Conflicts SHALL be classified as HIGH (same NIN in multiple databases), MEDIUM (partial linkage mismatch), or LOW (legacy records only in one system).</w:t>
      </w:r>
    </w:p>
    <w:p>
      <w:pPr>
        <w:pStyle w:val="Heading3"/>
        <w:spacing w:after="100" w:before="150" w:line="360"/>
      </w:pPr>
      <w:r>
        <w:t xml:space="preserve">FR3: Audit Logging</w:t>
      </w:r>
    </w:p>
    <w:p>
      <w:pPr>
        <w:spacing w:after="200" w:before="0" w:line="360"/>
      </w:pPr>
      <w:r>
        <w:t xml:space="preserve">Every reconciliation action (event ingestion, conflict detection, remediation initiation) SHALL be logged with timestamp, actor, action type, input parameters, result, and output data. Audit logs SHALL be tamper-proof and retained for 7 years minimum.</w:t>
      </w:r>
    </w:p>
    <w:p>
      <w:pPr>
        <w:pStyle w:val="Heading3"/>
        <w:spacing w:after="100" w:before="150" w:line="360"/>
      </w:pPr>
      <w:r>
        <w:t xml:space="preserve">FR4: Remediation Workflows</w:t>
      </w:r>
    </w:p>
    <w:p>
      <w:pPr>
        <w:spacing w:after="200" w:before="0" w:line="360"/>
      </w:pPr>
      <w:r>
        <w:t xml:space="preserve">For HIGH/MEDIUM conflicts, the system SHALL initiate remediation workflows that notify relevant banks and NIMC. Banks SHALL be able to confirm identity delinking via API. Delinking SHALL NOT proceed without explicit confirmation from at least one bank stakeholder. Status updates SHALL be logged and made visible on the dashboard.</w:t>
      </w:r>
    </w:p>
    <w:p>
      <w:pPr>
        <w:pStyle w:val="Heading3"/>
        <w:spacing w:after="100" w:before="150" w:line="360"/>
      </w:pPr>
      <w:r>
        <w:t xml:space="preserve">FR5: Real-Time Monitoring Dashboard</w:t>
      </w:r>
    </w:p>
    <w:p>
      <w:pPr>
        <w:spacing w:after="200" w:before="0" w:line="360"/>
      </w:pPr>
      <w:r>
        <w:t xml:space="preserve">The platform SHALL provide a web-based dashboard displaying: (a) count of active reconciliation jobs, (b) conflict detection rate (per hour/day/month), (c) remediation success rate, (d) alerts by conflict severity. Dashboard SHALL refresh every 5 minutes and support role-based access control.</w:t>
      </w:r>
    </w:p>
    <w:p>
      <w:pPr>
        <w:pStyle w:val="Heading3"/>
        <w:spacing w:after="100" w:before="150" w:line="360"/>
      </w:pPr>
      <w:r>
        <w:t xml:space="preserve">FR6: API Integration with NIMC</w:t>
      </w:r>
    </w:p>
    <w:p>
      <w:pPr>
        <w:spacing w:after="200" w:before="0" w:line="360"/>
      </w:pPr>
      <w:r>
        <w:t xml:space="preserve">The platform SHALL integrate with NIMC's NIN registry via REST API (OAuth 2.0 with mutual TLS). Queries SHALL accept MSISDN and return all linked NINs for that number. Response time SHALL be &lt;500ms. The system SHALL cache results for 24 hours to minimize external API calls.</w:t>
      </w:r>
    </w:p>
    <w:p>
      <w:pPr>
        <w:pStyle w:val="Heading3"/>
        <w:spacing w:after="100" w:before="150" w:line="360"/>
      </w:pPr>
      <w:r>
        <w:t xml:space="preserve">FR7: API Integration with NIBSS</w:t>
      </w:r>
    </w:p>
    <w:p>
      <w:pPr>
        <w:spacing w:after="200" w:before="0" w:line="360"/>
      </w:pPr>
      <w:r>
        <w:t xml:space="preserve">The platform SHALL integrate with NIBSS's BVN registry via REST API. Queries SHALL accept BVN and return linked MSISDN(s) and bank account information. The system SHALL mask sensitive banking data (account numbers) in logs and dashboards.</w:t>
      </w:r>
    </w:p>
    <w:p>
      <w:pPr>
        <w:pStyle w:val="Heading3"/>
        <w:spacing w:after="100" w:before="150" w:line="360"/>
      </w:pPr>
      <w:r>
        <w:t xml:space="preserve">FR8: Bank Integration APIs</w:t>
      </w:r>
    </w:p>
    <w:p>
      <w:pPr>
        <w:spacing w:after="200" w:before="0" w:line="360"/>
      </w:pPr>
      <w:r>
        <w:t xml:space="preserve">The platform SHALL provide REST APIs for individual banks to (a) receive conflict notifications, (b) confirm identity delinking actions, (c) query reconciliation status for specific MSISDNs, (d) retrieve compliance reports. All bank APIs SHALL require mutual TLS and API key authentication.</w:t>
      </w:r>
    </w:p>
    <w:p>
      <w:pPr>
        <w:pStyle w:val="Heading3"/>
        <w:spacing w:after="100" w:before="150" w:line="360"/>
      </w:pPr>
      <w:r>
        <w:t xml:space="preserve">FR9: Exception Handling</w:t>
      </w:r>
    </w:p>
    <w:p>
      <w:pPr>
        <w:spacing w:after="200" w:before="0" w:line="360"/>
      </w:pPr>
      <w:r>
        <w:t xml:space="preserve">When a conflict cannot be automatically resolved (e.g., no operator response, data inconsistency), the system SHALL escalate to an exception queue. Operators SHALL be able to manually review and resolve exceptions within 48 hours. Unresolved exceptions after 7 days SHALL generate alerts to supervisors.</w:t>
      </w:r>
    </w:p>
    <w:p>
      <w:pPr>
        <w:pStyle w:val="Heading3"/>
        <w:spacing w:after="100" w:before="150" w:line="360"/>
      </w:pPr>
      <w:r>
        <w:t xml:space="preserve">FR10-FR50: Additional Requirements</w:t>
      </w:r>
    </w:p>
    <w:p>
      <w:pPr>
        <w:spacing w:after="300" w:before="0" w:line="360"/>
      </w:pPr>
      <w:r>
        <w:t xml:space="preserve">The platform SHALL support: (FR10) bulk SIM import/reconciliation, (FR11) scheduled daily reconciliation jobs, (FR12) identity data encryption in transit and at rest, (FR13) GDPR-compliant data deletion workflows, (FR14) support for legacy NIBSS communication protocols, (FR15-FR50) additional operational and security features as detailed in deployment runbooks.</w:t>
      </w:r>
    </w:p>
    <w:p>
      <w:pPr>
        <w:pStyle w:val="Heading2"/>
        <w:spacing w:after="200" w:before="200" w:line="360"/>
      </w:pPr>
      <w:r>
        <w:t xml:space="preserve">3.2 External Interface Requirements</w:t>
      </w:r>
    </w:p>
    <w:p>
      <w:pPr>
        <w:spacing w:after="300" w:before="0" w:line="360"/>
      </w:pPr>
      <w:r>
        <w:t xml:space="preserve">All external APIs SHALL be documented in OpenAPI 3.0 format. All endpoints SHALL support JSON request/response format. Error responses SHALL follow RFC 7807 (Problem Details). Rate limiting: 1000 requests per minute per API key.</w:t>
      </w:r>
    </w:p>
    <w:p>
      <w:pPr>
        <w:pStyle w:val="Heading2"/>
        <w:spacing w:after="200" w:before="200" w:line="360"/>
      </w:pPr>
      <w:r>
        <w:t xml:space="preserve">3.3 Performance Requirements</w:t>
      </w:r>
    </w:p>
    <w:p>
      <w:pPr>
        <w:spacing w:after="300" w:before="0" w:line="360"/>
      </w:pPr>
      <w:r>
        <w:t xml:space="preserve">SIM event ingestion: &lt;100ms latency for API acceptance. Conflict detection: &lt;15 minutes from SIM reactivation event to conflict detection. Remediation notification: &lt;5 minutes from conflict confirmation to bank notification. Dashboard response time: &lt;2 seconds for all page loads. Support concurrent load of 10,000 SIM reconciliation jobs.</w:t>
      </w:r>
    </w:p>
    <w:p>
      <w:pPr>
        <w:pStyle w:val="Heading2"/>
        <w:spacing w:after="200" w:before="200" w:line="360"/>
      </w:pPr>
      <w:r>
        <w:t xml:space="preserve">3.4 Design Constraints</w:t>
      </w:r>
    </w:p>
    <w:p>
      <w:pPr>
        <w:spacing w:after="300" w:before="0" w:line="360"/>
      </w:pPr>
      <w:r>
        <w:t xml:space="preserve">Platform SHALL be database-agnostic (support PostgreSQL, Oracle, MySQL). Code SHALL follow OWASP Top 10 secure coding practices. All third-party dependencies SHALL have no critical or high-severity vulnerabilities. Platform SHALL be deployable on any Kubernetes cluster.</w:t>
      </w:r>
    </w:p>
    <w:p>
      <w:pPr>
        <w:pStyle w:val="Heading2"/>
        <w:spacing w:after="200" w:before="200" w:line="360"/>
      </w:pPr>
      <w:r>
        <w:t xml:space="preserve">3.5 Security Requirements</w:t>
      </w:r>
    </w:p>
    <w:p>
      <w:pPr>
        <w:spacing w:after="300" w:before="0" w:line="360"/>
      </w:pPr>
      <w:r>
        <w:t xml:space="preserve">All data in transit SHALL be encrypted with TLS 1.3 minimum. Data at rest SHALL be encrypted with AES-256. Identity data (NIN, BVN) SHALL be encrypted with customer-managed keys. Role-Based Access Control (RBAC) with minimum five roles: Admin, Operator, Bank, Regulator, Auditor. Multi-factor authentication required for admin access. Passwords: minimum 12 characters, complexity requirements enforced.</w:t>
      </w:r>
    </w:p>
    <w:p>
      <w:pPr>
        <w:pStyle w:val="Heading2"/>
        <w:spacing w:after="200" w:before="200" w:line="360"/>
      </w:pPr>
      <w:r>
        <w:t xml:space="preserve">3.6 Data Requirements</w:t>
      </w:r>
    </w:p>
    <w:p>
      <w:pPr>
        <w:spacing w:after="300" w:before="0" w:line="360"/>
      </w:pPr>
      <w:r>
        <w:t xml:space="preserve">Data retention: 7 years for audit logs, 1 year for historical reconciliation records, 90 days for temporary event queues. Backup: continuous replication to secondary region, daily snapshots for 30 days. Privacy: identity data PII masking in logs, compliance with GDPR/CCPA deletion requests, data residency in Nigeria only.</w:t>
      </w:r>
    </w:p>
    <w:r>
      <w:br w:type="page"/>
    </w:r>
    <w:p>
      <w:pPr>
        <w:pStyle w:val="Heading1"/>
        <w:spacing w:after="300" w:before="0" w:line="360"/>
      </w:pPr>
      <w:r>
        <w:t xml:space="preserve">4. Non-Functional Requirements</w:t>
      </w:r>
    </w:p>
    <w:p>
      <w:pPr>
        <w:pStyle w:val="Heading2"/>
        <w:spacing w:after="200" w:before="200" w:line="360"/>
      </w:pPr>
      <w:r>
        <w:t xml:space="preserve">4.1 Availability and Reliability</w:t>
      </w:r>
    </w:p>
    <w:p>
      <w:pPr>
        <w:spacing w:after="300" w:before="0" w:line="360"/>
      </w:pPr>
      <w:r>
        <w:t xml:space="preserve">System availability: 99.95% uptime SLA (maximum 2.2 hours downtime per month). Recovery Time Objective (RTO): 15 minutes. Recovery Point Objective (RPO): 5 minutes. All critical components deployed in active-active configuration across three availability zones.</w:t>
      </w:r>
    </w:p>
    <w:p>
      <w:pPr>
        <w:pStyle w:val="Heading2"/>
        <w:spacing w:after="200" w:before="200" w:line="360"/>
      </w:pPr>
      <w:r>
        <w:t xml:space="preserve">4.2 Scalability</w:t>
      </w:r>
    </w:p>
    <w:p>
      <w:pPr>
        <w:spacing w:after="300" w:before="0" w:line="360"/>
      </w:pPr>
      <w:r>
        <w:t xml:space="preserve">Platform must scale horizontally to process 100,000+ SIM reconciliation events per day. Auto-scaling: triggered when CPU utilization exceeds 70% or queue depth exceeds 1000. Stateless architecture enabling unlimited horizontal scaling.</w:t>
      </w:r>
    </w:p>
    <w:p>
      <w:pPr>
        <w:pStyle w:val="Heading2"/>
        <w:spacing w:after="200" w:before="200" w:line="360"/>
      </w:pPr>
      <w:r>
        <w:t xml:space="preserve">4.3 Maintainability</w:t>
      </w:r>
    </w:p>
    <w:p>
      <w:pPr>
        <w:spacing w:after="300" w:before="0" w:line="360"/>
      </w:pPr>
      <w:r>
        <w:t xml:space="preserve">Code SHALL follow SOLID principles. Unit test coverage minimum 80%. All APIs documented with OpenAPI 3.0. Deployment via CI/CD pipeline, automated testing on all pull requests. Zero-downtime deployment capability.</w:t>
      </w:r>
    </w:p>
    <w:p>
      <w:pPr>
        <w:pStyle w:val="Heading2"/>
        <w:spacing w:after="200" w:before="200" w:line="360"/>
      </w:pPr>
      <w:r>
        <w:t xml:space="preserve">4.4 Compliance</w:t>
      </w:r>
    </w:p>
    <w:p>
      <w:pPr>
        <w:spacing w:after="300" w:before="0" w:line="360"/>
      </w:pPr>
      <w:r>
        <w:t xml:space="preserve">ISO 27001:2022 certification required. CBN Know-Your-Customer (KYC) compliance. NCC telecommunications regulation compliance. Regular third-party security audits (quarterly). Compliance audit trail supporting regulatory review.</w:t>
      </w:r>
    </w:p>
    <w:r>
      <w:br w:type="page"/>
    </w:r>
    <w:p>
      <w:pPr>
        <w:pStyle w:val="Heading1"/>
        <w:spacing w:after="300" w:before="0" w:line="360"/>
      </w:pPr>
      <w:r>
        <w:t xml:space="preserve">5. Appendices</w:t>
      </w:r>
    </w:p>
    <w:p>
      <w:pPr>
        <w:pStyle w:val="Heading2"/>
        <w:spacing w:after="200" w:before="200" w:line="360"/>
      </w:pPr>
      <w:r>
        <w:t xml:space="preserve">5.1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3D3D3" w:val="clear"/>
          </w:tcPr>
          <w:p>
            <w:pPr>
              <w:spacing w:line="360"/>
            </w:pPr>
            <w:r>
              <w:t xml:space="preserve">Term</w:t>
            </w:r>
          </w:p>
        </w:tc>
        <w:tc>
          <w:tcPr>
            <w:tcW w:type="pct" w:w="80%"/>
            <w:shd w:fill="D3D3D3" w:val="clear"/>
          </w:tcPr>
          <w:p>
            <w:pPr>
              <w:spacing w:line="360"/>
            </w:pPr>
            <w:r>
              <w:t xml:space="preserve">Definition</w:t>
            </w:r>
          </w:p>
        </w:tc>
      </w:tr>
      <w:tr>
        <w:tc>
          <w:tcPr>
            <w:tcW w:type="pct" w:w="20%"/>
          </w:tcPr>
          <w:p>
            <w:pPr>
              <w:spacing w:line="360"/>
            </w:pPr>
            <w:r>
              <w:t xml:space="preserve">Stale Linkage</w:t>
            </w:r>
          </w:p>
        </w:tc>
        <w:tc>
          <w:tcPr>
            <w:tcW w:type="pct" w:w="80%"/>
          </w:tcPr>
          <w:p>
            <w:pPr>
              <w:spacing w:line="360"/>
            </w:pPr>
            <w:r>
              <w:t xml:space="preserve">An identity link (NIN/BVN to MSISDN) in a database that is no longer valid because the SIM number was recycled</w:t>
            </w:r>
          </w:p>
        </w:tc>
      </w:tr>
      <w:tr>
        <w:tc>
          <w:tcPr>
            <w:tcW w:type="pct" w:w="20%"/>
          </w:tcPr>
          <w:p>
            <w:pPr>
              <w:spacing w:line="360"/>
            </w:pPr>
            <w:r>
              <w:t xml:space="preserve">SIM Recycling</w:t>
            </w:r>
          </w:p>
        </w:tc>
        <w:tc>
          <w:tcPr>
            <w:tcW w:type="pct" w:w="80%"/>
          </w:tcPr>
          <w:p>
            <w:pPr>
              <w:spacing w:line="360"/>
            </w:pPr>
            <w:r>
              <w:t xml:space="preserve">The process of reassigning a deactivated phone number to a new subscriber after 180 days of inactivity</w:t>
            </w:r>
          </w:p>
        </w:tc>
      </w:tr>
      <w:tr>
        <w:tc>
          <w:tcPr>
            <w:tcW w:type="pct" w:w="20%"/>
          </w:tcPr>
          <w:p>
            <w:pPr>
              <w:spacing w:line="360"/>
            </w:pPr>
            <w:r>
              <w:t xml:space="preserve">Identity Conflict</w:t>
            </w:r>
          </w:p>
        </w:tc>
        <w:tc>
          <w:tcPr>
            <w:tcW w:type="pct" w:w="80%"/>
          </w:tcPr>
          <w:p>
            <w:pPr>
              <w:spacing w:line="360"/>
            </w:pPr>
            <w:r>
              <w:t xml:space="preserve">A mismatch between the current owner of a SIM number and the identity records linked to that number in national databases</w:t>
            </w:r>
          </w:p>
        </w:tc>
      </w:tr>
      <w:tr>
        <w:tc>
          <w:tcPr>
            <w:tcW w:type="pct" w:w="20%"/>
          </w:tcPr>
          <w:p>
            <w:pPr>
              <w:spacing w:line="360"/>
            </w:pPr>
            <w:r>
              <w:t xml:space="preserve">Remediation</w:t>
            </w:r>
          </w:p>
        </w:tc>
        <w:tc>
          <w:tcPr>
            <w:tcW w:type="pct" w:w="80%"/>
          </w:tcPr>
          <w:p>
            <w:pPr>
              <w:spacing w:line="360"/>
            </w:pPr>
            <w:r>
              <w:t xml:space="preserve">The process of delinking stale identity records from a recycled SIM number</w:t>
            </w:r>
          </w:p>
        </w:tc>
      </w:tr>
      <w:tr>
        <w:tc>
          <w:tcPr>
            <w:tcW w:type="pct" w:w="20%"/>
          </w:tcPr>
          <w:p>
            <w:pPr>
              <w:spacing w:line="360"/>
            </w:pPr>
            <w:r>
              <w:t xml:space="preserve">MSISDN</w:t>
            </w:r>
          </w:p>
        </w:tc>
        <w:tc>
          <w:tcPr>
            <w:tcW w:type="pct" w:w="80%"/>
          </w:tcPr>
          <w:p>
            <w:pPr>
              <w:spacing w:line="360"/>
            </w:pPr>
            <w:r>
              <w:t xml:space="preserve">Mobile Station International Subscriber Directory Number; a standard international phone number format</w:t>
            </w:r>
          </w:p>
        </w:tc>
      </w:tr>
    </w:tbl>
    <w:p>
      <w:pPr>
        <w:spacing w:after="300" w:before="300" w:line="360"/>
      </w:pPr>
    </w:p>
    <w:r>
      <w:br w:type="page"/>
    </w:r>
    <w:p>
      <w:pPr>
        <w:pStyle w:val="Heading2"/>
        <w:spacing w:after="200" w:before="200" w:line="360"/>
      </w:pPr>
      <w:r>
        <w:t xml:space="preserve">5.2 Data Model Reference</w:t>
      </w:r>
    </w:p>
    <w:p>
      <w:pPr>
        <w:pStyle w:val="Heading3"/>
        <w:spacing w:after="100" w:before="150" w:line="360"/>
      </w:pPr>
      <w:r>
        <w:t xml:space="preserve">SIM Lifecycle Event:</w:t>
      </w:r>
    </w:p>
    <w:p>
      <w:pPr>
        <w:spacing w:after="200" w:before="0" w:line="360"/>
      </w:pPr>
      <w:r>
        <w:t xml:space="preserve">event_id (UUID), operator_id (string), msisdn (string), event_type (ENUM: DEACTIVATED, RECYCLED, REACTIVATED), previous_owner_nin (string, encrypted), timestamp (ISO 8601), signature (HMAC-SHA256)</w:t>
      </w:r>
    </w:p>
    <w:p>
      <w:pPr>
        <w:pStyle w:val="Heading3"/>
        <w:spacing w:after="100" w:before="150" w:line="360"/>
      </w:pPr>
      <w:r>
        <w:t xml:space="preserve">Identity Conflict Record:</w:t>
      </w:r>
    </w:p>
    <w:p>
      <w:pPr>
        <w:spacing w:after="300" w:before="0" w:line="360"/>
      </w:pPr>
      <w:r>
        <w:t xml:space="preserve">conflict_id (UUID), msisdn (string), current_owner_nin (string, encrypted), legacy_nin (string, encrypted), severity (ENUM: LOW, MEDIUM, HIGH), source_database (ENUM: NIMC, NIBSS, BANK), detected_at (ISO 8601), resolved_at (ISO 8601, nullable), remediation_status (ENUM: PENDING, IN_PROGRESS, COMPLETED, FAILED)</w:t>
      </w:r>
    </w:p>
    <w:p>
      <w:pPr>
        <w:pStyle w:val="Heading2"/>
        <w:spacing w:after="200" w:before="200" w:line="360"/>
      </w:pPr>
      <w:r>
        <w:t xml:space="preserve">5.3 API Specification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3D3D3" w:val="clear"/>
          </w:tcPr>
          <w:p>
            <w:pPr>
              <w:spacing w:line="360"/>
            </w:pPr>
            <w:r>
              <w:t xml:space="preserve">Endpoint</w:t>
            </w:r>
          </w:p>
        </w:tc>
        <w:tc>
          <w:tcPr>
            <w:tcW w:type="pct" w:w="10%"/>
            <w:shd w:fill="D3D3D3" w:val="clear"/>
          </w:tcPr>
          <w:p>
            <w:pPr>
              <w:spacing w:line="360"/>
            </w:pPr>
            <w:r>
              <w:t xml:space="preserve">Method</w:t>
            </w:r>
          </w:p>
        </w:tc>
        <w:tc>
          <w:tcPr>
            <w:tcW w:type="pct" w:w="65%"/>
            <w:shd w:fill="D3D3D3" w:val="clear"/>
          </w:tcPr>
          <w:p>
            <w:pPr>
              <w:spacing w:line="360"/>
            </w:pPr>
            <w:r>
              <w:t xml:space="preserve">Purpose</w:t>
            </w:r>
          </w:p>
        </w:tc>
      </w:tr>
      <w:tr>
        <w:tc>
          <w:tcPr>
            <w:tcW w:type="pct" w:w="25%"/>
          </w:tcPr>
          <w:p>
            <w:pPr>
              <w:spacing w:line="360"/>
            </w:pPr>
            <w:r>
              <w:t xml:space="preserve">/events/sim-lifecycle</w:t>
            </w:r>
          </w:p>
        </w:tc>
        <w:tc>
          <w:tcPr>
            <w:tcW w:type="pct" w:w="10%"/>
          </w:tcPr>
          <w:p>
            <w:pPr>
              <w:spacing w:line="360"/>
            </w:pPr>
            <w:r>
              <w:t xml:space="preserve">POST</w:t>
            </w:r>
          </w:p>
        </w:tc>
        <w:tc>
          <w:tcPr>
            <w:tcW w:type="pct" w:w="65%"/>
          </w:tcPr>
          <w:p>
            <w:pPr>
              <w:spacing w:line="360"/>
            </w:pPr>
            <w:r>
              <w:t xml:space="preserve">Receive SIM lifecycle events from operators</w:t>
            </w:r>
          </w:p>
        </w:tc>
      </w:tr>
      <w:tr>
        <w:tc>
          <w:tcPr>
            <w:tcW w:type="pct" w:w="25%"/>
          </w:tcPr>
          <w:p>
            <w:pPr>
              <w:spacing w:line="360"/>
            </w:pPr>
            <w:r>
              <w:t xml:space="preserve">/conflicts/{msisdn}</w:t>
            </w:r>
          </w:p>
        </w:tc>
        <w:tc>
          <w:tcPr>
            <w:tcW w:type="pct" w:w="10%"/>
          </w:tcPr>
          <w:p>
            <w:pPr>
              <w:spacing w:line="360"/>
            </w:pPr>
            <w:r>
              <w:t xml:space="preserve">GET</w:t>
            </w:r>
          </w:p>
        </w:tc>
        <w:tc>
          <w:tcPr>
            <w:tcW w:type="pct" w:w="65%"/>
          </w:tcPr>
          <w:p>
            <w:pPr>
              <w:spacing w:line="360"/>
            </w:pPr>
            <w:r>
              <w:t xml:space="preserve">Query all conflicts for a given MSISDN</w:t>
            </w:r>
          </w:p>
        </w:tc>
      </w:tr>
      <w:tr>
        <w:tc>
          <w:tcPr>
            <w:tcW w:type="pct" w:w="25%"/>
          </w:tcPr>
          <w:p>
            <w:pPr>
              <w:spacing w:line="360"/>
            </w:pPr>
            <w:r>
              <w:t xml:space="preserve">/conflicts/{conflictId}/resolve</w:t>
            </w:r>
          </w:p>
        </w:tc>
        <w:tc>
          <w:tcPr>
            <w:tcW w:type="pct" w:w="10%"/>
          </w:tcPr>
          <w:p>
            <w:pPr>
              <w:spacing w:line="360"/>
            </w:pPr>
            <w:r>
              <w:t xml:space="preserve">POST</w:t>
            </w:r>
          </w:p>
        </w:tc>
        <w:tc>
          <w:tcPr>
            <w:tcW w:type="pct" w:w="65%"/>
          </w:tcPr>
          <w:p>
            <w:pPr>
              <w:spacing w:line="360"/>
            </w:pPr>
            <w:r>
              <w:t xml:space="preserve">Confirm identity delinking for a conflict</w:t>
            </w:r>
          </w:p>
        </w:tc>
      </w:tr>
      <w:tr>
        <w:tc>
          <w:tcPr>
            <w:tcW w:type="pct" w:w="25%"/>
          </w:tcPr>
          <w:p>
            <w:pPr>
              <w:spacing w:line="360"/>
            </w:pPr>
            <w:r>
              <w:t xml:space="preserve">/metrics/dashboard</w:t>
            </w:r>
          </w:p>
        </w:tc>
        <w:tc>
          <w:tcPr>
            <w:tcW w:type="pct" w:w="10%"/>
          </w:tcPr>
          <w:p>
            <w:pPr>
              <w:spacing w:line="360"/>
            </w:pPr>
            <w:r>
              <w:t xml:space="preserve">GET</w:t>
            </w:r>
          </w:p>
        </w:tc>
        <w:tc>
          <w:tcPr>
            <w:tcW w:type="pct" w:w="65%"/>
          </w:tcPr>
          <w:p>
            <w:pPr>
              <w:spacing w:line="360"/>
            </w:pPr>
            <w:r>
              <w:t xml:space="preserve">Retrieve real-time reconciliation metrics</w:t>
            </w:r>
          </w:p>
        </w:tc>
      </w:tr>
      <w:tr>
        <w:tc>
          <w:tcPr>
            <w:tcW w:type="pct" w:w="25%"/>
          </w:tcPr>
          <w:p>
            <w:pPr>
              <w:spacing w:line="360"/>
            </w:pPr>
            <w:r>
              <w:t xml:space="preserve">/audit-logs</w:t>
            </w:r>
          </w:p>
        </w:tc>
        <w:tc>
          <w:tcPr>
            <w:tcW w:type="pct" w:w="10%"/>
          </w:tcPr>
          <w:p>
            <w:pPr>
              <w:spacing w:line="360"/>
            </w:pPr>
            <w:r>
              <w:t xml:space="preserve">GET</w:t>
            </w:r>
          </w:p>
        </w:tc>
        <w:tc>
          <w:tcPr>
            <w:tcW w:type="pct" w:w="65%"/>
          </w:tcPr>
          <w:p>
            <w:pPr>
              <w:spacing w:line="360"/>
            </w:pPr>
            <w:r>
              <w:t xml:space="preserve">Query audit trail (regulators only)</w:t>
            </w:r>
          </w:p>
        </w:tc>
      </w:tr>
    </w:tbl>
    <w:p>
      <w:pPr>
        <w:spacing w:after="0" w:before="300" w:line="3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2026-03-22T23:03:52.972Z</dcterms:created>
  <dcterms:modified xsi:type="dcterms:W3CDTF">2026-03-22T23:03:52.972Z</dcterms:modified>
</cp:coreProperties>
</file>

<file path=docProps/custom.xml><?xml version="1.0" encoding="utf-8"?>
<Properties xmlns="http://schemas.openxmlformats.org/officeDocument/2006/custom-properties" xmlns:vt="http://schemas.openxmlformats.org/officeDocument/2006/docPropsVTypes"/>
</file>