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7B1616" w:val="clear"/>
            <w:tcMar>
              <w:top w:type="dxa" w:w="500"/>
              <w:left w:type="dxa" w:w="400"/>
              <w:bottom w:type="dxa" w:w="500"/>
              <w:right w:type="dxa" w:w="400"/>
            </w:tcMar>
          </w:tcPr>
          <w:p>
            <w:pPr>
              <w:jc w:val="center"/>
            </w:pPr>
            <w:r>
              <w:rPr>
                <w:rFonts w:ascii="Arial" w:cs="Arial" w:eastAsia="Arial" w:hAnsi="Arial"/>
                <w:b/>
                <w:bCs/>
                <w:color w:val="FFFFFF"/>
                <w:sz w:val="52"/>
                <w:szCs w:val="52"/>
              </w:rPr>
              <w:t xml:space="preserve">HEALTHCARE ANALYTICS REPORT</w:t>
            </w:r>
          </w:p>
          <w:p>
            <w:pPr>
              <w:spacing w:before="120" w:after="80"/>
              <w:jc w:val="center"/>
            </w:pPr>
            <w:r>
              <w:rPr>
                <w:rFonts w:ascii="Arial" w:cs="Arial" w:eastAsia="Arial" w:hAnsi="Arial"/>
                <w:i/>
                <w:iCs/>
                <w:color w:val="F5E8E8"/>
                <w:sz w:val="26"/>
                <w:szCs w:val="26"/>
              </w:rPr>
              <w:t xml:space="preserve">Power BI Dashboard Summary – FY 2024</w:t>
            </w:r>
          </w:p>
          <w:p>
            <w:pPr>
              <w:jc w:val="center"/>
            </w:pPr>
            <w:r>
              <w:rPr>
                <w:rFonts w:ascii="Arial" w:cs="Arial" w:eastAsia="Arial" w:hAnsi="Arial"/>
                <w:color w:val="F5E8E8"/>
                <w:sz w:val="22"/>
                <w:szCs w:val="22"/>
              </w:rPr>
              <w:t xml:space="preserve">1,000 Patients  |  4 Branches  |  8 Departments</w:t>
            </w:r>
          </w:p>
        </w:tc>
      </w:tr>
    </w:tbl>
    <w:p>
      <w:pPr>
        <w:spacing w:before="200"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1,000</w:t>
            </w:r>
          </w:p>
          <w:p>
            <w:pPr>
              <w:jc w:val="center"/>
            </w:pPr>
            <w:r>
              <w:rPr>
                <w:rFonts w:ascii="Arial" w:cs="Arial" w:eastAsia="Arial" w:hAnsi="Arial"/>
                <w:color w:val="595959"/>
                <w:sz w:val="17"/>
                <w:szCs w:val="17"/>
              </w:rPr>
              <w:t xml:space="preserve">Total Patients</w:t>
            </w:r>
          </w:p>
        </w:tc>
        <w:tc>
          <w:tcPr>
            <w:tcW w:type="dxa" w:w="1680"/>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₦2.47M</w:t>
            </w:r>
          </w:p>
          <w:p>
            <w:pPr>
              <w:jc w:val="center"/>
            </w:pPr>
            <w:r>
              <w:rPr>
                <w:rFonts w:ascii="Arial" w:cs="Arial" w:eastAsia="Arial" w:hAnsi="Arial"/>
                <w:color w:val="595959"/>
                <w:sz w:val="17"/>
                <w:szCs w:val="17"/>
              </w:rPr>
              <w:t xml:space="preserve">Total Revenue</w:t>
            </w:r>
          </w:p>
        </w:tc>
        <w:tc>
          <w:tcPr>
            <w:tcW w:type="dxa" w:w="1680"/>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73.7%</w:t>
            </w:r>
          </w:p>
          <w:p>
            <w:pPr>
              <w:jc w:val="center"/>
            </w:pPr>
            <w:r>
              <w:rPr>
                <w:rFonts w:ascii="Arial" w:cs="Arial" w:eastAsia="Arial" w:hAnsi="Arial"/>
                <w:color w:val="595959"/>
                <w:sz w:val="17"/>
                <w:szCs w:val="17"/>
              </w:rPr>
              <w:t xml:space="preserve">Recovery Rate</w:t>
            </w:r>
          </w:p>
        </w:tc>
        <w:tc>
          <w:tcPr>
            <w:tcW w:type="dxa" w:w="1680"/>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49.5%</w:t>
            </w:r>
          </w:p>
          <w:p>
            <w:pPr>
              <w:jc w:val="center"/>
            </w:pPr>
            <w:r>
              <w:rPr>
                <w:rFonts w:ascii="Arial" w:cs="Arial" w:eastAsia="Arial" w:hAnsi="Arial"/>
                <w:color w:val="595959"/>
                <w:sz w:val="17"/>
                <w:szCs w:val="17"/>
              </w:rPr>
              <w:t xml:space="preserve">Follow-up Rate</w:t>
            </w:r>
          </w:p>
        </w:tc>
        <w:tc>
          <w:tcPr>
            <w:tcW w:type="dxa" w:w="1680"/>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3.0 / 5</w:t>
            </w:r>
          </w:p>
          <w:p>
            <w:pPr>
              <w:jc w:val="center"/>
            </w:pPr>
            <w:r>
              <w:rPr>
                <w:rFonts w:ascii="Arial" w:cs="Arial" w:eastAsia="Arial" w:hAnsi="Arial"/>
                <w:color w:val="595959"/>
                <w:sz w:val="17"/>
                <w:szCs w:val="17"/>
              </w:rPr>
              <w:t xml:space="preserve">Avg Satisfaction</w:t>
            </w:r>
          </w:p>
        </w:tc>
        <w:tc>
          <w:tcPr>
            <w:tcW w:type="dxa" w:w="1680"/>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1.6%</w:t>
            </w:r>
          </w:p>
          <w:p>
            <w:pPr>
              <w:jc w:val="center"/>
            </w:pPr>
            <w:r>
              <w:rPr>
                <w:rFonts w:ascii="Arial" w:cs="Arial" w:eastAsia="Arial" w:hAnsi="Arial"/>
                <w:color w:val="595959"/>
                <w:sz w:val="17"/>
                <w:szCs w:val="17"/>
              </w:rPr>
              <w:t xml:space="preserve">Mortality Rate</w:t>
            </w:r>
          </w:p>
        </w:tc>
      </w:tr>
    </w:tbl>
    <w:p>
      <w:pPr>
        <w:spacing w:before="28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616" w:val="clear"/>
            <w:tcMar>
              <w:top w:type="dxa" w:w="100"/>
              <w:left w:type="dxa" w:w="200"/>
              <w:bottom w:type="dxa" w:w="100"/>
              <w:right w:type="dxa" w:w="200"/>
            </w:tcMar>
          </w:tcPr>
          <w:p>
            <w:pPr>
              <w:jc w:val="left"/>
            </w:pPr>
            <w:r>
              <w:rPr>
                <w:rFonts w:ascii="Arial" w:cs="Arial" w:eastAsia="Arial" w:hAnsi="Arial"/>
                <w:b/>
                <w:bCs/>
                <w:color w:val="FFFFFF"/>
                <w:sz w:val="28"/>
                <w:szCs w:val="28"/>
              </w:rPr>
              <w:t xml:space="preserve">SECTION 1: Executive Overview</w:t>
            </w:r>
          </w:p>
        </w:tc>
      </w:tr>
    </w:tbl>
    <w:p>
      <w:pPr>
        <w:spacing w:before="100" w:after="100"/>
      </w:pPr>
      <w:r>
        <w:t xml:space="preserve"/>
      </w:r>
    </w:p>
    <w:p>
      <w:pPr>
        <w:pStyle w:val="Heading2"/>
        <w:spacing w:before="240" w:after="100"/>
      </w:pPr>
      <w:r>
        <w:rPr>
          <w:rFonts w:ascii="Arial" w:cs="Arial" w:eastAsia="Arial" w:hAnsi="Arial"/>
          <w:b/>
          <w:bCs/>
          <w:color w:val="7B1616"/>
          <w:sz w:val="26"/>
          <w:szCs w:val="26"/>
        </w:rPr>
        <w:t xml:space="preserve">1.1  Purpose &amp; Scope</w:t>
      </w:r>
    </w:p>
    <w:p>
      <w:pPr>
        <w:spacing w:before="60" w:after="80"/>
        <w:ind/>
        <w:jc w:val="left"/>
      </w:pPr>
      <w:r>
        <w:rPr>
          <w:rFonts w:ascii="Arial" w:cs="Arial" w:eastAsia="Arial" w:hAnsi="Arial"/>
          <w:b w:val="false"/>
          <w:bCs w:val="false"/>
          <w:i w:val="false"/>
          <w:iCs w:val="false"/>
          <w:color w:val="2D2D2D"/>
          <w:sz w:val="22"/>
          <w:szCs w:val="22"/>
        </w:rPr>
        <w:t xml:space="preserve">The Executive Overview dashboard provides a high-level snapshot of hospital performance across all four branches (East, Central, North, West) and all eight clinical departments. It is designed to support senior leadership in tracking patient volume, revenue generation, clinical recovery, and operational quality at a glance.</w:t>
      </w:r>
    </w:p>
    <w:p>
      <w:pPr>
        <w:spacing w:before="80" w:after="80"/>
      </w:pPr>
      <w:r>
        <w:t xml:space="preserve"/>
      </w:r>
    </w:p>
    <w:p>
      <w:pPr>
        <w:pStyle w:val="Heading2"/>
        <w:spacing w:before="240" w:after="100"/>
      </w:pPr>
      <w:r>
        <w:rPr>
          <w:rFonts w:ascii="Arial" w:cs="Arial" w:eastAsia="Arial" w:hAnsi="Arial"/>
          <w:b/>
          <w:bCs/>
          <w:color w:val="7B1616"/>
          <w:sz w:val="26"/>
          <w:szCs w:val="26"/>
        </w:rPr>
        <w:t xml:space="preserve">1.2  Key Performance Indicators</w:t>
      </w:r>
    </w:p>
    <w:p>
      <w:pPr>
        <w:spacing w:before="60" w:after="80"/>
        <w:ind/>
        <w:jc w:val="left"/>
      </w:pPr>
      <w:r>
        <w:rPr>
          <w:rFonts w:ascii="Arial" w:cs="Arial" w:eastAsia="Arial" w:hAnsi="Arial"/>
          <w:b w:val="false"/>
          <w:bCs w:val="false"/>
          <w:i w:val="false"/>
          <w:iCs w:val="false"/>
          <w:color w:val="2D2D2D"/>
          <w:sz w:val="22"/>
          <w:szCs w:val="22"/>
        </w:rPr>
        <w:t xml:space="preserve">The six headline KPIs for the reporting period are as follows: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KPI</w:t>
            </w:r>
          </w:p>
        </w:tc>
        <w:tc>
          <w:tcPr>
            <w:tcW w:type="dxa" w:w="14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516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Total Patients</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1,000</w:t>
            </w:r>
          </w:p>
        </w:tc>
        <w:tc>
          <w:tcPr>
            <w:tcW w:type="dxa" w:w="5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Full census; baseline for all rate calculations</w:t>
            </w:r>
          </w:p>
        </w:tc>
      </w:tr>
      <w:tr>
        <w:tc>
          <w:tcPr>
            <w:tcW w:type="dxa" w:w="2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Total Revenue</w:t>
            </w:r>
          </w:p>
        </w:tc>
        <w:tc>
          <w:tcPr>
            <w:tcW w:type="dxa" w:w="1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₦2.47M</w:t>
            </w:r>
          </w:p>
        </w:tc>
        <w:tc>
          <w:tcPr>
            <w:tcW w:type="dxa" w:w="51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Combined gross revenue across all branches &amp; payers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Recovery Rate</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73.7%</w:t>
            </w:r>
          </w:p>
        </w:tc>
        <w:tc>
          <w:tcPr>
            <w:tcW w:type="dxa" w:w="5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Share of patients who achieved full recovery</w:t>
            </w:r>
          </w:p>
        </w:tc>
      </w:tr>
      <w:tr>
        <w:tc>
          <w:tcPr>
            <w:tcW w:type="dxa" w:w="2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Follow-up Rate</w:t>
            </w:r>
          </w:p>
        </w:tc>
        <w:tc>
          <w:tcPr>
            <w:tcW w:type="dxa" w:w="1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49.5%</w:t>
            </w:r>
          </w:p>
        </w:tc>
        <w:tc>
          <w:tcPr>
            <w:tcW w:type="dxa" w:w="51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Patients requiring or scheduled for follow-up care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Avg Satisfaction Score</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3.0 / 5</w:t>
            </w:r>
          </w:p>
        </w:tc>
        <w:tc>
          <w:tcPr>
            <w:tcW w:type="dxa" w:w="5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Patient-reported experience; mid-range; room to improve</w:t>
            </w:r>
          </w:p>
        </w:tc>
      </w:tr>
      <w:tr>
        <w:tc>
          <w:tcPr>
            <w:tcW w:type="dxa" w:w="2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Mortality Rate</w:t>
            </w:r>
          </w:p>
        </w:tc>
        <w:tc>
          <w:tcPr>
            <w:tcW w:type="dxa" w:w="1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1.6%</w:t>
            </w:r>
          </w:p>
        </w:tc>
        <w:tc>
          <w:tcPr>
            <w:tcW w:type="dxa" w:w="51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16 deaths per 1,000 patients; acceptable but monitored</w:t>
            </w:r>
          </w:p>
        </w:tc>
      </w:tr>
    </w:tbl>
    <w:p>
      <w:pPr>
        <w:spacing w:before="120" w:after="120"/>
      </w:pPr>
      <w:r>
        <w:t xml:space="preserve"/>
      </w:r>
    </w:p>
    <w:p>
      <w:pPr>
        <w:pStyle w:val="Heading2"/>
        <w:spacing w:before="240" w:after="100"/>
      </w:pPr>
      <w:r>
        <w:rPr>
          <w:rFonts w:ascii="Arial" w:cs="Arial" w:eastAsia="Arial" w:hAnsi="Arial"/>
          <w:b/>
          <w:bCs/>
          <w:color w:val="7B1616"/>
          <w:sz w:val="26"/>
          <w:szCs w:val="26"/>
        </w:rPr>
        <w:t xml:space="preserve">1.3  Patient Distribution by Department</w:t>
      </w:r>
    </w:p>
    <w:p>
      <w:pPr>
        <w:spacing w:before="60" w:after="80"/>
        <w:ind/>
        <w:jc w:val="left"/>
      </w:pPr>
      <w:r>
        <w:rPr>
          <w:rFonts w:ascii="Arial" w:cs="Arial" w:eastAsia="Arial" w:hAnsi="Arial"/>
          <w:b w:val="false"/>
          <w:bCs w:val="false"/>
          <w:i w:val="false"/>
          <w:iCs w:val="false"/>
          <w:color w:val="2D2D2D"/>
          <w:sz w:val="22"/>
          <w:szCs w:val="22"/>
        </w:rPr>
        <w:t xml:space="preserve">Obstetrics recorded the highest patient volume (151), followed closely by Gynaecology (138) and Dermatology (129). Neurology had the lowest volume (102), which may reflect referral patterns or specialist availability rather than demand. The relatively even spread across departments suggests balanced resource utilisation hospital-wide.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Department</w:t>
            </w:r>
          </w:p>
        </w:tc>
        <w:tc>
          <w:tcPr>
            <w:tcW w:type="dxa" w:w="14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Patients</w:t>
            </w:r>
          </w:p>
        </w:tc>
        <w:tc>
          <w:tcPr>
            <w:tcW w:type="dxa" w:w="516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of Total</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Obstetrics</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151</w:t>
            </w:r>
          </w:p>
        </w:tc>
        <w:tc>
          <w:tcPr>
            <w:tcW w:type="dxa" w:w="5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15.1%</w:t>
            </w:r>
          </w:p>
        </w:tc>
      </w:tr>
      <w:tr>
        <w:tc>
          <w:tcPr>
            <w:tcW w:type="dxa" w:w="2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Gynaecology</w:t>
            </w:r>
          </w:p>
        </w:tc>
        <w:tc>
          <w:tcPr>
            <w:tcW w:type="dxa" w:w="1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138</w:t>
            </w:r>
          </w:p>
        </w:tc>
        <w:tc>
          <w:tcPr>
            <w:tcW w:type="dxa" w:w="51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13.8%</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Dermatology</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129</w:t>
            </w:r>
          </w:p>
        </w:tc>
        <w:tc>
          <w:tcPr>
            <w:tcW w:type="dxa" w:w="5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12.9%</w:t>
            </w:r>
          </w:p>
        </w:tc>
      </w:tr>
      <w:tr>
        <w:tc>
          <w:tcPr>
            <w:tcW w:type="dxa" w:w="2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Orthopedics</w:t>
            </w:r>
          </w:p>
        </w:tc>
        <w:tc>
          <w:tcPr>
            <w:tcW w:type="dxa" w:w="1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124</w:t>
            </w:r>
          </w:p>
        </w:tc>
        <w:tc>
          <w:tcPr>
            <w:tcW w:type="dxa" w:w="51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12.4%</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Oncology</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122</w:t>
            </w:r>
          </w:p>
        </w:tc>
        <w:tc>
          <w:tcPr>
            <w:tcW w:type="dxa" w:w="5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12.2%</w:t>
            </w:r>
          </w:p>
        </w:tc>
      </w:tr>
      <w:tr>
        <w:tc>
          <w:tcPr>
            <w:tcW w:type="dxa" w:w="2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Emergency</w:t>
            </w:r>
          </w:p>
        </w:tc>
        <w:tc>
          <w:tcPr>
            <w:tcW w:type="dxa" w:w="1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121</w:t>
            </w:r>
          </w:p>
        </w:tc>
        <w:tc>
          <w:tcPr>
            <w:tcW w:type="dxa" w:w="51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12.1%</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Cardiology</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113</w:t>
            </w:r>
          </w:p>
        </w:tc>
        <w:tc>
          <w:tcPr>
            <w:tcW w:type="dxa" w:w="5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11.3%</w:t>
            </w:r>
          </w:p>
        </w:tc>
      </w:tr>
      <w:tr>
        <w:tc>
          <w:tcPr>
            <w:tcW w:type="dxa" w:w="2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Neurology</w:t>
            </w:r>
          </w:p>
        </w:tc>
        <w:tc>
          <w:tcPr>
            <w:tcW w:type="dxa" w:w="1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102</w:t>
            </w:r>
          </w:p>
        </w:tc>
        <w:tc>
          <w:tcPr>
            <w:tcW w:type="dxa" w:w="51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10.2%</w:t>
            </w:r>
          </w:p>
        </w:tc>
      </w:tr>
    </w:tbl>
    <w:p>
      <w:pPr>
        <w:spacing w:before="120" w:after="120"/>
      </w:pPr>
      <w:r>
        <w:t xml:space="preserve"/>
      </w:r>
    </w:p>
    <w:p>
      <w:pPr>
        <w:pStyle w:val="Heading2"/>
        <w:spacing w:before="240" w:after="100"/>
      </w:pPr>
      <w:r>
        <w:rPr>
          <w:rFonts w:ascii="Arial" w:cs="Arial" w:eastAsia="Arial" w:hAnsi="Arial"/>
          <w:b/>
          <w:bCs/>
          <w:color w:val="7B1616"/>
          <w:sz w:val="26"/>
          <w:szCs w:val="26"/>
        </w:rPr>
        <w:t xml:space="preserve">1.4  Monthly Patient Volume</w:t>
      </w:r>
    </w:p>
    <w:p>
      <w:pPr>
        <w:spacing w:before="60" w:after="80"/>
        <w:ind/>
        <w:jc w:val="left"/>
      </w:pPr>
      <w:r>
        <w:rPr>
          <w:rFonts w:ascii="Arial" w:cs="Arial" w:eastAsia="Arial" w:hAnsi="Arial"/>
          <w:b w:val="false"/>
          <w:bCs w:val="false"/>
          <w:i w:val="false"/>
          <w:iCs w:val="false"/>
          <w:color w:val="2D2D2D"/>
          <w:sz w:val="22"/>
          <w:szCs w:val="22"/>
        </w:rPr>
        <w:t xml:space="preserve">Patient admissions peaked in February (100 patients) and experienced a trough in April (71). A secondary peak of 88 was recorded in August, with a Q4 rebound to 87 in December after a dip to 73 in November. These seasonal fluctuations suggest cyclical demand patterns that should inform staffing and bed management strategies.</w:t>
      </w:r>
    </w:p>
    <w:p>
      <w:pPr>
        <w:spacing w:before="120" w:after="120"/>
      </w:pPr>
      <w:r>
        <w:t xml:space="preserve"/>
      </w:r>
    </w:p>
    <w:p>
      <w:pPr>
        <w:pStyle w:val="Heading2"/>
        <w:spacing w:before="240" w:after="100"/>
      </w:pPr>
      <w:r>
        <w:rPr>
          <w:rFonts w:ascii="Arial" w:cs="Arial" w:eastAsia="Arial" w:hAnsi="Arial"/>
          <w:b/>
          <w:bCs/>
          <w:color w:val="7B1616"/>
          <w:sz w:val="26"/>
          <w:szCs w:val="26"/>
        </w:rPr>
        <w:t xml:space="preserve">1.5  Revenue by Payment Status</w:t>
      </w:r>
    </w:p>
    <w:p>
      <w:pPr>
        <w:spacing w:before="60" w:after="80"/>
        <w:ind/>
        <w:jc w:val="left"/>
      </w:pPr>
      <w:r>
        <w:rPr>
          <w:rFonts w:ascii="Arial" w:cs="Arial" w:eastAsia="Arial" w:hAnsi="Arial"/>
          <w:b w:val="false"/>
          <w:bCs w:val="false"/>
          <w:i w:val="false"/>
          <w:iCs w:val="false"/>
          <w:color w:val="2D2D2D"/>
          <w:sz w:val="22"/>
          <w:szCs w:val="22"/>
        </w:rPr>
        <w:t xml:space="preserve">Paid revenue (₦882.49K) leads all payment categories, confirming that the majority of billed services are collected at point of care. However, a substantial ₦806.28K remains Pending, and ₦777.95K is under Insurance Processing, together representing over 64% of total revenue still to be realised. Accelerating insurance claim resolution and reducing pending balances should be a priority for the Finance team.</w:t>
      </w:r>
    </w:p>
    <w:p>
      <w:pPr>
        <w:spacing w:before="120" w:after="120"/>
      </w:pPr>
      <w:r>
        <w:t xml:space="preserve"/>
      </w:r>
    </w:p>
    <w:p>
      <w:pPr>
        <w:pStyle w:val="Heading2"/>
        <w:spacing w:before="240" w:after="100"/>
      </w:pPr>
      <w:r>
        <w:rPr>
          <w:rFonts w:ascii="Arial" w:cs="Arial" w:eastAsia="Arial" w:hAnsi="Arial"/>
          <w:b/>
          <w:bCs/>
          <w:color w:val="7B1616"/>
          <w:sz w:val="26"/>
          <w:szCs w:val="26"/>
        </w:rPr>
        <w:t xml:space="preserve">1.6  Recovery Rate Breakdown</w:t>
      </w:r>
    </w:p>
    <w:p>
      <w:pPr>
        <w:spacing w:before="60" w:after="80"/>
        <w:ind/>
        <w:jc w:val="left"/>
      </w:pPr>
      <w:r>
        <w:rPr>
          <w:rFonts w:ascii="Arial" w:cs="Arial" w:eastAsia="Arial" w:hAnsi="Arial"/>
          <w:b w:val="false"/>
          <w:bCs w:val="false"/>
          <w:i w:val="false"/>
          <w:iCs w:val="false"/>
          <w:color w:val="2D2D2D"/>
          <w:sz w:val="22"/>
          <w:szCs w:val="22"/>
        </w:rPr>
        <w:t xml:space="preserve">The donut chart on the Executive Overview page reveals the following outcome distribution:</w:t>
      </w:r>
    </w:p>
    <w:p>
      <w:pPr>
        <w:pStyle w:val="ListParagraph"/>
        <w:numPr>
          <w:ilvl w:val="0"/>
          <w:numId w:val="2"/>
        </w:numPr>
        <w:spacing w:before="40" w:after="40"/>
      </w:pPr>
      <w:r>
        <w:rPr>
          <w:rFonts w:ascii="Arial" w:cs="Arial" w:eastAsia="Arial" w:hAnsi="Arial"/>
          <w:color w:val="2D2D2D"/>
          <w:sz w:val="22"/>
          <w:szCs w:val="22"/>
        </w:rPr>
        <w:t xml:space="preserve">Recovered:  73.7%  – the dominant outcome across all departments</w:t>
      </w:r>
    </w:p>
    <w:p>
      <w:pPr>
        <w:pStyle w:val="ListParagraph"/>
        <w:numPr>
          <w:ilvl w:val="0"/>
          <w:numId w:val="2"/>
        </w:numPr>
        <w:spacing w:before="40" w:after="40"/>
      </w:pPr>
      <w:r>
        <w:rPr>
          <w:rFonts w:ascii="Arial" w:cs="Arial" w:eastAsia="Arial" w:hAnsi="Arial"/>
          <w:color w:val="2D2D2D"/>
          <w:sz w:val="22"/>
          <w:szCs w:val="22"/>
        </w:rPr>
        <w:t xml:space="preserve">Ongoing:    20.0%  – patients still under active treatment</w:t>
      </w:r>
    </w:p>
    <w:p>
      <w:pPr>
        <w:pStyle w:val="ListParagraph"/>
        <w:numPr>
          <w:ilvl w:val="0"/>
          <w:numId w:val="2"/>
        </w:numPr>
        <w:spacing w:before="40" w:after="40"/>
      </w:pPr>
      <w:r>
        <w:rPr>
          <w:rFonts w:ascii="Arial" w:cs="Arial" w:eastAsia="Arial" w:hAnsi="Arial"/>
          <w:color w:val="2D2D2D"/>
          <w:sz w:val="22"/>
          <w:szCs w:val="22"/>
        </w:rPr>
        <w:t xml:space="preserve">Referred:    4.7%  – cases transferred to higher-level or specialist care</w:t>
      </w:r>
    </w:p>
    <w:p>
      <w:pPr>
        <w:pStyle w:val="ListParagraph"/>
        <w:numPr>
          <w:ilvl w:val="0"/>
          <w:numId w:val="2"/>
        </w:numPr>
        <w:spacing w:before="40" w:after="40"/>
      </w:pPr>
      <w:r>
        <w:rPr>
          <w:rFonts w:ascii="Arial" w:cs="Arial" w:eastAsia="Arial" w:hAnsi="Arial"/>
          <w:color w:val="2D2D2D"/>
          <w:sz w:val="22"/>
          <w:szCs w:val="22"/>
        </w:rPr>
        <w:t xml:space="preserve">Deceased:    1.6%  – consistent with the headline Mortality Rate</w:t>
      </w:r>
    </w:p>
    <w:p>
      <w:pPr>
        <w:spacing w:before="100" w:after="100"/>
      </w:pPr>
      <w:r>
        <w:t xml:space="preserve"/>
      </w:r>
    </w:p>
    <w:p>
      <w:pPr>
        <w:spacing w:before="60" w:after="80"/>
        <w:ind/>
        <w:jc w:val="left"/>
      </w:pPr>
      <w:r>
        <w:rPr>
          <w:rFonts w:ascii="Arial" w:cs="Arial" w:eastAsia="Arial" w:hAnsi="Arial"/>
          <w:b w:val="false"/>
          <w:bCs w:val="false"/>
          <w:i/>
          <w:iCs/>
          <w:color w:val="2D2D2D"/>
          <w:sz w:val="22"/>
          <w:szCs w:val="22"/>
        </w:rPr>
        <w:t xml:space="preserve">The high recovery proportion is a positive indicator. The 20% ongoing cohort warrants monitoring to ensure timely discharge planning and to prevent bed-blocking.</w:t>
      </w:r>
    </w:p>
    <w:p>
      <w:pPr>
        <w:spacing w:before="28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616" w:val="clear"/>
            <w:tcMar>
              <w:top w:type="dxa" w:w="100"/>
              <w:left w:type="dxa" w:w="200"/>
              <w:bottom w:type="dxa" w:w="100"/>
              <w:right w:type="dxa" w:w="200"/>
            </w:tcMar>
          </w:tcPr>
          <w:p>
            <w:pPr>
              <w:jc w:val="left"/>
            </w:pPr>
            <w:r>
              <w:rPr>
                <w:rFonts w:ascii="Arial" w:cs="Arial" w:eastAsia="Arial" w:hAnsi="Arial"/>
                <w:b/>
                <w:bCs/>
                <w:color w:val="FFFFFF"/>
                <w:sz w:val="28"/>
                <w:szCs w:val="28"/>
              </w:rPr>
              <w:t xml:space="preserve">SECTION 2: Clinical Outcomes</w:t>
            </w:r>
          </w:p>
        </w:tc>
      </w:tr>
    </w:tbl>
    <w:p>
      <w:pPr>
        <w:spacing w:before="100" w:after="100"/>
      </w:pPr>
      <w:r>
        <w:t xml:space="preserve"/>
      </w:r>
    </w:p>
    <w:p>
      <w:pPr>
        <w:pStyle w:val="Heading2"/>
        <w:spacing w:before="240" w:after="100"/>
      </w:pPr>
      <w:r>
        <w:rPr>
          <w:rFonts w:ascii="Arial" w:cs="Arial" w:eastAsia="Arial" w:hAnsi="Arial"/>
          <w:b/>
          <w:bCs/>
          <w:color w:val="7B1616"/>
          <w:sz w:val="26"/>
          <w:szCs w:val="26"/>
        </w:rPr>
        <w:t xml:space="preserve">2.1  Purpose &amp; Scope</w:t>
      </w:r>
    </w:p>
    <w:p>
      <w:pPr>
        <w:spacing w:before="60" w:after="80"/>
        <w:ind/>
        <w:jc w:val="left"/>
      </w:pPr>
      <w:r>
        <w:rPr>
          <w:rFonts w:ascii="Arial" w:cs="Arial" w:eastAsia="Arial" w:hAnsi="Arial"/>
          <w:b w:val="false"/>
          <w:bCs w:val="false"/>
          <w:i w:val="false"/>
          <w:iCs w:val="false"/>
          <w:color w:val="2D2D2D"/>
          <w:sz w:val="22"/>
          <w:szCs w:val="22"/>
        </w:rPr>
        <w:t xml:space="preserve">The Clinical Outcomes dashboard provides a departmental breakdown of recovery rates, treatment types, and outcome distributions. It enables clinical directors to benchmark performance, identify departments with elevated mortality or referral rates, and track average length of stay (LOS) as a proxy for care efficiency.</w:t>
      </w:r>
    </w:p>
    <w:p>
      <w:pPr>
        <w:spacing w:before="80" w:after="80"/>
      </w:pPr>
      <w:r>
        <w:t xml:space="preserve"/>
      </w:r>
    </w:p>
    <w:p>
      <w:pPr>
        <w:pStyle w:val="Heading2"/>
        <w:spacing w:before="240" w:after="100"/>
      </w:pPr>
      <w:r>
        <w:rPr>
          <w:rFonts w:ascii="Arial" w:cs="Arial" w:eastAsia="Arial" w:hAnsi="Arial"/>
          <w:b/>
          <w:bCs/>
          <w:color w:val="7B1616"/>
          <w:sz w:val="26"/>
          <w:szCs w:val="26"/>
        </w:rPr>
        <w:t xml:space="preserve">2.2  Recovery Rate by Department</w:t>
      </w:r>
    </w:p>
    <w:p>
      <w:pPr>
        <w:spacing w:before="60" w:after="80"/>
        <w:ind/>
        <w:jc w:val="left"/>
      </w:pPr>
      <w:r>
        <w:rPr>
          <w:rFonts w:ascii="Arial" w:cs="Arial" w:eastAsia="Arial" w:hAnsi="Arial"/>
          <w:b w:val="false"/>
          <w:bCs w:val="false"/>
          <w:i w:val="false"/>
          <w:iCs w:val="false"/>
          <w:color w:val="2D2D2D"/>
          <w:sz w:val="22"/>
          <w:szCs w:val="22"/>
        </w:rPr>
        <w:t xml:space="preserve">Gynaecology leads with a recovery rate of 79.0%, followed by Obstetrics (76.2%), Cardiology (76.1%), and Orthopedics (75.8%). Emergency Department has the lowest recovery rate at 69.4%, reflecting the inherent complexity and acuity of emergency presentations.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760"/>
        <w:gridCol w:w="2100"/>
      </w:tblGrid>
      <w:tr>
        <w:trPr>
          <w:tblHeader/>
        </w:trPr>
        <w:tc>
          <w:tcPr>
            <w:tcW w:type="dxa" w:w="21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Department</w:t>
            </w:r>
          </w:p>
        </w:tc>
        <w:tc>
          <w:tcPr>
            <w:tcW w:type="dxa" w:w="17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Recovery Rate %</w:t>
            </w:r>
          </w:p>
        </w:tc>
        <w:tc>
          <w:tcPr>
            <w:tcW w:type="dxa" w:w="17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Avg LOS (days)</w:t>
            </w:r>
          </w:p>
        </w:tc>
        <w:tc>
          <w:tcPr>
            <w:tcW w:type="dxa" w:w="176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Avg Satisfaction</w:t>
            </w:r>
          </w:p>
        </w:tc>
        <w:tc>
          <w:tcPr>
            <w:tcW w:type="dxa" w:w="21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Total Patients</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Gynaecology</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78.99%</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2.55</w:t>
            </w:r>
          </w:p>
        </w:tc>
        <w:tc>
          <w:tcPr>
            <w:tcW w:type="dxa" w:w="1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3.03</w:t>
            </w:r>
          </w:p>
        </w:tc>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138</w:t>
            </w:r>
          </w:p>
        </w:tc>
      </w:tr>
      <w:tr>
        <w:tc>
          <w:tcPr>
            <w:tcW w:type="dxa" w:w="21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Obstetrics</w:t>
            </w:r>
          </w:p>
        </w:tc>
        <w:tc>
          <w:tcPr>
            <w:tcW w:type="dxa" w:w="17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76.16%</w:t>
            </w:r>
          </w:p>
        </w:tc>
        <w:tc>
          <w:tcPr>
            <w:tcW w:type="dxa" w:w="17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3.05</w:t>
            </w:r>
          </w:p>
        </w:tc>
        <w:tc>
          <w:tcPr>
            <w:tcW w:type="dxa" w:w="17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3.02</w:t>
            </w:r>
          </w:p>
        </w:tc>
        <w:tc>
          <w:tcPr>
            <w:tcW w:type="dxa" w:w="21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151</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Cardiology</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76.11%</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3.04</w:t>
            </w:r>
          </w:p>
        </w:tc>
        <w:tc>
          <w:tcPr>
            <w:tcW w:type="dxa" w:w="1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2.93</w:t>
            </w:r>
          </w:p>
        </w:tc>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113</w:t>
            </w:r>
          </w:p>
        </w:tc>
      </w:tr>
      <w:tr>
        <w:tc>
          <w:tcPr>
            <w:tcW w:type="dxa" w:w="21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Orthopedics</w:t>
            </w:r>
          </w:p>
        </w:tc>
        <w:tc>
          <w:tcPr>
            <w:tcW w:type="dxa" w:w="17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75.81%</w:t>
            </w:r>
          </w:p>
        </w:tc>
        <w:tc>
          <w:tcPr>
            <w:tcW w:type="dxa" w:w="17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2.60</w:t>
            </w:r>
          </w:p>
        </w:tc>
        <w:tc>
          <w:tcPr>
            <w:tcW w:type="dxa" w:w="17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2.97</w:t>
            </w:r>
          </w:p>
        </w:tc>
        <w:tc>
          <w:tcPr>
            <w:tcW w:type="dxa" w:w="21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124</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Neurology</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71.57%</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2.78</w:t>
            </w:r>
          </w:p>
        </w:tc>
        <w:tc>
          <w:tcPr>
            <w:tcW w:type="dxa" w:w="1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3.25</w:t>
            </w:r>
          </w:p>
        </w:tc>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102</w:t>
            </w:r>
          </w:p>
        </w:tc>
      </w:tr>
      <w:tr>
        <w:tc>
          <w:tcPr>
            <w:tcW w:type="dxa" w:w="21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Dermatology</w:t>
            </w:r>
          </w:p>
        </w:tc>
        <w:tc>
          <w:tcPr>
            <w:tcW w:type="dxa" w:w="17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70.54%</w:t>
            </w:r>
          </w:p>
        </w:tc>
        <w:tc>
          <w:tcPr>
            <w:tcW w:type="dxa" w:w="17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2.88</w:t>
            </w:r>
          </w:p>
        </w:tc>
        <w:tc>
          <w:tcPr>
            <w:tcW w:type="dxa" w:w="17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2.97</w:t>
            </w:r>
          </w:p>
        </w:tc>
        <w:tc>
          <w:tcPr>
            <w:tcW w:type="dxa" w:w="21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129</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Oncology</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69.67%</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2.66</w:t>
            </w:r>
          </w:p>
        </w:tc>
        <w:tc>
          <w:tcPr>
            <w:tcW w:type="dxa" w:w="1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2.74</w:t>
            </w:r>
          </w:p>
        </w:tc>
        <w:tc>
          <w:tcPr>
            <w:tcW w:type="dxa" w:w="2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122</w:t>
            </w:r>
          </w:p>
        </w:tc>
      </w:tr>
      <w:tr>
        <w:tc>
          <w:tcPr>
            <w:tcW w:type="dxa" w:w="21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Emergency</w:t>
            </w:r>
          </w:p>
        </w:tc>
        <w:tc>
          <w:tcPr>
            <w:tcW w:type="dxa" w:w="17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69.42%</w:t>
            </w:r>
          </w:p>
        </w:tc>
        <w:tc>
          <w:tcPr>
            <w:tcW w:type="dxa" w:w="17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3.20</w:t>
            </w:r>
          </w:p>
        </w:tc>
        <w:tc>
          <w:tcPr>
            <w:tcW w:type="dxa" w:w="17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2.81</w:t>
            </w:r>
          </w:p>
        </w:tc>
        <w:tc>
          <w:tcPr>
            <w:tcW w:type="dxa" w:w="21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121</w:t>
            </w:r>
          </w:p>
        </w:tc>
      </w:tr>
    </w:tbl>
    <w:p>
      <w:pPr>
        <w:spacing w:before="120" w:after="120"/>
      </w:pPr>
      <w:r>
        <w:t xml:space="preserve"/>
      </w:r>
    </w:p>
    <w:p>
      <w:pPr>
        <w:pStyle w:val="Heading2"/>
        <w:spacing w:before="240" w:after="100"/>
      </w:pPr>
      <w:r>
        <w:rPr>
          <w:rFonts w:ascii="Arial" w:cs="Arial" w:eastAsia="Arial" w:hAnsi="Arial"/>
          <w:b/>
          <w:bCs/>
          <w:color w:val="7B1616"/>
          <w:sz w:val="26"/>
          <w:szCs w:val="26"/>
        </w:rPr>
        <w:t xml:space="preserve">2.3  Key Clinical Findings</w:t>
      </w:r>
    </w:p>
    <w:p>
      <w:pPr>
        <w:spacing w:before="180" w:after="80"/>
      </w:pPr>
      <w:r>
        <w:rPr>
          <w:rFonts w:ascii="Arial" w:cs="Arial" w:eastAsia="Arial" w:hAnsi="Arial"/>
          <w:b/>
          <w:bCs/>
          <w:color w:val="2D2D2D"/>
          <w:sz w:val="22"/>
          <w:szCs w:val="22"/>
        </w:rPr>
        <w:t xml:space="preserve">Recovery Performance</w:t>
      </w:r>
    </w:p>
    <w:p>
      <w:pPr>
        <w:pStyle w:val="ListParagraph"/>
        <w:numPr>
          <w:ilvl w:val="0"/>
          <w:numId w:val="2"/>
        </w:numPr>
        <w:spacing w:before="40" w:after="40"/>
      </w:pPr>
      <w:r>
        <w:rPr>
          <w:rFonts w:ascii="Arial" w:cs="Arial" w:eastAsia="Arial" w:hAnsi="Arial"/>
          <w:color w:val="2D2D2D"/>
          <w:sz w:val="22"/>
          <w:szCs w:val="22"/>
        </w:rPr>
        <w:t xml:space="preserve">Gynaecology and Obstetrics outperform the hospital average (73.7%) by ~5–6 percentage points, suggesting strong clinical protocols.</w:t>
      </w:r>
    </w:p>
    <w:p>
      <w:pPr>
        <w:pStyle w:val="ListParagraph"/>
        <w:numPr>
          <w:ilvl w:val="0"/>
          <w:numId w:val="2"/>
        </w:numPr>
        <w:spacing w:before="40" w:after="40"/>
      </w:pPr>
      <w:r>
        <w:rPr>
          <w:rFonts w:ascii="Arial" w:cs="Arial" w:eastAsia="Arial" w:hAnsi="Arial"/>
          <w:color w:val="2D2D2D"/>
          <w:sz w:val="22"/>
          <w:szCs w:val="22"/>
        </w:rPr>
        <w:t xml:space="preserve">Oncology and Emergency fall below average, expected given patient acuity but worth tracking over time for improvement trends.</w:t>
      </w:r>
    </w:p>
    <w:p>
      <w:pPr>
        <w:pStyle w:val="ListParagraph"/>
        <w:numPr>
          <w:ilvl w:val="0"/>
          <w:numId w:val="2"/>
        </w:numPr>
        <w:spacing w:before="40" w:after="40"/>
      </w:pPr>
      <w:r>
        <w:rPr>
          <w:rFonts w:ascii="Arial" w:cs="Arial" w:eastAsia="Arial" w:hAnsi="Arial"/>
          <w:color w:val="2D2D2D"/>
          <w:sz w:val="22"/>
          <w:szCs w:val="22"/>
        </w:rPr>
        <w:t xml:space="preserve">Neurology achieves the highest Avg Satisfaction Score (3.25), despite a below-average recovery rate, indicating strong patient communication.</w:t>
      </w:r>
    </w:p>
    <w:p>
      <w:pPr>
        <w:spacing w:before="60" w:after="60"/>
      </w:pPr>
      <w:r>
        <w:t xml:space="preserve"/>
      </w:r>
    </w:p>
    <w:p>
      <w:pPr>
        <w:spacing w:before="180" w:after="80"/>
      </w:pPr>
      <w:r>
        <w:rPr>
          <w:rFonts w:ascii="Arial" w:cs="Arial" w:eastAsia="Arial" w:hAnsi="Arial"/>
          <w:b/>
          <w:bCs/>
          <w:color w:val="2D2D2D"/>
          <w:sz w:val="22"/>
          <w:szCs w:val="22"/>
        </w:rPr>
        <w:t xml:space="preserve">Length of Stay</w:t>
      </w:r>
    </w:p>
    <w:p>
      <w:pPr>
        <w:pStyle w:val="ListParagraph"/>
        <w:numPr>
          <w:ilvl w:val="0"/>
          <w:numId w:val="2"/>
        </w:numPr>
        <w:spacing w:before="40" w:after="40"/>
      </w:pPr>
      <w:r>
        <w:rPr>
          <w:rFonts w:ascii="Arial" w:cs="Arial" w:eastAsia="Arial" w:hAnsi="Arial"/>
          <w:color w:val="2D2D2D"/>
          <w:sz w:val="22"/>
          <w:szCs w:val="22"/>
        </w:rPr>
        <w:t xml:space="preserve">Emergency Dept has the longest average LOS (3.20 days), consistent with complex, unplanned presentations.</w:t>
      </w:r>
    </w:p>
    <w:p>
      <w:pPr>
        <w:pStyle w:val="ListParagraph"/>
        <w:numPr>
          <w:ilvl w:val="0"/>
          <w:numId w:val="2"/>
        </w:numPr>
        <w:spacing w:before="40" w:after="40"/>
      </w:pPr>
      <w:r>
        <w:rPr>
          <w:rFonts w:ascii="Arial" w:cs="Arial" w:eastAsia="Arial" w:hAnsi="Arial"/>
          <w:color w:val="2D2D2D"/>
          <w:sz w:val="22"/>
          <w:szCs w:val="22"/>
        </w:rPr>
        <w:t xml:space="preserve">Gynaecology has the shortest LOS (2.55 days), reflecting routine procedural cases with efficient discharge pathways.</w:t>
      </w:r>
    </w:p>
    <w:p>
      <w:pPr>
        <w:pStyle w:val="ListParagraph"/>
        <w:numPr>
          <w:ilvl w:val="0"/>
          <w:numId w:val="2"/>
        </w:numPr>
        <w:spacing w:before="40" w:after="40"/>
      </w:pPr>
      <w:r>
        <w:rPr>
          <w:rFonts w:ascii="Arial" w:cs="Arial" w:eastAsia="Arial" w:hAnsi="Arial"/>
          <w:color w:val="2D2D2D"/>
          <w:sz w:val="22"/>
          <w:szCs w:val="22"/>
        </w:rPr>
        <w:t xml:space="preserve">Overall LOS range of 2.55–3.20 days is narrow, indicating relatively consistent care delivery across departments.</w:t>
      </w:r>
    </w:p>
    <w:p>
      <w:pPr>
        <w:spacing w:before="60" w:after="60"/>
      </w:pPr>
      <w:r>
        <w:t xml:space="preserve"/>
      </w:r>
    </w:p>
    <w:p>
      <w:pPr>
        <w:spacing w:before="180" w:after="80"/>
      </w:pPr>
      <w:r>
        <w:rPr>
          <w:rFonts w:ascii="Arial" w:cs="Arial" w:eastAsia="Arial" w:hAnsi="Arial"/>
          <w:b/>
          <w:bCs/>
          <w:color w:val="2D2D2D"/>
          <w:sz w:val="22"/>
          <w:szCs w:val="22"/>
        </w:rPr>
        <w:t xml:space="preserve">Outcome by Department</w:t>
      </w:r>
    </w:p>
    <w:p>
      <w:pPr>
        <w:spacing w:before="60" w:after="80"/>
        <w:ind/>
        <w:jc w:val="left"/>
      </w:pPr>
      <w:r>
        <w:rPr>
          <w:rFonts w:ascii="Arial" w:cs="Arial" w:eastAsia="Arial" w:hAnsi="Arial"/>
          <w:b w:val="false"/>
          <w:bCs w:val="false"/>
          <w:i w:val="false"/>
          <w:iCs w:val="false"/>
          <w:color w:val="2D2D2D"/>
          <w:sz w:val="22"/>
          <w:szCs w:val="22"/>
        </w:rPr>
        <w:t xml:space="preserve">The stacked bar chart shows that Obstetrics has the largest absolute Recovered cohort, while Emergency and Oncology have visibly larger Ongoing portions. Neurology shows a slightly elevated Referred segment, which may indicate gaps in in-house specialist capacity.</w:t>
      </w:r>
    </w:p>
    <w:p>
      <w:pPr>
        <w:spacing w:before="120" w:after="120"/>
      </w:pPr>
      <w:r>
        <w:t xml:space="preserve"/>
      </w:r>
    </w:p>
    <w:p>
      <w:pPr>
        <w:pStyle w:val="Heading2"/>
        <w:spacing w:before="240" w:after="100"/>
      </w:pPr>
      <w:r>
        <w:rPr>
          <w:rFonts w:ascii="Arial" w:cs="Arial" w:eastAsia="Arial" w:hAnsi="Arial"/>
          <w:b/>
          <w:bCs/>
          <w:color w:val="7B1616"/>
          <w:sz w:val="26"/>
          <w:szCs w:val="26"/>
        </w:rPr>
        <w:t xml:space="preserve">2.4  Treatment Type Distribution</w:t>
      </w:r>
    </w:p>
    <w:p>
      <w:pPr>
        <w:spacing w:before="60" w:after="80"/>
        <w:ind/>
        <w:jc w:val="left"/>
      </w:pPr>
      <w:r>
        <w:rPr>
          <w:rFonts w:ascii="Arial" w:cs="Arial" w:eastAsia="Arial" w:hAnsi="Arial"/>
          <w:b w:val="false"/>
          <w:bCs w:val="false"/>
          <w:i w:val="false"/>
          <w:iCs w:val="false"/>
          <w:color w:val="2D2D2D"/>
          <w:sz w:val="22"/>
          <w:szCs w:val="22"/>
        </w:rPr>
        <w:t xml:space="preserve">Patients were treated across four modalities, with a near-even split:</w:t>
      </w:r>
    </w:p>
    <w:p>
      <w:pPr>
        <w:pStyle w:val="ListParagraph"/>
        <w:numPr>
          <w:ilvl w:val="0"/>
          <w:numId w:val="2"/>
        </w:numPr>
        <w:spacing w:before="40" w:after="40"/>
      </w:pPr>
      <w:r>
        <w:rPr>
          <w:rFonts w:ascii="Arial" w:cs="Arial" w:eastAsia="Arial" w:hAnsi="Arial"/>
          <w:color w:val="2D2D2D"/>
          <w:sz w:val="22"/>
          <w:szCs w:val="22"/>
        </w:rPr>
        <w:t xml:space="preserve">Surgery:      28.0%  – highest share, reflecting procedural case mix</w:t>
      </w:r>
    </w:p>
    <w:p>
      <w:pPr>
        <w:pStyle w:val="ListParagraph"/>
        <w:numPr>
          <w:ilvl w:val="0"/>
          <w:numId w:val="2"/>
        </w:numPr>
        <w:spacing w:before="40" w:after="40"/>
      </w:pPr>
      <w:r>
        <w:rPr>
          <w:rFonts w:ascii="Arial" w:cs="Arial" w:eastAsia="Arial" w:hAnsi="Arial"/>
          <w:color w:val="2D2D2D"/>
          <w:sz w:val="22"/>
          <w:szCs w:val="22"/>
        </w:rPr>
        <w:t xml:space="preserve">Medication:   26.8%</w:t>
      </w:r>
    </w:p>
    <w:p>
      <w:pPr>
        <w:pStyle w:val="ListParagraph"/>
        <w:numPr>
          <w:ilvl w:val="0"/>
          <w:numId w:val="2"/>
        </w:numPr>
        <w:spacing w:before="40" w:after="40"/>
      </w:pPr>
      <w:r>
        <w:rPr>
          <w:rFonts w:ascii="Arial" w:cs="Arial" w:eastAsia="Arial" w:hAnsi="Arial"/>
          <w:color w:val="2D2D2D"/>
          <w:sz w:val="22"/>
          <w:szCs w:val="22"/>
        </w:rPr>
        <w:t xml:space="preserve">Observation:  23.6%</w:t>
      </w:r>
    </w:p>
    <w:p>
      <w:pPr>
        <w:pStyle w:val="ListParagraph"/>
        <w:numPr>
          <w:ilvl w:val="0"/>
          <w:numId w:val="2"/>
        </w:numPr>
        <w:spacing w:before="40" w:after="40"/>
      </w:pPr>
      <w:r>
        <w:rPr>
          <w:rFonts w:ascii="Arial" w:cs="Arial" w:eastAsia="Arial" w:hAnsi="Arial"/>
          <w:color w:val="2D2D2D"/>
          <w:sz w:val="22"/>
          <w:szCs w:val="22"/>
        </w:rPr>
        <w:t xml:space="preserve">Therapy:      21.6%  – includes physiotherapy, counselling, and rehabilitation</w:t>
      </w:r>
    </w:p>
    <w:p>
      <w:pPr>
        <w:spacing w:before="60" w:after="60"/>
      </w:pPr>
      <w:r>
        <w:t xml:space="preserve"/>
      </w:r>
    </w:p>
    <w:p>
      <w:pPr>
        <w:spacing w:before="60" w:after="80"/>
        <w:ind/>
        <w:jc w:val="left"/>
      </w:pPr>
      <w:r>
        <w:rPr>
          <w:rFonts w:ascii="Arial" w:cs="Arial" w:eastAsia="Arial" w:hAnsi="Arial"/>
          <w:b w:val="false"/>
          <w:bCs w:val="false"/>
          <w:i/>
          <w:iCs/>
          <w:color w:val="2D2D2D"/>
          <w:sz w:val="22"/>
          <w:szCs w:val="22"/>
        </w:rPr>
        <w:t xml:space="preserve">The surgery-heavy mix has significant implications for cost, staffing, and theatre capacity planning. The therapy segment, while smallest, likely contributes to the high Gynaecology and Orthopedics recovery rates.</w:t>
      </w:r>
    </w:p>
    <w:p>
      <w:pPr>
        <w:spacing w:before="28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616" w:val="clear"/>
            <w:tcMar>
              <w:top w:type="dxa" w:w="100"/>
              <w:left w:type="dxa" w:w="200"/>
              <w:bottom w:type="dxa" w:w="100"/>
              <w:right w:type="dxa" w:w="200"/>
            </w:tcMar>
          </w:tcPr>
          <w:p>
            <w:pPr>
              <w:jc w:val="left"/>
            </w:pPr>
            <w:r>
              <w:rPr>
                <w:rFonts w:ascii="Arial" w:cs="Arial" w:eastAsia="Arial" w:hAnsi="Arial"/>
                <w:b/>
                <w:bCs/>
                <w:color w:val="FFFFFF"/>
                <w:sz w:val="28"/>
                <w:szCs w:val="28"/>
              </w:rPr>
              <w:t xml:space="preserve">SECTION 3: Financial Performance</w:t>
            </w:r>
          </w:p>
        </w:tc>
      </w:tr>
    </w:tbl>
    <w:p>
      <w:pPr>
        <w:spacing w:before="100" w:after="100"/>
      </w:pPr>
      <w:r>
        <w:t xml:space="preserve"/>
      </w:r>
    </w:p>
    <w:p>
      <w:pPr>
        <w:pStyle w:val="Heading2"/>
        <w:spacing w:before="240" w:after="100"/>
      </w:pPr>
      <w:r>
        <w:rPr>
          <w:rFonts w:ascii="Arial" w:cs="Arial" w:eastAsia="Arial" w:hAnsi="Arial"/>
          <w:b/>
          <w:bCs/>
          <w:color w:val="7B1616"/>
          <w:sz w:val="26"/>
          <w:szCs w:val="26"/>
        </w:rPr>
        <w:t xml:space="preserve">3.1  Purpose &amp; Scope</w:t>
      </w:r>
    </w:p>
    <w:p>
      <w:pPr>
        <w:spacing w:before="60" w:after="80"/>
        <w:ind/>
        <w:jc w:val="left"/>
      </w:pPr>
      <w:r>
        <w:rPr>
          <w:rFonts w:ascii="Arial" w:cs="Arial" w:eastAsia="Arial" w:hAnsi="Arial"/>
          <w:b w:val="false"/>
          <w:bCs w:val="false"/>
          <w:i w:val="false"/>
          <w:iCs w:val="false"/>
          <w:color w:val="2D2D2D"/>
          <w:sz w:val="22"/>
          <w:szCs w:val="22"/>
        </w:rPr>
        <w:t xml:space="preserve">The Financial Performance dashboard examines revenue streams by branch, department, treatment type, and insurance classification. Key metrics include collection rate, pending revenue, and surgery revenue — giving finance and operations teams a clear picture of where money is earned and where it is at risk.</w:t>
      </w:r>
    </w:p>
    <w:p>
      <w:pPr>
        <w:spacing w:before="80" w:after="80"/>
      </w:pPr>
      <w:r>
        <w:t xml:space="preserve"/>
      </w:r>
    </w:p>
    <w:p>
      <w:pPr>
        <w:pStyle w:val="Heading2"/>
        <w:spacing w:before="240" w:after="100"/>
      </w:pPr>
      <w:r>
        <w:rPr>
          <w:rFonts w:ascii="Arial" w:cs="Arial" w:eastAsia="Arial" w:hAnsi="Arial"/>
          <w:b/>
          <w:bCs/>
          <w:color w:val="7B1616"/>
          <w:sz w:val="26"/>
          <w:szCs w:val="26"/>
        </w:rPr>
        <w:t xml:space="preserve">3.2  Headline Financial KPIs</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₦2.47M</w:t>
            </w:r>
          </w:p>
          <w:p>
            <w:pPr>
              <w:jc w:val="center"/>
            </w:pPr>
            <w:r>
              <w:rPr>
                <w:rFonts w:ascii="Arial" w:cs="Arial" w:eastAsia="Arial" w:hAnsi="Arial"/>
                <w:color w:val="595959"/>
                <w:sz w:val="17"/>
                <w:szCs w:val="17"/>
              </w:rPr>
              <w:t xml:space="preserve">Total Revenue</w:t>
            </w:r>
          </w:p>
        </w:tc>
        <w:tc>
          <w:tcPr>
            <w:tcW w:type="dxa" w:w="2016"/>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35.8%</w:t>
            </w:r>
          </w:p>
          <w:p>
            <w:pPr>
              <w:jc w:val="center"/>
            </w:pPr>
            <w:r>
              <w:rPr>
                <w:rFonts w:ascii="Arial" w:cs="Arial" w:eastAsia="Arial" w:hAnsi="Arial"/>
                <w:color w:val="595959"/>
                <w:sz w:val="17"/>
                <w:szCs w:val="17"/>
              </w:rPr>
              <w:t xml:space="preserve">Collection Rate</w:t>
            </w:r>
          </w:p>
        </w:tc>
        <w:tc>
          <w:tcPr>
            <w:tcW w:type="dxa" w:w="2016"/>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₦806.3K</w:t>
            </w:r>
          </w:p>
          <w:p>
            <w:pPr>
              <w:jc w:val="center"/>
            </w:pPr>
            <w:r>
              <w:rPr>
                <w:rFonts w:ascii="Arial" w:cs="Arial" w:eastAsia="Arial" w:hAnsi="Arial"/>
                <w:color w:val="595959"/>
                <w:sz w:val="17"/>
                <w:szCs w:val="17"/>
              </w:rPr>
              <w:t xml:space="preserve">Pending Revenue</w:t>
            </w:r>
          </w:p>
        </w:tc>
        <w:tc>
          <w:tcPr>
            <w:tcW w:type="dxa" w:w="2016"/>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₦1.8M</w:t>
            </w:r>
          </w:p>
          <w:p>
            <w:pPr>
              <w:jc w:val="center"/>
            </w:pPr>
            <w:r>
              <w:rPr>
                <w:rFonts w:ascii="Arial" w:cs="Arial" w:eastAsia="Arial" w:hAnsi="Arial"/>
                <w:color w:val="595959"/>
                <w:sz w:val="17"/>
                <w:szCs w:val="17"/>
              </w:rPr>
              <w:t xml:space="preserve">Surgery Revenue</w:t>
            </w:r>
          </w:p>
        </w:tc>
        <w:tc>
          <w:tcPr>
            <w:tcW w:type="dxa" w:w="2016"/>
            <w:tcBorders>
              <w:top w:val="single" w:color="CCCCCC" w:sz="4"/>
              <w:left w:val="single" w:color="CCCCCC" w:sz="4"/>
              <w:bottom w:val="single" w:color="CCCCCC" w:sz="4"/>
              <w:right w:val="single" w:color="CCCCCC" w:sz="4"/>
            </w:tcBorders>
            <w:shd w:fill="F5E8E8" w:val="clear"/>
            <w:tcMar>
              <w:top w:type="dxa" w:w="100"/>
              <w:left w:type="dxa" w:w="140"/>
              <w:bottom w:type="dxa" w:w="100"/>
              <w:right w:type="dxa" w:w="140"/>
            </w:tcMar>
            <w:vAlign w:val="center"/>
          </w:tcPr>
          <w:p>
            <w:pPr>
              <w:jc w:val="center"/>
            </w:pPr>
            <w:r>
              <w:rPr>
                <w:rFonts w:ascii="Arial" w:cs="Arial" w:eastAsia="Arial" w:hAnsi="Arial"/>
                <w:b/>
                <w:bCs/>
                <w:color w:val="7B1616"/>
                <w:sz w:val="30"/>
                <w:szCs w:val="30"/>
              </w:rPr>
              <w:t xml:space="preserve">73.7%</w:t>
            </w:r>
          </w:p>
          <w:p>
            <w:pPr>
              <w:jc w:val="center"/>
            </w:pPr>
            <w:r>
              <w:rPr>
                <w:rFonts w:ascii="Arial" w:cs="Arial" w:eastAsia="Arial" w:hAnsi="Arial"/>
                <w:color w:val="595959"/>
                <w:sz w:val="17"/>
                <w:szCs w:val="17"/>
              </w:rPr>
              <w:t xml:space="preserve">Recovery Rate</w:t>
            </w:r>
          </w:p>
        </w:tc>
      </w:tr>
    </w:tbl>
    <w:p>
      <w:pPr>
        <w:spacing w:before="120" w:after="120"/>
      </w:pPr>
      <w:r>
        <w:t xml:space="preserve"/>
      </w:r>
    </w:p>
    <w:p>
      <w:pPr>
        <w:pStyle w:val="Heading2"/>
        <w:spacing w:before="240" w:after="100"/>
      </w:pPr>
      <w:r>
        <w:rPr>
          <w:rFonts w:ascii="Arial" w:cs="Arial" w:eastAsia="Arial" w:hAnsi="Arial"/>
          <w:b/>
          <w:bCs/>
          <w:color w:val="7B1616"/>
          <w:sz w:val="26"/>
          <w:szCs w:val="26"/>
        </w:rPr>
        <w:t xml:space="preserve">3.3  Revenue by Hospital Branch</w:t>
      </w:r>
    </w:p>
    <w:p>
      <w:pPr>
        <w:spacing w:before="60" w:after="80"/>
        <w:ind/>
        <w:jc w:val="left"/>
      </w:pPr>
      <w:r>
        <w:rPr>
          <w:rFonts w:ascii="Arial" w:cs="Arial" w:eastAsia="Arial" w:hAnsi="Arial"/>
          <w:b w:val="false"/>
          <w:bCs w:val="false"/>
          <w:i w:val="false"/>
          <w:iCs w:val="false"/>
          <w:color w:val="2D2D2D"/>
          <w:sz w:val="22"/>
          <w:szCs w:val="22"/>
        </w:rPr>
        <w:t xml:space="preserve">East Branch leads revenue generation at ₦648,197, closely followed by Central at ₦642,933. North (₦617,350) and West (₦558,238) trail behind, with West generating 14% less than East. This disparity may reflect differences in patient volume, case mix complexity, or pricing structures, and should be investigated to ensure equitable resource allocation.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480"/>
      </w:tblGrid>
      <w:tr>
        <w:trPr>
          <w:tblHeader/>
        </w:trPr>
        <w:tc>
          <w:tcPr>
            <w:tcW w:type="dxa" w:w="20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Branch</w:t>
            </w:r>
          </w:p>
        </w:tc>
        <w:tc>
          <w:tcPr>
            <w:tcW w:type="dxa" w:w="18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Revenue</w:t>
            </w:r>
          </w:p>
        </w:tc>
        <w:tc>
          <w:tcPr>
            <w:tcW w:type="dxa" w:w="18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of Total</w:t>
            </w:r>
          </w:p>
        </w:tc>
        <w:tc>
          <w:tcPr>
            <w:tcW w:type="dxa" w:w="448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Gap vs East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East</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₦648,197</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26.3%</w:t>
            </w:r>
          </w:p>
        </w:tc>
        <w:tc>
          <w:tcPr>
            <w:tcW w:type="dxa" w:w="4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Baseline</w:t>
            </w:r>
          </w:p>
        </w:tc>
      </w:tr>
      <w:tr>
        <w:tc>
          <w:tcPr>
            <w:tcW w:type="dxa" w:w="20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Central</w:t>
            </w:r>
          </w:p>
        </w:tc>
        <w:tc>
          <w:tcPr>
            <w:tcW w:type="dxa" w:w="1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₦642,933</w:t>
            </w:r>
          </w:p>
        </w:tc>
        <w:tc>
          <w:tcPr>
            <w:tcW w:type="dxa" w:w="1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26.1%</w:t>
            </w:r>
          </w:p>
        </w:tc>
        <w:tc>
          <w:tcPr>
            <w:tcW w:type="dxa" w:w="44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-₦5,264</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North</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₦617,350</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25.0%</w:t>
            </w:r>
          </w:p>
        </w:tc>
        <w:tc>
          <w:tcPr>
            <w:tcW w:type="dxa" w:w="4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-₦30,847</w:t>
            </w:r>
          </w:p>
        </w:tc>
      </w:tr>
      <w:tr>
        <w:tc>
          <w:tcPr>
            <w:tcW w:type="dxa" w:w="20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West</w:t>
            </w:r>
          </w:p>
        </w:tc>
        <w:tc>
          <w:tcPr>
            <w:tcW w:type="dxa" w:w="1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₦558,238</w:t>
            </w:r>
          </w:p>
        </w:tc>
        <w:tc>
          <w:tcPr>
            <w:tcW w:type="dxa" w:w="1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22.6%</w:t>
            </w:r>
          </w:p>
        </w:tc>
        <w:tc>
          <w:tcPr>
            <w:tcW w:type="dxa" w:w="44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-₦89,959</w:t>
            </w:r>
          </w:p>
        </w:tc>
      </w:tr>
    </w:tbl>
    <w:p>
      <w:pPr>
        <w:spacing w:before="120" w:after="120"/>
      </w:pPr>
      <w:r>
        <w:t xml:space="preserve"/>
      </w:r>
    </w:p>
    <w:p>
      <w:pPr>
        <w:pStyle w:val="Heading2"/>
        <w:spacing w:before="240" w:after="100"/>
      </w:pPr>
      <w:r>
        <w:rPr>
          <w:rFonts w:ascii="Arial" w:cs="Arial" w:eastAsia="Arial" w:hAnsi="Arial"/>
          <w:b/>
          <w:bCs/>
          <w:color w:val="7B1616"/>
          <w:sz w:val="26"/>
          <w:szCs w:val="26"/>
        </w:rPr>
        <w:t xml:space="preserve">3.4  Cost per Visit by Treatment Type</w:t>
      </w:r>
    </w:p>
    <w:p>
      <w:pPr>
        <w:spacing w:before="60" w:after="80"/>
        <w:ind/>
        <w:jc w:val="left"/>
      </w:pPr>
      <w:r>
        <w:rPr>
          <w:rFonts w:ascii="Arial" w:cs="Arial" w:eastAsia="Arial" w:hAnsi="Arial"/>
          <w:b w:val="false"/>
          <w:bCs w:val="false"/>
          <w:i w:val="false"/>
          <w:iCs w:val="false"/>
          <w:color w:val="2D2D2D"/>
          <w:sz w:val="22"/>
          <w:szCs w:val="22"/>
        </w:rPr>
        <w:t xml:space="preserve">Surgery is by far the most costly treatment type at ₦6,392.2 per visit — nearly 3.5× more than Therapy (₦1,852.4). Medication (₦460.4) and Observation (₦343.3) represent low unit-cost services but contribute significantly in aggregate given their volume.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rPr>
          <w:tblHeader/>
        </w:trPr>
        <w:tc>
          <w:tcPr>
            <w:tcW w:type="dxa" w:w="25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Treatment Type</w:t>
            </w:r>
          </w:p>
        </w:tc>
        <w:tc>
          <w:tcPr>
            <w:tcW w:type="dxa" w:w="25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Avg Cost per Visit</w:t>
            </w:r>
          </w:p>
        </w:tc>
        <w:tc>
          <w:tcPr>
            <w:tcW w:type="dxa" w:w="508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Cost Index (vs Observation)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Surgery</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₦6,392.2</w:t>
            </w:r>
          </w:p>
        </w:tc>
        <w:tc>
          <w:tcPr>
            <w:tcW w:type="dxa" w:w="5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18.6×</w:t>
            </w:r>
          </w:p>
        </w:tc>
      </w:tr>
      <w:tr>
        <w:tc>
          <w:tcPr>
            <w:tcW w:type="dxa" w:w="2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Therapy</w:t>
            </w:r>
          </w:p>
        </w:tc>
        <w:tc>
          <w:tcPr>
            <w:tcW w:type="dxa" w:w="2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₦1,852.4</w:t>
            </w:r>
          </w:p>
        </w:tc>
        <w:tc>
          <w:tcPr>
            <w:tcW w:type="dxa" w:w="50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5.4×</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Medication</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₦460.4</w:t>
            </w:r>
          </w:p>
        </w:tc>
        <w:tc>
          <w:tcPr>
            <w:tcW w:type="dxa" w:w="5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1.3×</w:t>
            </w:r>
          </w:p>
        </w:tc>
      </w:tr>
      <w:tr>
        <w:tc>
          <w:tcPr>
            <w:tcW w:type="dxa" w:w="2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Observation</w:t>
            </w:r>
          </w:p>
        </w:tc>
        <w:tc>
          <w:tcPr>
            <w:tcW w:type="dxa" w:w="2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₦343.3</w:t>
            </w:r>
          </w:p>
        </w:tc>
        <w:tc>
          <w:tcPr>
            <w:tcW w:type="dxa" w:w="50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1.0× (baseline)</w:t>
            </w:r>
          </w:p>
        </w:tc>
      </w:tr>
    </w:tbl>
    <w:p>
      <w:pPr>
        <w:spacing w:before="120" w:after="120"/>
      </w:pPr>
      <w:r>
        <w:t xml:space="preserve"/>
      </w:r>
    </w:p>
    <w:p>
      <w:pPr>
        <w:pStyle w:val="Heading2"/>
        <w:spacing w:before="240" w:after="100"/>
      </w:pPr>
      <w:r>
        <w:rPr>
          <w:rFonts w:ascii="Arial" w:cs="Arial" w:eastAsia="Arial" w:hAnsi="Arial"/>
          <w:b/>
          <w:bCs/>
          <w:color w:val="7B1616"/>
          <w:sz w:val="26"/>
          <w:szCs w:val="26"/>
        </w:rPr>
        <w:t xml:space="preserve">3.5  Average Cost per Visit by Department</w:t>
      </w:r>
    </w:p>
    <w:p>
      <w:pPr>
        <w:spacing w:before="60" w:after="80"/>
        <w:ind/>
        <w:jc w:val="left"/>
      </w:pPr>
      <w:r>
        <w:rPr>
          <w:rFonts w:ascii="Arial" w:cs="Arial" w:eastAsia="Arial" w:hAnsi="Arial"/>
          <w:b w:val="false"/>
          <w:bCs w:val="false"/>
          <w:i w:val="false"/>
          <w:iCs w:val="false"/>
          <w:color w:val="2D2D2D"/>
          <w:sz w:val="22"/>
          <w:szCs w:val="22"/>
        </w:rPr>
        <w:t xml:space="preserve">Emergency (₦2.80K) and Dermatology (₦2.71K) have the highest per-visit costs, while Oncology (₦1.97K) and Orthopedics (₦2.23K) are the most cost-efficient. Given Emergency's high LOS and complex case mix, its elevated cost is expected. Oncology's low cost per visit despite a below-average recovery rate may indicate under-resourcing relative to patient acuity.</w:t>
      </w:r>
    </w:p>
    <w:p>
      <w:pPr>
        <w:spacing w:before="120" w:after="120"/>
      </w:pPr>
      <w:r>
        <w:t xml:space="preserve"/>
      </w:r>
    </w:p>
    <w:p>
      <w:pPr>
        <w:pStyle w:val="Heading2"/>
        <w:spacing w:before="240" w:after="100"/>
      </w:pPr>
      <w:r>
        <w:rPr>
          <w:rFonts w:ascii="Arial" w:cs="Arial" w:eastAsia="Arial" w:hAnsi="Arial"/>
          <w:b/>
          <w:bCs/>
          <w:color w:val="7B1616"/>
          <w:sz w:val="26"/>
          <w:szCs w:val="26"/>
        </w:rPr>
        <w:t xml:space="preserve">3.6  Insurance Coverage &amp; Revenue by Type</w:t>
      </w:r>
    </w:p>
    <w:p>
      <w:pPr>
        <w:spacing w:before="60" w:after="80"/>
        <w:ind/>
        <w:jc w:val="left"/>
      </w:pPr>
      <w:r>
        <w:rPr>
          <w:rFonts w:ascii="Arial" w:cs="Arial" w:eastAsia="Arial" w:hAnsi="Arial"/>
          <w:b w:val="false"/>
          <w:bCs w:val="false"/>
          <w:i w:val="false"/>
          <w:iCs w:val="false"/>
          <w:color w:val="2D2D2D"/>
          <w:sz w:val="22"/>
          <w:szCs w:val="22"/>
        </w:rPr>
        <w:t xml:space="preserve">Private insurance dominates coverage at 44.2%, generating ₦1,094,872 in revenue. Government insurance (36.5%) contributes ₦876,664, while Uninsured patients (19.3%) account for ₦495,182. The uninsured segment presents the highest collection risk and likely drives the Pending Revenue balance.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4080"/>
      </w:tblGrid>
      <w:tr>
        <w:trPr>
          <w:tblHeader/>
        </w:trPr>
        <w:tc>
          <w:tcPr>
            <w:tcW w:type="dxa" w:w="22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Insurance Type</w:t>
            </w:r>
          </w:p>
        </w:tc>
        <w:tc>
          <w:tcPr>
            <w:tcW w:type="dxa" w:w="18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Coverage %</w:t>
            </w:r>
          </w:p>
        </w:tc>
        <w:tc>
          <w:tcPr>
            <w:tcW w:type="dxa" w:w="20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Revenue</w:t>
            </w:r>
          </w:p>
        </w:tc>
        <w:tc>
          <w:tcPr>
            <w:tcW w:type="dxa" w:w="408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of Total Revenue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Private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44.2%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₦1,094,872</w:t>
            </w:r>
          </w:p>
        </w:tc>
        <w:tc>
          <w:tcPr>
            <w:tcW w:type="dxa" w:w="4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44.3%</w:t>
            </w:r>
          </w:p>
        </w:tc>
      </w:tr>
      <w:tr>
        <w:tc>
          <w:tcPr>
            <w:tcW w:type="dxa" w:w="22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Government</w:t>
            </w:r>
          </w:p>
        </w:tc>
        <w:tc>
          <w:tcPr>
            <w:tcW w:type="dxa" w:w="1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36.5%</w:t>
            </w:r>
          </w:p>
        </w:tc>
        <w:tc>
          <w:tcPr>
            <w:tcW w:type="dxa" w:w="20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₦876,664</w:t>
            </w:r>
          </w:p>
        </w:tc>
        <w:tc>
          <w:tcPr>
            <w:tcW w:type="dxa" w:w="40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35.5%</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Uninsured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19.3%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₦495,182</w:t>
            </w:r>
          </w:p>
        </w:tc>
        <w:tc>
          <w:tcPr>
            <w:tcW w:type="dxa" w:w="4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20.1%</w:t>
            </w:r>
          </w:p>
        </w:tc>
      </w:tr>
    </w:tbl>
    <w:p>
      <w:pPr>
        <w:spacing w:before="120" w:after="120"/>
      </w:pPr>
      <w:r>
        <w:t xml:space="preserve"/>
      </w:r>
    </w:p>
    <w:p>
      <w:pPr>
        <w:pStyle w:val="Heading2"/>
        <w:spacing w:before="240" w:after="100"/>
      </w:pPr>
      <w:r>
        <w:rPr>
          <w:rFonts w:ascii="Arial" w:cs="Arial" w:eastAsia="Arial" w:hAnsi="Arial"/>
          <w:b/>
          <w:bCs/>
          <w:color w:val="7B1616"/>
          <w:sz w:val="26"/>
          <w:szCs w:val="26"/>
        </w:rPr>
        <w:t xml:space="preserve">3.7  Collection Rate Concern</w:t>
      </w:r>
    </w:p>
    <w:p>
      <w:pPr>
        <w:spacing w:before="60" w:after="80"/>
        <w:ind/>
        <w:jc w:val="left"/>
      </w:pPr>
      <w:r>
        <w:rPr>
          <w:rFonts w:ascii="Arial" w:cs="Arial" w:eastAsia="Arial" w:hAnsi="Arial"/>
          <w:b w:val="false"/>
          <w:bCs w:val="false"/>
          <w:i w:val="false"/>
          <w:iCs w:val="false"/>
          <w:color w:val="2D2D2D"/>
          <w:sz w:val="22"/>
          <w:szCs w:val="22"/>
        </w:rPr>
        <w:t xml:space="preserve">A collection rate of 35.8% means that less than four in ten billed naira have been fully collected. With ₦806.3K pending and a further ₦777.95K in insurance processing (from the Executive Overview), the hospital has significant revenue tied up in accounts receivable. Improving collection efficiency — particularly for insurance reimbursements — should be a strategic priority.</w:t>
      </w:r>
    </w:p>
    <w:p>
      <w:pPr>
        <w:spacing w:before="28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616" w:val="clear"/>
            <w:tcMar>
              <w:top w:type="dxa" w:w="100"/>
              <w:left w:type="dxa" w:w="200"/>
              <w:bottom w:type="dxa" w:w="100"/>
              <w:right w:type="dxa" w:w="200"/>
            </w:tcMar>
          </w:tcPr>
          <w:p>
            <w:pPr>
              <w:jc w:val="left"/>
            </w:pPr>
            <w:r>
              <w:rPr>
                <w:rFonts w:ascii="Arial" w:cs="Arial" w:eastAsia="Arial" w:hAnsi="Arial"/>
                <w:b/>
                <w:bCs/>
                <w:color w:val="FFFFFF"/>
                <w:sz w:val="28"/>
                <w:szCs w:val="28"/>
              </w:rPr>
              <w:t xml:space="preserve">SECTION 4: Patient Demographics</w:t>
            </w:r>
          </w:p>
        </w:tc>
      </w:tr>
    </w:tbl>
    <w:p>
      <w:pPr>
        <w:spacing w:before="100" w:after="100"/>
      </w:pPr>
      <w:r>
        <w:t xml:space="preserve"/>
      </w:r>
    </w:p>
    <w:p>
      <w:pPr>
        <w:pStyle w:val="Heading2"/>
        <w:spacing w:before="240" w:after="100"/>
      </w:pPr>
      <w:r>
        <w:rPr>
          <w:rFonts w:ascii="Arial" w:cs="Arial" w:eastAsia="Arial" w:hAnsi="Arial"/>
          <w:b/>
          <w:bCs/>
          <w:color w:val="7B1616"/>
          <w:sz w:val="26"/>
          <w:szCs w:val="26"/>
        </w:rPr>
        <w:t xml:space="preserve">4.1  Purpose &amp; Scope</w:t>
      </w:r>
    </w:p>
    <w:p>
      <w:pPr>
        <w:spacing w:before="60" w:after="80"/>
        <w:ind/>
        <w:jc w:val="left"/>
      </w:pPr>
      <w:r>
        <w:rPr>
          <w:rFonts w:ascii="Arial" w:cs="Arial" w:eastAsia="Arial" w:hAnsi="Arial"/>
          <w:b w:val="false"/>
          <w:bCs w:val="false"/>
          <w:i w:val="false"/>
          <w:iCs w:val="false"/>
          <w:color w:val="2D2D2D"/>
          <w:sz w:val="22"/>
          <w:szCs w:val="22"/>
        </w:rPr>
        <w:t xml:space="preserve">The Patient Demographics dashboard analyses the patient population by age group, treatment uptake, and clinical outcome, enabling planners to tailor services to the dominant patient segments and identify age cohorts with poorer outcomes.</w:t>
      </w:r>
    </w:p>
    <w:p>
      <w:pPr>
        <w:spacing w:before="80" w:after="80"/>
      </w:pPr>
      <w:r>
        <w:t xml:space="preserve"/>
      </w:r>
    </w:p>
    <w:p>
      <w:pPr>
        <w:pStyle w:val="Heading2"/>
        <w:spacing w:before="240" w:after="100"/>
      </w:pPr>
      <w:r>
        <w:rPr>
          <w:rFonts w:ascii="Arial" w:cs="Arial" w:eastAsia="Arial" w:hAnsi="Arial"/>
          <w:b/>
          <w:bCs/>
          <w:color w:val="7B1616"/>
          <w:sz w:val="26"/>
          <w:szCs w:val="26"/>
        </w:rPr>
        <w:t xml:space="preserve">4.2  Patient Distribution by Age Group</w:t>
      </w:r>
    </w:p>
    <w:p>
      <w:pPr>
        <w:spacing w:before="60" w:after="80"/>
        <w:ind/>
        <w:jc w:val="left"/>
      </w:pPr>
      <w:r>
        <w:rPr>
          <w:rFonts w:ascii="Arial" w:cs="Arial" w:eastAsia="Arial" w:hAnsi="Arial"/>
          <w:b w:val="false"/>
          <w:bCs w:val="false"/>
          <w:i w:val="false"/>
          <w:iCs w:val="false"/>
          <w:color w:val="2D2D2D"/>
          <w:sz w:val="22"/>
          <w:szCs w:val="22"/>
        </w:rPr>
        <w:t xml:space="preserve">Middle-Aged Adults form the largest patient group, accounting for nearly a third of all admissions: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5080"/>
      </w:tblGrid>
      <w:tr>
        <w:trPr>
          <w:tblHeader/>
        </w:trPr>
        <w:tc>
          <w:tcPr>
            <w:tcW w:type="dxa" w:w="35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Age Group</w:t>
            </w:r>
          </w:p>
        </w:tc>
        <w:tc>
          <w:tcPr>
            <w:tcW w:type="dxa" w:w="15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Patients</w:t>
            </w:r>
          </w:p>
        </w:tc>
        <w:tc>
          <w:tcPr>
            <w:tcW w:type="dxa" w:w="508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of Total</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Middle-Aged Adults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325</w:t>
            </w:r>
          </w:p>
        </w:tc>
        <w:tc>
          <w:tcPr>
            <w:tcW w:type="dxa" w:w="5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32.5%</w:t>
            </w:r>
          </w:p>
        </w:tc>
      </w:tr>
      <w:tr>
        <w:tc>
          <w:tcPr>
            <w:tcW w:type="dxa" w:w="3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Older Adults</w:t>
            </w:r>
          </w:p>
        </w:tc>
        <w:tc>
          <w:tcPr>
            <w:tcW w:type="dxa" w:w="1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246</w:t>
            </w:r>
          </w:p>
        </w:tc>
        <w:tc>
          <w:tcPr>
            <w:tcW w:type="dxa" w:w="50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24.6%</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Young Adults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236</w:t>
            </w:r>
          </w:p>
        </w:tc>
        <w:tc>
          <w:tcPr>
            <w:tcW w:type="dxa" w:w="5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23.6%</w:t>
            </w:r>
          </w:p>
        </w:tc>
      </w:tr>
      <w:tr>
        <w:tc>
          <w:tcPr>
            <w:tcW w:type="dxa" w:w="3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Old</w:t>
            </w:r>
          </w:p>
        </w:tc>
        <w:tc>
          <w:tcPr>
            <w:tcW w:type="dxa" w:w="1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134</w:t>
            </w:r>
          </w:p>
        </w:tc>
        <w:tc>
          <w:tcPr>
            <w:tcW w:type="dxa" w:w="50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13.4%</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Adolescents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59</w:t>
            </w:r>
          </w:p>
        </w:tc>
        <w:tc>
          <w:tcPr>
            <w:tcW w:type="dxa" w:w="5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5.9%</w:t>
            </w:r>
          </w:p>
        </w:tc>
      </w:tr>
    </w:tbl>
    <w:p>
      <w:pPr>
        <w:spacing w:before="120" w:after="120"/>
      </w:pPr>
      <w:r>
        <w:t xml:space="preserve"/>
      </w:r>
    </w:p>
    <w:p>
      <w:pPr>
        <w:pStyle w:val="Heading2"/>
        <w:spacing w:before="240" w:after="100"/>
      </w:pPr>
      <w:r>
        <w:rPr>
          <w:rFonts w:ascii="Arial" w:cs="Arial" w:eastAsia="Arial" w:hAnsi="Arial"/>
          <w:b/>
          <w:bCs/>
          <w:color w:val="7B1616"/>
          <w:sz w:val="26"/>
          <w:szCs w:val="26"/>
        </w:rPr>
        <w:t xml:space="preserve">4.3  Outcome by Age Group</w:t>
      </w:r>
    </w:p>
    <w:p>
      <w:pPr>
        <w:spacing w:before="60" w:after="80"/>
        <w:ind/>
        <w:jc w:val="left"/>
      </w:pPr>
      <w:r>
        <w:rPr>
          <w:rFonts w:ascii="Arial" w:cs="Arial" w:eastAsia="Arial" w:hAnsi="Arial"/>
          <w:b w:val="false"/>
          <w:bCs w:val="false"/>
          <w:i w:val="false"/>
          <w:iCs w:val="false"/>
          <w:color w:val="2D2D2D"/>
          <w:sz w:val="22"/>
          <w:szCs w:val="22"/>
        </w:rPr>
        <w:t xml:space="preserve">Recovery counts are highest among Middle-Aged Adults (233 recovered), followed by Older Adults (187) and Young Adults (178). However, when expressed as a proportion of their group size, the differences narrow — Middle-Aged Adults recover at ~72%, similar to Older Adults (~76%) and Young Adults (~75%). Adolescents appear to have the lowest absolute recovery (43), warranting further investigation given their relatively small cohort.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560"/>
      </w:tblGrid>
      <w:tr>
        <w:trPr>
          <w:tblHeader/>
        </w:trPr>
        <w:tc>
          <w:tcPr>
            <w:tcW w:type="dxa" w:w="28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Age Group</w:t>
            </w:r>
          </w:p>
        </w:tc>
        <w:tc>
          <w:tcPr>
            <w:tcW w:type="dxa" w:w="15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Recovered</w:t>
            </w:r>
          </w:p>
        </w:tc>
        <w:tc>
          <w:tcPr>
            <w:tcW w:type="dxa" w:w="15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Ongoing</w:t>
            </w:r>
          </w:p>
        </w:tc>
        <w:tc>
          <w:tcPr>
            <w:tcW w:type="dxa" w:w="15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Deceased</w:t>
            </w:r>
          </w:p>
        </w:tc>
        <w:tc>
          <w:tcPr>
            <w:tcW w:type="dxa" w:w="256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Referred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Middle-Aged Adults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233</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72</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r>
      <w:tr>
        <w:tc>
          <w:tcPr>
            <w:tcW w:type="dxa" w:w="2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Older Adults</w:t>
            </w:r>
          </w:p>
        </w:tc>
        <w:tc>
          <w:tcPr>
            <w:tcW w:type="dxa" w:w="1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187</w:t>
            </w:r>
          </w:p>
        </w:tc>
        <w:tc>
          <w:tcPr>
            <w:tcW w:type="dxa" w:w="1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44</w:t>
            </w:r>
          </w:p>
        </w:tc>
        <w:tc>
          <w:tcPr>
            <w:tcW w:type="dxa" w:w="1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c>
          <w:tcPr>
            <w:tcW w:type="dxa" w:w="25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Young Adults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178</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45</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r>
      <w:tr>
        <w:tc>
          <w:tcPr>
            <w:tcW w:type="dxa" w:w="28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Old</w:t>
            </w:r>
          </w:p>
        </w:tc>
        <w:tc>
          <w:tcPr>
            <w:tcW w:type="dxa" w:w="1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96</w:t>
            </w:r>
          </w:p>
        </w:tc>
        <w:tc>
          <w:tcPr>
            <w:tcW w:type="dxa" w:w="1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27</w:t>
            </w:r>
          </w:p>
        </w:tc>
        <w:tc>
          <w:tcPr>
            <w:tcW w:type="dxa" w:w="15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c>
          <w:tcPr>
            <w:tcW w:type="dxa" w:w="25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Adolescents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43</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r>
    </w:tbl>
    <w:p>
      <w:pPr>
        <w:spacing w:before="80" w:after="80"/>
      </w:pPr>
      <w:r>
        <w:t xml:space="preserve"/>
      </w:r>
    </w:p>
    <w:p>
      <w:pPr>
        <w:spacing w:before="60" w:after="80"/>
        <w:ind/>
        <w:jc w:val="left"/>
      </w:pPr>
      <w:r>
        <w:rPr>
          <w:rFonts w:ascii="Arial" w:cs="Arial" w:eastAsia="Arial" w:hAnsi="Arial"/>
          <w:b w:val="false"/>
          <w:bCs w:val="false"/>
          <w:i/>
          <w:iCs/>
          <w:color w:val="2D2D2D"/>
          <w:sz w:val="22"/>
          <w:szCs w:val="22"/>
        </w:rPr>
        <w:t xml:space="preserve">Note: Deceased and Referred sub-counts for individual age groups were not visible in the dashboard view. The totals across all groups are: Deceased = 16 (1.6%), Referred = 47 (4.7%).</w:t>
      </w:r>
    </w:p>
    <w:p>
      <w:pPr>
        <w:spacing w:before="120" w:after="120"/>
      </w:pPr>
      <w:r>
        <w:t xml:space="preserve"/>
      </w:r>
    </w:p>
    <w:p>
      <w:pPr>
        <w:pStyle w:val="Heading2"/>
        <w:spacing w:before="240" w:after="100"/>
      </w:pPr>
      <w:r>
        <w:rPr>
          <w:rFonts w:ascii="Arial" w:cs="Arial" w:eastAsia="Arial" w:hAnsi="Arial"/>
          <w:b/>
          <w:bCs/>
          <w:color w:val="7B1616"/>
          <w:sz w:val="26"/>
          <w:szCs w:val="26"/>
        </w:rPr>
        <w:t xml:space="preserve">4.4  Treatment Type Split</w:t>
      </w:r>
    </w:p>
    <w:p>
      <w:pPr>
        <w:spacing w:before="60" w:after="80"/>
        <w:ind/>
        <w:jc w:val="left"/>
      </w:pPr>
      <w:r>
        <w:rPr>
          <w:rFonts w:ascii="Arial" w:cs="Arial" w:eastAsia="Arial" w:hAnsi="Arial"/>
          <w:b w:val="false"/>
          <w:bCs w:val="false"/>
          <w:i w:val="false"/>
          <w:iCs w:val="false"/>
          <w:color w:val="2D2D2D"/>
          <w:sz w:val="22"/>
          <w:szCs w:val="22"/>
        </w:rPr>
        <w:t xml:space="preserve">The treatment split for demographics closely mirrors the overall hospital pattern: 50.5% of patients did not require surgery ('No'), while 49.5% underwent a surgical procedure ('Yes'). This near-equal split underscores the hospital's significant dependence on surgical capacity and has direct implications for theatre scheduling, anaesthesia resources, and post-operative care.</w:t>
      </w:r>
    </w:p>
    <w:p>
      <w:pPr>
        <w:spacing w:before="120" w:after="120"/>
      </w:pPr>
      <w:r>
        <w:t xml:space="preserve"/>
      </w:r>
    </w:p>
    <w:p>
      <w:pPr>
        <w:pStyle w:val="Heading2"/>
        <w:spacing w:before="240" w:after="100"/>
      </w:pPr>
      <w:r>
        <w:rPr>
          <w:rFonts w:ascii="Arial" w:cs="Arial" w:eastAsia="Arial" w:hAnsi="Arial"/>
          <w:b/>
          <w:bCs/>
          <w:color w:val="7B1616"/>
          <w:sz w:val="26"/>
          <w:szCs w:val="26"/>
        </w:rPr>
        <w:t xml:space="preserve">4.5  Department by Outcome</w:t>
      </w:r>
    </w:p>
    <w:p>
      <w:pPr>
        <w:spacing w:before="60" w:after="80"/>
        <w:ind/>
        <w:jc w:val="left"/>
      </w:pPr>
      <w:r>
        <w:rPr>
          <w:rFonts w:ascii="Arial" w:cs="Arial" w:eastAsia="Arial" w:hAnsi="Arial"/>
          <w:b w:val="false"/>
          <w:bCs w:val="false"/>
          <w:i w:val="false"/>
          <w:iCs w:val="false"/>
          <w:color w:val="2D2D2D"/>
          <w:sz w:val="22"/>
          <w:szCs w:val="22"/>
        </w:rPr>
        <w:t xml:space="preserve">The Department by Outcome table provides granular recovery data for all eight departments: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80"/>
        <w:gridCol w:w="1380"/>
        <w:gridCol w:w="1900"/>
        <w:gridCol w:w="2300"/>
      </w:tblGrid>
      <w:tr>
        <w:trPr>
          <w:tblHeader/>
        </w:trPr>
        <w:tc>
          <w:tcPr>
            <w:tcW w:type="dxa" w:w="22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Department</w:t>
            </w:r>
          </w:p>
        </w:tc>
        <w:tc>
          <w:tcPr>
            <w:tcW w:type="dxa" w:w="138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Deceased</w:t>
            </w:r>
          </w:p>
        </w:tc>
        <w:tc>
          <w:tcPr>
            <w:tcW w:type="dxa" w:w="138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Ongoing</w:t>
            </w:r>
          </w:p>
        </w:tc>
        <w:tc>
          <w:tcPr>
            <w:tcW w:type="dxa" w:w="19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Recovered</w:t>
            </w:r>
          </w:p>
        </w:tc>
        <w:tc>
          <w:tcPr>
            <w:tcW w:type="dxa" w:w="23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Referred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Cardiology</w:t>
            </w:r>
          </w:p>
        </w:tc>
        <w:tc>
          <w:tcPr>
            <w:tcW w:type="dxa" w:w="1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w:t>
            </w:r>
          </w:p>
        </w:tc>
        <w:tc>
          <w:tcPr>
            <w:tcW w:type="dxa" w:w="1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21</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86</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4</w:t>
            </w:r>
          </w:p>
        </w:tc>
      </w:tr>
      <w:tr>
        <w:tc>
          <w:tcPr>
            <w:tcW w:type="dxa" w:w="22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Dermatology</w:t>
            </w:r>
          </w:p>
        </w:tc>
        <w:tc>
          <w:tcPr>
            <w:tcW w:type="dxa" w:w="13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5</w:t>
            </w:r>
          </w:p>
        </w:tc>
        <w:tc>
          <w:tcPr>
            <w:tcW w:type="dxa" w:w="13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26</w:t>
            </w:r>
          </w:p>
        </w:tc>
        <w:tc>
          <w:tcPr>
            <w:tcW w:type="dxa" w:w="19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91</w:t>
            </w:r>
          </w:p>
        </w:tc>
        <w:tc>
          <w:tcPr>
            <w:tcW w:type="dxa" w:w="23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7</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Emergency</w:t>
            </w:r>
          </w:p>
        </w:tc>
        <w:tc>
          <w:tcPr>
            <w:tcW w:type="dxa" w:w="1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1</w:t>
            </w:r>
          </w:p>
        </w:tc>
        <w:tc>
          <w:tcPr>
            <w:tcW w:type="dxa" w:w="1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30</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84</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6</w:t>
            </w:r>
          </w:p>
        </w:tc>
      </w:tr>
      <w:tr>
        <w:tc>
          <w:tcPr>
            <w:tcW w:type="dxa" w:w="22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Gynaecology</w:t>
            </w:r>
          </w:p>
        </w:tc>
        <w:tc>
          <w:tcPr>
            <w:tcW w:type="dxa" w:w="13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w:t>
            </w:r>
          </w:p>
        </w:tc>
        <w:tc>
          <w:tcPr>
            <w:tcW w:type="dxa" w:w="13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24</w:t>
            </w:r>
          </w:p>
        </w:tc>
        <w:tc>
          <w:tcPr>
            <w:tcW w:type="dxa" w:w="19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109</w:t>
            </w:r>
          </w:p>
        </w:tc>
        <w:tc>
          <w:tcPr>
            <w:tcW w:type="dxa" w:w="23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4</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Neurology</w:t>
            </w:r>
          </w:p>
        </w:tc>
        <w:tc>
          <w:tcPr>
            <w:tcW w:type="dxa" w:w="1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w:t>
            </w:r>
          </w:p>
        </w:tc>
        <w:tc>
          <w:tcPr>
            <w:tcW w:type="dxa" w:w="1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21</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73</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8</w:t>
            </w:r>
          </w:p>
        </w:tc>
      </w:tr>
      <w:tr>
        <w:tc>
          <w:tcPr>
            <w:tcW w:type="dxa" w:w="22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Obstetrics</w:t>
            </w:r>
          </w:p>
        </w:tc>
        <w:tc>
          <w:tcPr>
            <w:tcW w:type="dxa" w:w="13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w:t>
            </w:r>
          </w:p>
        </w:tc>
        <w:tc>
          <w:tcPr>
            <w:tcW w:type="dxa" w:w="13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28</w:t>
            </w:r>
          </w:p>
        </w:tc>
        <w:tc>
          <w:tcPr>
            <w:tcW w:type="dxa" w:w="19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115</w:t>
            </w:r>
          </w:p>
        </w:tc>
        <w:tc>
          <w:tcPr>
            <w:tcW w:type="dxa" w:w="23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7</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Oncology</w:t>
            </w:r>
          </w:p>
        </w:tc>
        <w:tc>
          <w:tcPr>
            <w:tcW w:type="dxa" w:w="1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w:t>
            </w:r>
          </w:p>
        </w:tc>
        <w:tc>
          <w:tcPr>
            <w:tcW w:type="dxa" w:w="13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30</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85</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4</w:t>
            </w:r>
          </w:p>
        </w:tc>
      </w:tr>
      <w:tr>
        <w:tc>
          <w:tcPr>
            <w:tcW w:type="dxa" w:w="22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Orthopedics</w:t>
            </w:r>
          </w:p>
        </w:tc>
        <w:tc>
          <w:tcPr>
            <w:tcW w:type="dxa" w:w="13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3</w:t>
            </w:r>
          </w:p>
        </w:tc>
        <w:tc>
          <w:tcPr>
            <w:tcW w:type="dxa" w:w="138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20</w:t>
            </w:r>
          </w:p>
        </w:tc>
        <w:tc>
          <w:tcPr>
            <w:tcW w:type="dxa" w:w="19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94</w:t>
            </w:r>
          </w:p>
        </w:tc>
        <w:tc>
          <w:tcPr>
            <w:tcW w:type="dxa" w:w="23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7</w:t>
            </w:r>
          </w:p>
        </w:tc>
      </w:tr>
    </w:tbl>
    <w:p>
      <w:pPr>
        <w:spacing w:before="80" w:after="80"/>
      </w:pPr>
      <w:r>
        <w:t xml:space="preserve"/>
      </w:r>
    </w:p>
    <w:p>
      <w:pPr>
        <w:spacing w:before="60" w:after="80"/>
        <w:ind/>
        <w:jc w:val="left"/>
      </w:pPr>
      <w:r>
        <w:rPr>
          <w:rFonts w:ascii="Arial" w:cs="Arial" w:eastAsia="Arial" w:hAnsi="Arial"/>
          <w:b w:val="false"/>
          <w:bCs w:val="false"/>
          <w:i w:val="false"/>
          <w:iCs w:val="false"/>
          <w:color w:val="2D2D2D"/>
          <w:sz w:val="22"/>
          <w:szCs w:val="22"/>
        </w:rPr>
        <w:t xml:space="preserve">Gynaecology and Obstetrics have the highest absolute recovered counts (109 and 115 respectively), confirming their strong recovery rates seen in Section 2. Dermatology's 5 deaths and Oncology's 3 deaths are notable given their respective patient volumes and should be reviewed for preventable factors. Neurology has no recorded deaths but the highest referral rate (8), consistent with complexity requiring specialist escalation.</w:t>
      </w:r>
    </w:p>
    <w:p>
      <w:pPr>
        <w:spacing w:before="28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616" w:val="clear"/>
            <w:tcMar>
              <w:top w:type="dxa" w:w="100"/>
              <w:left w:type="dxa" w:w="200"/>
              <w:bottom w:type="dxa" w:w="100"/>
              <w:right w:type="dxa" w:w="200"/>
            </w:tcMar>
          </w:tcPr>
          <w:p>
            <w:pPr>
              <w:jc w:val="left"/>
            </w:pPr>
            <w:r>
              <w:rPr>
                <w:rFonts w:ascii="Arial" w:cs="Arial" w:eastAsia="Arial" w:hAnsi="Arial"/>
                <w:b/>
                <w:bCs/>
                <w:color w:val="FFFFFF"/>
                <w:sz w:val="28"/>
                <w:szCs w:val="28"/>
              </w:rPr>
              <w:t xml:space="preserve">SECTION 5: Cross-Dashboard Insights &amp; Recommendations</w:t>
            </w:r>
          </w:p>
        </w:tc>
      </w:tr>
    </w:tbl>
    <w:p>
      <w:pPr>
        <w:spacing w:before="100" w:after="100"/>
      </w:pPr>
      <w:r>
        <w:t xml:space="preserve"/>
      </w:r>
    </w:p>
    <w:p>
      <w:pPr>
        <w:pStyle w:val="Heading2"/>
        <w:spacing w:before="240" w:after="100"/>
      </w:pPr>
      <w:r>
        <w:rPr>
          <w:rFonts w:ascii="Arial" w:cs="Arial" w:eastAsia="Arial" w:hAnsi="Arial"/>
          <w:b/>
          <w:bCs/>
          <w:color w:val="7B1616"/>
          <w:sz w:val="26"/>
          <w:szCs w:val="26"/>
        </w:rPr>
        <w:t xml:space="preserve">5.1  Integrated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560"/>
      </w:tblGrid>
      <w:tr>
        <w:trPr>
          <w:tblHeader/>
        </w:trPr>
        <w:tc>
          <w:tcPr>
            <w:tcW w:type="dxa" w:w="24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Theme</w:t>
            </w:r>
          </w:p>
        </w:tc>
        <w:tc>
          <w:tcPr>
            <w:tcW w:type="dxa" w:w="440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Finding</w:t>
            </w:r>
          </w:p>
        </w:tc>
        <w:tc>
          <w:tcPr>
            <w:tcW w:type="dxa" w:w="1560"/>
            <w:tcBorders>
              <w:top w:val="single" w:color="CCCCCC" w:sz="4"/>
              <w:left w:val="single" w:color="CCCCCC" w:sz="4"/>
              <w:bottom w:val="single" w:color="CCCCCC" w:sz="4"/>
              <w:right w:val="single" w:color="CCCCCC" w:sz="4"/>
            </w:tcBorders>
            <w:shd w:fill="7B161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Revenue Collection</w:t>
            </w:r>
          </w:p>
        </w:tc>
        <w:tc>
          <w:tcPr>
            <w:tcW w:type="dxa" w:w="4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Collection rate of 35.8% with ₦1.6M+ outstanding</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HIGH</w:t>
            </w:r>
          </w:p>
        </w:tc>
      </w:tr>
      <w:tr>
        <w:tc>
          <w:tcPr>
            <w:tcW w:type="dxa" w:w="2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Recovery Gap</w:t>
            </w:r>
          </w:p>
        </w:tc>
        <w:tc>
          <w:tcPr>
            <w:tcW w:type="dxa" w:w="4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Emergency &amp; Oncology 4–5% below hospital average</w:t>
            </w:r>
          </w:p>
        </w:tc>
        <w:tc>
          <w:tcPr>
            <w:tcW w:type="dxa" w:w="15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HIGH</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Surgery Dependency</w:t>
            </w:r>
          </w:p>
        </w:tc>
        <w:tc>
          <w:tcPr>
            <w:tcW w:type="dxa" w:w="4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49.5% surgical patients; highest cost at ₦6,392/visit</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MEDIUM</w:t>
            </w:r>
          </w:p>
        </w:tc>
      </w:tr>
      <w:tr>
        <w:tc>
          <w:tcPr>
            <w:tcW w:type="dxa" w:w="2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Branch Disparity</w:t>
            </w:r>
          </w:p>
        </w:tc>
        <w:tc>
          <w:tcPr>
            <w:tcW w:type="dxa" w:w="4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West Branch 14% below East in revenue</w:t>
            </w:r>
          </w:p>
        </w:tc>
        <w:tc>
          <w:tcPr>
            <w:tcW w:type="dxa" w:w="15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MEDIUM</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D2D2D"/>
                <w:sz w:val="19"/>
                <w:szCs w:val="19"/>
              </w:rPr>
              <w:t xml:space="preserve">Patient Satisfaction</w:t>
            </w:r>
          </w:p>
        </w:tc>
        <w:tc>
          <w:tcPr>
            <w:tcW w:type="dxa" w:w="4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Score of 3.0/5; Oncology lowest at 2.74</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D2D2D"/>
                <w:sz w:val="19"/>
                <w:szCs w:val="19"/>
              </w:rPr>
              <w:t xml:space="preserve">MEDIUM</w:t>
            </w:r>
          </w:p>
        </w:tc>
      </w:tr>
      <w:tr>
        <w:tc>
          <w:tcPr>
            <w:tcW w:type="dxa" w:w="2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left"/>
            </w:pPr>
            <w:r>
              <w:rPr>
                <w:rFonts w:ascii="Arial" w:cs="Arial" w:eastAsia="Arial" w:hAnsi="Arial"/>
                <w:color w:val="2D2D2D"/>
                <w:sz w:val="19"/>
                <w:szCs w:val="19"/>
              </w:rPr>
              <w:t xml:space="preserve">Age-Specific Risk</w:t>
            </w:r>
          </w:p>
        </w:tc>
        <w:tc>
          <w:tcPr>
            <w:tcW w:type="dxa" w:w="440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Adolescent recovery trends need clearer data</w:t>
            </w:r>
          </w:p>
        </w:tc>
        <w:tc>
          <w:tcPr>
            <w:tcW w:type="dxa" w:w="1560"/>
            <w:tcBorders>
              <w:top w:val="single" w:color="CCCCCC" w:sz="4"/>
              <w:left w:val="single" w:color="CCCCCC" w:sz="4"/>
              <w:bottom w:val="single" w:color="CCCCCC" w:sz="4"/>
              <w:right w:val="single" w:color="CCCCCC" w:sz="4"/>
            </w:tcBorders>
            <w:shd w:fill="F5E8E8" w:val="clear"/>
            <w:tcMar>
              <w:top w:type="dxa" w:w="70"/>
              <w:left w:type="dxa" w:w="120"/>
              <w:bottom w:type="dxa" w:w="70"/>
              <w:right w:type="dxa" w:w="120"/>
            </w:tcMar>
          </w:tcPr>
          <w:p>
            <w:pPr>
              <w:jc w:val="center"/>
            </w:pPr>
            <w:r>
              <w:rPr>
                <w:rFonts w:ascii="Arial" w:cs="Arial" w:eastAsia="Arial" w:hAnsi="Arial"/>
                <w:color w:val="2D2D2D"/>
                <w:sz w:val="19"/>
                <w:szCs w:val="19"/>
              </w:rPr>
              <w:t xml:space="preserve">LOW</w:t>
            </w:r>
          </w:p>
        </w:tc>
      </w:tr>
    </w:tbl>
    <w:p>
      <w:pPr>
        <w:spacing w:before="120" w:after="120"/>
      </w:pPr>
      <w:r>
        <w:t xml:space="preserve"/>
      </w:r>
    </w:p>
    <w:p>
      <w:pPr>
        <w:pStyle w:val="Heading2"/>
        <w:spacing w:before="240" w:after="100"/>
      </w:pPr>
      <w:r>
        <w:rPr>
          <w:rFonts w:ascii="Arial" w:cs="Arial" w:eastAsia="Arial" w:hAnsi="Arial"/>
          <w:b/>
          <w:bCs/>
          <w:color w:val="7B1616"/>
          <w:sz w:val="26"/>
          <w:szCs w:val="26"/>
        </w:rPr>
        <w:t xml:space="preserve">5.2  Strategic Recommendations</w:t>
      </w:r>
    </w:p>
    <w:p>
      <w:pPr>
        <w:spacing w:before="180" w:after="80"/>
      </w:pPr>
      <w:r>
        <w:rPr>
          <w:rFonts w:ascii="Arial" w:cs="Arial" w:eastAsia="Arial" w:hAnsi="Arial"/>
          <w:b/>
          <w:bCs/>
          <w:color w:val="2D2D2D"/>
          <w:sz w:val="22"/>
          <w:szCs w:val="22"/>
        </w:rPr>
        <w:t xml:space="preserve">1.  Accelerate Revenue Recovery</w:t>
      </w:r>
    </w:p>
    <w:p>
      <w:pPr>
        <w:pStyle w:val="ListParagraph"/>
        <w:numPr>
          <w:ilvl w:val="0"/>
          <w:numId w:val="2"/>
        </w:numPr>
        <w:spacing w:before="40" w:after="40"/>
      </w:pPr>
      <w:r>
        <w:rPr>
          <w:rFonts w:ascii="Arial" w:cs="Arial" w:eastAsia="Arial" w:hAnsi="Arial"/>
          <w:color w:val="2D2D2D"/>
          <w:sz w:val="22"/>
          <w:szCs w:val="22"/>
        </w:rPr>
        <w:t xml:space="preserve">Establish a dedicated insurance liaison team to reduce the ₦777.95K in insurance processing.</w:t>
      </w:r>
    </w:p>
    <w:p>
      <w:pPr>
        <w:pStyle w:val="ListParagraph"/>
        <w:numPr>
          <w:ilvl w:val="0"/>
          <w:numId w:val="2"/>
        </w:numPr>
        <w:spacing w:before="40" w:after="40"/>
      </w:pPr>
      <w:r>
        <w:rPr>
          <w:rFonts w:ascii="Arial" w:cs="Arial" w:eastAsia="Arial" w:hAnsi="Arial"/>
          <w:color w:val="2D2D2D"/>
          <w:sz w:val="22"/>
          <w:szCs w:val="22"/>
        </w:rPr>
        <w:t xml:space="preserve">Implement automated billing reminders for the ₦806.28K pending balance.</w:t>
      </w:r>
    </w:p>
    <w:p>
      <w:pPr>
        <w:pStyle w:val="ListParagraph"/>
        <w:numPr>
          <w:ilvl w:val="0"/>
          <w:numId w:val="2"/>
        </w:numPr>
        <w:spacing w:before="40" w:after="40"/>
      </w:pPr>
      <w:r>
        <w:rPr>
          <w:rFonts w:ascii="Arial" w:cs="Arial" w:eastAsia="Arial" w:hAnsi="Arial"/>
          <w:color w:val="2D2D2D"/>
          <w:sz w:val="22"/>
          <w:szCs w:val="22"/>
        </w:rPr>
        <w:t xml:space="preserve">Set a target collection rate of 55% within two quarters.</w:t>
      </w:r>
    </w:p>
    <w:p>
      <w:pPr>
        <w:spacing w:before="60" w:after="60"/>
      </w:pPr>
      <w:r>
        <w:t xml:space="preserve"/>
      </w:r>
    </w:p>
    <w:p>
      <w:pPr>
        <w:spacing w:before="180" w:after="80"/>
      </w:pPr>
      <w:r>
        <w:rPr>
          <w:rFonts w:ascii="Arial" w:cs="Arial" w:eastAsia="Arial" w:hAnsi="Arial"/>
          <w:b/>
          <w:bCs/>
          <w:color w:val="2D2D2D"/>
          <w:sz w:val="22"/>
          <w:szCs w:val="22"/>
        </w:rPr>
        <w:t xml:space="preserve">2.  Improve Emergency &amp; Oncology Outcomes</w:t>
      </w:r>
    </w:p>
    <w:p>
      <w:pPr>
        <w:pStyle w:val="ListParagraph"/>
        <w:numPr>
          <w:ilvl w:val="0"/>
          <w:numId w:val="2"/>
        </w:numPr>
        <w:spacing w:before="40" w:after="40"/>
      </w:pPr>
      <w:r>
        <w:rPr>
          <w:rFonts w:ascii="Arial" w:cs="Arial" w:eastAsia="Arial" w:hAnsi="Arial"/>
          <w:color w:val="2D2D2D"/>
          <w:sz w:val="22"/>
          <w:szCs w:val="22"/>
        </w:rPr>
        <w:t xml:space="preserve">Commission a clinical audit of Emergency and Oncology protocols, focusing on the gap between presentation acuity and recovery rates.</w:t>
      </w:r>
    </w:p>
    <w:p>
      <w:pPr>
        <w:pStyle w:val="ListParagraph"/>
        <w:numPr>
          <w:ilvl w:val="0"/>
          <w:numId w:val="2"/>
        </w:numPr>
        <w:spacing w:before="40" w:after="40"/>
      </w:pPr>
      <w:r>
        <w:rPr>
          <w:rFonts w:ascii="Arial" w:cs="Arial" w:eastAsia="Arial" w:hAnsi="Arial"/>
          <w:color w:val="2D2D2D"/>
          <w:sz w:val="22"/>
          <w:szCs w:val="22"/>
        </w:rPr>
        <w:t xml:space="preserve">Evaluate staffing ratios in both departments against national benchmarks.</w:t>
      </w:r>
    </w:p>
    <w:p>
      <w:pPr>
        <w:pStyle w:val="ListParagraph"/>
        <w:numPr>
          <w:ilvl w:val="0"/>
          <w:numId w:val="2"/>
        </w:numPr>
        <w:spacing w:before="40" w:after="40"/>
      </w:pPr>
      <w:r>
        <w:rPr>
          <w:rFonts w:ascii="Arial" w:cs="Arial" w:eastAsia="Arial" w:hAnsi="Arial"/>
          <w:color w:val="2D2D2D"/>
          <w:sz w:val="22"/>
          <w:szCs w:val="22"/>
        </w:rPr>
        <w:t xml:space="preserve">Introduce structured mortality review meetings for the 5 Dermatology deaths.</w:t>
      </w:r>
    </w:p>
    <w:p>
      <w:pPr>
        <w:spacing w:before="60" w:after="60"/>
      </w:pPr>
      <w:r>
        <w:t xml:space="preserve"/>
      </w:r>
    </w:p>
    <w:p>
      <w:pPr>
        <w:spacing w:before="180" w:after="80"/>
      </w:pPr>
      <w:r>
        <w:rPr>
          <w:rFonts w:ascii="Arial" w:cs="Arial" w:eastAsia="Arial" w:hAnsi="Arial"/>
          <w:b/>
          <w:bCs/>
          <w:color w:val="2D2D2D"/>
          <w:sz w:val="22"/>
          <w:szCs w:val="22"/>
        </w:rPr>
        <w:t xml:space="preserve">3.  Optimise Surgical Capacity</w:t>
      </w:r>
    </w:p>
    <w:p>
      <w:pPr>
        <w:pStyle w:val="ListParagraph"/>
        <w:numPr>
          <w:ilvl w:val="0"/>
          <w:numId w:val="2"/>
        </w:numPr>
        <w:spacing w:before="40" w:after="40"/>
      </w:pPr>
      <w:r>
        <w:rPr>
          <w:rFonts w:ascii="Arial" w:cs="Arial" w:eastAsia="Arial" w:hAnsi="Arial"/>
          <w:color w:val="2D2D2D"/>
          <w:sz w:val="22"/>
          <w:szCs w:val="22"/>
        </w:rPr>
        <w:t xml:space="preserve">With 49.5% surgical patients and a unit cost of ₦6,392, theatre utilisation efficiency should be tracked monthly.</w:t>
      </w:r>
    </w:p>
    <w:p>
      <w:pPr>
        <w:pStyle w:val="ListParagraph"/>
        <w:numPr>
          <w:ilvl w:val="0"/>
          <w:numId w:val="2"/>
        </w:numPr>
        <w:spacing w:before="40" w:after="40"/>
      </w:pPr>
      <w:r>
        <w:rPr>
          <w:rFonts w:ascii="Arial" w:cs="Arial" w:eastAsia="Arial" w:hAnsi="Arial"/>
          <w:color w:val="2D2D2D"/>
          <w:sz w:val="22"/>
          <w:szCs w:val="22"/>
        </w:rPr>
        <w:t xml:space="preserve">Consider day-surgery expansion for Gynaecology and Orthopedics to reduce LOS and cost.</w:t>
      </w:r>
    </w:p>
    <w:p>
      <w:pPr>
        <w:spacing w:before="60" w:after="60"/>
      </w:pPr>
      <w:r>
        <w:t xml:space="preserve"/>
      </w:r>
    </w:p>
    <w:p>
      <w:pPr>
        <w:spacing w:before="180" w:after="80"/>
      </w:pPr>
      <w:r>
        <w:rPr>
          <w:rFonts w:ascii="Arial" w:cs="Arial" w:eastAsia="Arial" w:hAnsi="Arial"/>
          <w:b/>
          <w:bCs/>
          <w:color w:val="2D2D2D"/>
          <w:sz w:val="22"/>
          <w:szCs w:val="22"/>
        </w:rPr>
        <w:t xml:space="preserve">4.  Address West Branch Revenue Gap</w:t>
      </w:r>
    </w:p>
    <w:p>
      <w:pPr>
        <w:pStyle w:val="ListParagraph"/>
        <w:numPr>
          <w:ilvl w:val="0"/>
          <w:numId w:val="2"/>
        </w:numPr>
        <w:spacing w:before="40" w:after="40"/>
      </w:pPr>
      <w:r>
        <w:rPr>
          <w:rFonts w:ascii="Arial" w:cs="Arial" w:eastAsia="Arial" w:hAnsi="Arial"/>
          <w:color w:val="2D2D2D"/>
          <w:sz w:val="22"/>
          <w:szCs w:val="22"/>
        </w:rPr>
        <w:t xml:space="preserve">Investigate whether the ₦89,959 gap vs East Branch is driven by lower volume, lower-acuity cases, or pricing differences.</w:t>
      </w:r>
    </w:p>
    <w:p>
      <w:pPr>
        <w:pStyle w:val="ListParagraph"/>
        <w:numPr>
          <w:ilvl w:val="0"/>
          <w:numId w:val="2"/>
        </w:numPr>
        <w:spacing w:before="40" w:after="40"/>
      </w:pPr>
      <w:r>
        <w:rPr>
          <w:rFonts w:ascii="Arial" w:cs="Arial" w:eastAsia="Arial" w:hAnsi="Arial"/>
          <w:color w:val="2D2D2D"/>
          <w:sz w:val="22"/>
          <w:szCs w:val="22"/>
        </w:rPr>
        <w:t xml:space="preserve">Consider targeted community outreach in the West Branch catchment area to drive volume growth.</w:t>
      </w:r>
    </w:p>
    <w:p>
      <w:pPr>
        <w:spacing w:before="60" w:after="60"/>
      </w:pPr>
      <w:r>
        <w:t xml:space="preserve"/>
      </w:r>
    </w:p>
    <w:p>
      <w:pPr>
        <w:spacing w:before="180" w:after="80"/>
      </w:pPr>
      <w:r>
        <w:rPr>
          <w:rFonts w:ascii="Arial" w:cs="Arial" w:eastAsia="Arial" w:hAnsi="Arial"/>
          <w:b/>
          <w:bCs/>
          <w:color w:val="2D2D2D"/>
          <w:sz w:val="22"/>
          <w:szCs w:val="22"/>
        </w:rPr>
        <w:t xml:space="preserve">5.  Improve Patient Satisfaction</w:t>
      </w:r>
    </w:p>
    <w:p>
      <w:pPr>
        <w:pStyle w:val="ListParagraph"/>
        <w:numPr>
          <w:ilvl w:val="0"/>
          <w:numId w:val="2"/>
        </w:numPr>
        <w:spacing w:before="40" w:after="40"/>
      </w:pPr>
      <w:r>
        <w:rPr>
          <w:rFonts w:ascii="Arial" w:cs="Arial" w:eastAsia="Arial" w:hAnsi="Arial"/>
          <w:color w:val="2D2D2D"/>
          <w:sz w:val="22"/>
          <w:szCs w:val="22"/>
        </w:rPr>
        <w:t xml:space="preserve">Oncology (2.74) and Cardiology (2.93) satisfaction scores are below the hospital average — conduct patient exit interviews to identify root causes.</w:t>
      </w:r>
    </w:p>
    <w:p>
      <w:pPr>
        <w:pStyle w:val="ListParagraph"/>
        <w:numPr>
          <w:ilvl w:val="0"/>
          <w:numId w:val="2"/>
        </w:numPr>
        <w:spacing w:before="40" w:after="40"/>
      </w:pPr>
      <w:r>
        <w:rPr>
          <w:rFonts w:ascii="Arial" w:cs="Arial" w:eastAsia="Arial" w:hAnsi="Arial"/>
          <w:color w:val="2D2D2D"/>
          <w:sz w:val="22"/>
          <w:szCs w:val="22"/>
        </w:rPr>
        <w:t xml:space="preserve">Leverage Neurology's best-practice communication approach (score 3.25) as a model for other departments.</w:t>
      </w:r>
    </w:p>
    <w:p>
      <w:pPr>
        <w:spacing w:before="200" w:after="200"/>
      </w:pPr>
      <w:r>
        <w:t xml:space="preserve"/>
      </w:r>
    </w:p>
    <w:p>
      <w:pPr>
        <w:pBdr>
          <w:top w:val="single" w:color="D9A0A0" w:sz="4" w:space="4"/>
        </w:pBdr>
        <w:spacing w:before="200"/>
        <w:jc w:val="center"/>
      </w:pPr>
      <w:r>
        <w:rPr>
          <w:rFonts w:ascii="Arial" w:cs="Arial" w:eastAsia="Arial" w:hAnsi="Arial"/>
          <w:i/>
          <w:iCs/>
          <w:color w:val="595959"/>
          <w:sz w:val="16"/>
          <w:szCs w:val="16"/>
        </w:rPr>
        <w:t xml:space="preserve">Prepared from Power BI Healthcare Analytics Dashboard  |  FY 2024  |  1,000 Patients  |  4 Branches  |  8 Departments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7B1616"/>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7B16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2026-03-29T10:30:06.475Z</dcterms:created>
  <dcterms:modified xsi:type="dcterms:W3CDTF">2026-03-29T10:30:06.475Z</dcterms:modified>
</cp:coreProperties>
</file>

<file path=docProps/custom.xml><?xml version="1.0" encoding="utf-8"?>
<Properties xmlns="http://schemas.openxmlformats.org/officeDocument/2006/custom-properties" xmlns:vt="http://schemas.openxmlformats.org/officeDocument/2006/docPropsVTypes"/>
</file>