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4765C" w:rsidRDefault="004719BB">
      <w:pPr>
        <w:pStyle w:val="Title"/>
      </w:pPr>
      <w:r>
        <w:t>VNQuant (financial_tool) — Architecture, Code-Flow &amp; Risk Review</w:t>
      </w:r>
    </w:p>
    <w:p w:rsidR="0044765C" w:rsidRDefault="004719BB">
      <w:pPr>
        <w:pStyle w:val="Subtitle"/>
      </w:pPr>
      <w:r>
        <w:t>Prepared from a review of the current codebase and the reference/ archive</w:t>
      </w:r>
    </w:p>
    <w:p w:rsidR="0044765C" w:rsidRDefault="004719BB">
      <w:pPr>
        <w:pStyle w:val="Date"/>
      </w:pPr>
      <w:r>
        <w:t>2026-08-09</w:t>
      </w:r>
    </w:p>
    <w:sdt>
      <w:sdtPr>
        <w:rPr>
          <w:rFonts w:asciiTheme="minorHAnsi" w:eastAsiaTheme="minorEastAsia" w:hAnsiTheme="minorHAnsi" w:cstheme="minorBidi"/>
          <w:color w:val="auto"/>
          <w:sz w:val="24"/>
          <w:szCs w:val="24"/>
        </w:rPr>
        <w:id w:val="-1600320468"/>
        <w:docPartObj>
          <w:docPartGallery w:val="Table of Contents"/>
          <w:docPartUnique/>
        </w:docPartObj>
      </w:sdtPr>
      <w:sdtEndPr/>
      <w:sdtContent>
        <w:p w:rsidR="0044765C" w:rsidRDefault="004719BB">
          <w:pPr>
            <w:pStyle w:val="TOCHeading"/>
          </w:pPr>
          <w:r>
            <w:t>Table of Contents</w:t>
          </w:r>
        </w:p>
        <w:p w:rsidR="004719BB" w:rsidRDefault="004719BB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\o "1-2" \h \z \u</w:instrText>
          </w:r>
          <w:r>
            <w:fldChar w:fldCharType="separate"/>
          </w:r>
          <w:hyperlink w:anchor="_Toc237176027" w:history="1">
            <w:r w:rsidRPr="007F207D">
              <w:rPr>
                <w:rStyle w:val="Hyperlink"/>
                <w:noProof/>
              </w:rPr>
              <w:t>1. Executive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_Toc237176027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719BB" w:rsidRDefault="004719B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7176028" w:history="1">
            <w:r w:rsidRPr="007F207D">
              <w:rPr>
                <w:rStyle w:val="Hyperlink"/>
                <w:noProof/>
              </w:rPr>
              <w:t>2. Current State (for context)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_Toc237176028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719BB" w:rsidRDefault="004719B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7176029" w:history="1">
            <w:r w:rsidRPr="007F207D">
              <w:rPr>
                <w:rStyle w:val="Hyperlink"/>
                <w:noProof/>
              </w:rPr>
              <w:t>3. Architecture &amp; Code-Flow Recommendations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_Toc237176029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719BB" w:rsidRDefault="004719B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7176030" w:history="1">
            <w:r w:rsidRPr="007F207D">
              <w:rPr>
                <w:rStyle w:val="Hyperlink"/>
                <w:noProof/>
              </w:rPr>
              <w:t>4. Lessons From the Personal Experiment Archive (</w:t>
            </w:r>
            <w:r w:rsidRPr="007F207D">
              <w:rPr>
                <w:rStyle w:val="Hyperlink"/>
                <w:rFonts w:ascii="Consolas" w:hAnsi="Consolas"/>
                <w:noProof/>
              </w:rPr>
              <w:t>reference/1</w:t>
            </w:r>
            <w:r w:rsidRPr="007F207D">
              <w:rPr>
                <w:rStyle w:val="Hyperlink"/>
                <w:noProof/>
              </w:rPr>
              <w:t xml:space="preserve">, </w:t>
            </w:r>
            <w:r w:rsidRPr="007F207D">
              <w:rPr>
                <w:rStyle w:val="Hyperlink"/>
                <w:rFonts w:ascii="Consolas" w:hAnsi="Consolas"/>
                <w:noProof/>
              </w:rPr>
              <w:t>reference/finance101</w:t>
            </w:r>
            <w:r w:rsidRPr="007F207D">
              <w:rPr>
                <w:rStyle w:val="Hyperlink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_Toc237176030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719BB" w:rsidRDefault="004719B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7176031" w:history="1">
            <w:r w:rsidRPr="007F207D">
              <w:rPr>
                <w:rStyle w:val="Hyperlink"/>
                <w:noProof/>
              </w:rPr>
              <w:t>5. Possible Future Direction (explicitly out of current scope): Personal Portfolio Tracking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_Toc237176031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719BB" w:rsidRDefault="004719B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7176032" w:history="1">
            <w:r w:rsidRPr="007F207D">
              <w:rPr>
                <w:rStyle w:val="Hyperlink"/>
                <w:noProof/>
              </w:rPr>
              <w:t>6. Potential Errors / Logical Mistakes in the Current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_Toc237176032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719BB" w:rsidRDefault="004719B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7176033" w:history="1">
            <w:r w:rsidRPr="007F207D">
              <w:rPr>
                <w:rStyle w:val="Hyperlink"/>
                <w:noProof/>
              </w:rPr>
              <w:t>7. Prioritized Recommendations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_Toc237176033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4765C" w:rsidRDefault="004719BB">
          <w:r>
            <w:fldChar w:fldCharType="end"/>
          </w:r>
        </w:p>
      </w:sdtContent>
    </w:sdt>
    <w:p w:rsidR="0044765C" w:rsidRDefault="004719BB">
      <w:pPr>
        <w:pStyle w:val="Heading1"/>
      </w:pPr>
      <w:bookmarkStart w:id="0" w:name="executive-summary"/>
      <w:bookmarkStart w:id="1" w:name="_Toc237176027"/>
      <w:r>
        <w:t>1. Executive Summary</w:t>
      </w:r>
      <w:bookmarkEnd w:id="1"/>
    </w:p>
    <w:p w:rsidR="0044765C" w:rsidRDefault="004719BB">
      <w:pPr>
        <w:pStyle w:val="FirstParagraph"/>
      </w:pPr>
      <w:r>
        <w:rPr>
          <w:rStyle w:val="VerbatimChar"/>
        </w:rPr>
        <w:t>financial_tool</w:t>
      </w:r>
      <w:r>
        <w:t xml:space="preserve"> (package </w:t>
      </w:r>
      <w:r>
        <w:rPr>
          <w:rStyle w:val="VerbatimChar"/>
        </w:rPr>
        <w:t>vnquant</w:t>
      </w:r>
      <w:r>
        <w:t>) is in good shape for where it is: the data layer (</w:t>
      </w:r>
      <w:r>
        <w:rPr>
          <w:rStyle w:val="VerbatimChar"/>
        </w:rPr>
        <w:t>market_access/</w:t>
      </w:r>
      <w:r>
        <w:t>), six valuation models (</w:t>
      </w:r>
      <w:r>
        <w:rPr>
          <w:rStyle w:val="VerbatimChar"/>
        </w:rPr>
        <w:t>valuation/</w:t>
      </w:r>
      <w:r>
        <w:t>), a hand-built OLS regression pipeline with a full diagnostic/remediation loop (</w:t>
      </w:r>
      <w:r>
        <w:rPr>
          <w:rStyle w:val="VerbatimChar"/>
        </w:rPr>
        <w:t>regression/</w:t>
      </w:r>
      <w:r>
        <w:t>), and error metrics (</w:t>
      </w:r>
      <w:r>
        <w:rPr>
          <w:rStyle w:val="VerbatimChar"/>
        </w:rPr>
        <w:t>metrics/</w:t>
      </w:r>
      <w:r>
        <w:t>) are all built and verified agai</w:t>
      </w:r>
      <w:r>
        <w:t>nst real market data. Nothing below is a request to change direction — the “one hand-verified brick at a time, no test suite, no premature abstraction” approach is working and should continue.</w:t>
      </w:r>
    </w:p>
    <w:p w:rsidR="0044765C" w:rsidRDefault="004719BB">
      <w:pPr>
        <w:pStyle w:val="BodyText"/>
      </w:pPr>
      <w:r>
        <w:t>This report has three parts, matching what was asked for:</w:t>
      </w:r>
    </w:p>
    <w:p w:rsidR="0044765C" w:rsidRDefault="004719BB">
      <w:pPr>
        <w:pStyle w:val="Compact"/>
        <w:numPr>
          <w:ilvl w:val="0"/>
          <w:numId w:val="2"/>
        </w:numPr>
      </w:pPr>
      <w:r>
        <w:rPr>
          <w:b/>
          <w:bCs/>
        </w:rPr>
        <w:t>Where</w:t>
      </w:r>
      <w:r>
        <w:rPr>
          <w:b/>
          <w:bCs/>
        </w:rPr>
        <w:t xml:space="preserve"> to go next, architecturally</w:t>
      </w:r>
      <w:r>
        <w:t xml:space="preserve"> — concrete patterns worth borrowing from </w:t>
      </w:r>
      <w:r>
        <w:rPr>
          <w:rStyle w:val="VerbatimChar"/>
        </w:rPr>
        <w:t>reference/daily_stock_analysis</w:t>
      </w:r>
      <w:r>
        <w:t xml:space="preserve"> (a mature, working stock-analysis app) for the still-unbuilt pieces: the statistical/time-series engine, the Composite Index Engine, the FastAPI backend, a</w:t>
      </w:r>
      <w:r>
        <w:t>nd eventual scheduling/alerting.</w:t>
      </w:r>
    </w:p>
    <w:p w:rsidR="0044765C" w:rsidRDefault="004719BB">
      <w:pPr>
        <w:pStyle w:val="Compact"/>
        <w:numPr>
          <w:ilvl w:val="0"/>
          <w:numId w:val="2"/>
        </w:numPr>
      </w:pPr>
      <w:r>
        <w:rPr>
          <w:b/>
          <w:bCs/>
        </w:rPr>
        <w:t xml:space="preserve">What the rest of </w:t>
      </w:r>
      <w:r>
        <w:rPr>
          <w:rStyle w:val="VerbatimChar"/>
          <w:b/>
          <w:bCs/>
        </w:rPr>
        <w:t>reference/</w:t>
      </w:r>
      <w:r>
        <w:rPr>
          <w:b/>
          <w:bCs/>
        </w:rPr>
        <w:t xml:space="preserve"> teaches, the other direction</w:t>
      </w:r>
      <w:r>
        <w:t xml:space="preserve"> — </w:t>
      </w:r>
      <w:r>
        <w:rPr>
          <w:rStyle w:val="VerbatimChar"/>
        </w:rPr>
        <w:t>reference/1</w:t>
      </w:r>
      <w:r>
        <w:t xml:space="preserve"> and </w:t>
      </w:r>
      <w:r>
        <w:rPr>
          <w:rStyle w:val="VerbatimChar"/>
        </w:rPr>
        <w:t>reference/finance101</w:t>
      </w:r>
      <w:r>
        <w:t xml:space="preserve"> are a live example of what happens when the same kind of project is built </w:t>
      </w:r>
      <w:r>
        <w:rPr>
          <w:i/>
          <w:iCs/>
        </w:rPr>
        <w:t>without</w:t>
      </w:r>
      <w:r>
        <w:t xml:space="preserve"> the discipline </w:t>
      </w:r>
      <w:r>
        <w:rPr>
          <w:rStyle w:val="VerbatimChar"/>
        </w:rPr>
        <w:t>vnquant</w:t>
      </w:r>
      <w:r>
        <w:t xml:space="preserve"> currently has. The spe</w:t>
      </w:r>
      <w:r>
        <w:t xml:space="preserve">cific failure </w:t>
      </w:r>
      <w:r>
        <w:lastRenderedPageBreak/>
        <w:t>pattern is identified below, along with the handful of ideas from that archive that are actually worth keeping.</w:t>
      </w:r>
    </w:p>
    <w:p w:rsidR="0044765C" w:rsidRDefault="004719BB">
      <w:pPr>
        <w:pStyle w:val="Compact"/>
        <w:numPr>
          <w:ilvl w:val="0"/>
          <w:numId w:val="2"/>
        </w:numPr>
      </w:pPr>
      <w:r>
        <w:rPr>
          <w:b/>
          <w:bCs/>
        </w:rPr>
        <w:t>Logical risks in the current code</w:t>
      </w:r>
      <w:r>
        <w:t xml:space="preserve"> — eight specific places in the already-built code where an assumption isn’t validated, an error </w:t>
      </w:r>
      <w:r>
        <w:t xml:space="preserve">is silently swallowed into a misleading number, or a convention is inconsistent across sibling modules. </w:t>
      </w:r>
      <w:r>
        <w:rPr>
          <w:b/>
          <w:bCs/>
        </w:rPr>
        <w:t>None of these have been changed</w:t>
      </w:r>
      <w:r>
        <w:t xml:space="preserve"> — they are documented here for you to decide what to do with.</w:t>
      </w:r>
    </w:p>
    <w:p w:rsidR="0044765C" w:rsidRDefault="004719BB">
      <w:r>
        <w:pict>
          <v:rect id="_x0000_i1025" style="width:0;height:1.5pt" o:hralign="center" o:hrstd="t" o:hr="t"/>
        </w:pict>
      </w:r>
    </w:p>
    <w:p w:rsidR="0044765C" w:rsidRDefault="004719BB">
      <w:pPr>
        <w:pStyle w:val="Heading1"/>
      </w:pPr>
      <w:bookmarkStart w:id="2" w:name="current-state-for-context"/>
      <w:bookmarkStart w:id="3" w:name="_Toc237176028"/>
      <w:bookmarkEnd w:id="0"/>
      <w:r>
        <w:t>2. Current State (for context)</w:t>
      </w:r>
      <w:bookmarkEnd w:id="3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44765C" w:rsidTr="004476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:rsidR="0044765C" w:rsidRDefault="004719BB">
            <w:pPr>
              <w:pStyle w:val="Compact"/>
            </w:pPr>
            <w:r>
              <w:t>Layer</w:t>
            </w:r>
          </w:p>
        </w:tc>
        <w:tc>
          <w:tcPr>
            <w:tcW w:w="2640" w:type="dxa"/>
          </w:tcPr>
          <w:p w:rsidR="0044765C" w:rsidRDefault="004719BB">
            <w:pPr>
              <w:pStyle w:val="Compact"/>
            </w:pPr>
            <w:r>
              <w:t>Status</w:t>
            </w:r>
          </w:p>
        </w:tc>
        <w:tc>
          <w:tcPr>
            <w:tcW w:w="2640" w:type="dxa"/>
          </w:tcPr>
          <w:p w:rsidR="0044765C" w:rsidRDefault="004719BB">
            <w:pPr>
              <w:pStyle w:val="Compact"/>
            </w:pPr>
            <w:r>
              <w:t>Files</w:t>
            </w:r>
          </w:p>
        </w:tc>
      </w:tr>
      <w:tr w:rsidR="0044765C">
        <w:tc>
          <w:tcPr>
            <w:tcW w:w="2640" w:type="dxa"/>
          </w:tcPr>
          <w:p w:rsidR="0044765C" w:rsidRDefault="004719BB">
            <w:pPr>
              <w:pStyle w:val="Compact"/>
            </w:pPr>
            <w:r>
              <w:t xml:space="preserve">Data </w:t>
            </w:r>
            <w:r>
              <w:t>layer</w:t>
            </w:r>
          </w:p>
        </w:tc>
        <w:tc>
          <w:tcPr>
            <w:tcW w:w="2640" w:type="dxa"/>
          </w:tcPr>
          <w:p w:rsidR="0044765C" w:rsidRDefault="004719BB">
            <w:pPr>
              <w:pStyle w:val="Compact"/>
            </w:pPr>
            <w:r>
              <w:rPr>
                <w:b/>
                <w:bCs/>
              </w:rPr>
              <w:t>Done, verified</w:t>
            </w:r>
          </w:p>
        </w:tc>
        <w:tc>
          <w:tcPr>
            <w:tcW w:w="2640" w:type="dxa"/>
          </w:tcPr>
          <w:p w:rsidR="0044765C" w:rsidRDefault="004719BB">
            <w:pPr>
              <w:pStyle w:val="Compact"/>
            </w:pPr>
            <w:r>
              <w:rPr>
                <w:rStyle w:val="VerbatimChar"/>
              </w:rPr>
              <w:t>market_access/db.py</w:t>
            </w:r>
            <w:r>
              <w:t xml:space="preserve">, </w:t>
            </w:r>
            <w:r>
              <w:rPr>
                <w:rStyle w:val="VerbatimChar"/>
              </w:rPr>
              <w:t>financial_report.py</w:t>
            </w:r>
            <w:r>
              <w:t xml:space="preserve">, </w:t>
            </w:r>
            <w:r>
              <w:rPr>
                <w:rStyle w:val="VerbatimChar"/>
              </w:rPr>
              <w:t>price_access.py</w:t>
            </w:r>
          </w:p>
        </w:tc>
      </w:tr>
      <w:tr w:rsidR="0044765C">
        <w:tc>
          <w:tcPr>
            <w:tcW w:w="2640" w:type="dxa"/>
          </w:tcPr>
          <w:p w:rsidR="0044765C" w:rsidRDefault="004719BB">
            <w:pPr>
              <w:pStyle w:val="Compact"/>
            </w:pPr>
            <w:r>
              <w:t>Valuation models</w:t>
            </w:r>
          </w:p>
        </w:tc>
        <w:tc>
          <w:tcPr>
            <w:tcW w:w="2640" w:type="dxa"/>
          </w:tcPr>
          <w:p w:rsidR="0044765C" w:rsidRDefault="004719BB">
            <w:pPr>
              <w:pStyle w:val="Compact"/>
            </w:pPr>
            <w:r>
              <w:rPr>
                <w:b/>
                <w:bCs/>
              </w:rPr>
              <w:t>Done, verified</w:t>
            </w:r>
            <w:r>
              <w:t xml:space="preserve"> (6 models)</w:t>
            </w:r>
          </w:p>
        </w:tc>
        <w:tc>
          <w:tcPr>
            <w:tcW w:w="2640" w:type="dxa"/>
          </w:tcPr>
          <w:p w:rsidR="0044765C" w:rsidRDefault="004719BB">
            <w:pPr>
              <w:pStyle w:val="Compact"/>
            </w:pPr>
            <w:r>
              <w:rPr>
                <w:rStyle w:val="VerbatimChar"/>
              </w:rPr>
              <w:t>valuation/{graham,ddm,dcf,nav,rim,relative}.py</w:t>
            </w:r>
            <w:r>
              <w:t xml:space="preserve">, </w:t>
            </w:r>
            <w:r>
              <w:rPr>
                <w:rStyle w:val="VerbatimChar"/>
              </w:rPr>
              <w:t>_inputs.py</w:t>
            </w:r>
          </w:p>
        </w:tc>
      </w:tr>
      <w:tr w:rsidR="0044765C">
        <w:tc>
          <w:tcPr>
            <w:tcW w:w="2640" w:type="dxa"/>
          </w:tcPr>
          <w:p w:rsidR="0044765C" w:rsidRDefault="004719BB">
            <w:pPr>
              <w:pStyle w:val="Compact"/>
            </w:pPr>
            <w:r>
              <w:t>Regression pipeline</w:t>
            </w:r>
          </w:p>
        </w:tc>
        <w:tc>
          <w:tcPr>
            <w:tcW w:w="2640" w:type="dxa"/>
          </w:tcPr>
          <w:p w:rsidR="0044765C" w:rsidRDefault="004719BB">
            <w:pPr>
              <w:pStyle w:val="Compact"/>
            </w:pPr>
            <w:r>
              <w:rPr>
                <w:b/>
                <w:bCs/>
              </w:rPr>
              <w:t>Done, verified, run on real 36-symbol universe</w:t>
            </w:r>
          </w:p>
        </w:tc>
        <w:tc>
          <w:tcPr>
            <w:tcW w:w="2640" w:type="dxa"/>
          </w:tcPr>
          <w:p w:rsidR="0044765C" w:rsidRDefault="004719BB">
            <w:pPr>
              <w:pStyle w:val="Compact"/>
            </w:pPr>
            <w:r>
              <w:rPr>
                <w:rStyle w:val="VerbatimChar"/>
              </w:rPr>
              <w:t>regression/{ols,diagnostics,model_builder,universe,_features}.py</w:t>
            </w:r>
          </w:p>
        </w:tc>
      </w:tr>
      <w:tr w:rsidR="0044765C">
        <w:tc>
          <w:tcPr>
            <w:tcW w:w="2640" w:type="dxa"/>
          </w:tcPr>
          <w:p w:rsidR="0044765C" w:rsidRDefault="004719BB">
            <w:pPr>
              <w:pStyle w:val="Compact"/>
            </w:pPr>
            <w:r>
              <w:t>Error metrics</w:t>
            </w:r>
          </w:p>
        </w:tc>
        <w:tc>
          <w:tcPr>
            <w:tcW w:w="2640" w:type="dxa"/>
          </w:tcPr>
          <w:p w:rsidR="0044765C" w:rsidRDefault="004719BB">
            <w:pPr>
              <w:pStyle w:val="Compact"/>
            </w:pPr>
            <w:r>
              <w:rPr>
                <w:b/>
                <w:bCs/>
              </w:rPr>
              <w:t>Done</w:t>
            </w:r>
          </w:p>
        </w:tc>
        <w:tc>
          <w:tcPr>
            <w:tcW w:w="2640" w:type="dxa"/>
          </w:tcPr>
          <w:p w:rsidR="0044765C" w:rsidRDefault="004719BB">
            <w:pPr>
              <w:pStyle w:val="Compact"/>
            </w:pPr>
            <w:r>
              <w:rPr>
                <w:rStyle w:val="VerbatimChar"/>
              </w:rPr>
              <w:t>metrics/error_metrics.py</w:t>
            </w:r>
          </w:p>
        </w:tc>
      </w:tr>
      <w:tr w:rsidR="0044765C">
        <w:tc>
          <w:tcPr>
            <w:tcW w:w="2640" w:type="dxa"/>
          </w:tcPr>
          <w:p w:rsidR="0044765C" w:rsidRDefault="004719BB">
            <w:pPr>
              <w:pStyle w:val="Compact"/>
            </w:pPr>
            <w:r>
              <w:t>Statistical/time-series engine (AR/ARIMA, GARCH, beta)</w:t>
            </w:r>
          </w:p>
        </w:tc>
        <w:tc>
          <w:tcPr>
            <w:tcW w:w="2640" w:type="dxa"/>
          </w:tcPr>
          <w:p w:rsidR="0044765C" w:rsidRDefault="004719BB">
            <w:pPr>
              <w:pStyle w:val="Compact"/>
            </w:pPr>
            <w:r>
              <w:t>Not started</w:t>
            </w:r>
          </w:p>
        </w:tc>
        <w:tc>
          <w:tcPr>
            <w:tcW w:w="2640" w:type="dxa"/>
          </w:tcPr>
          <w:p w:rsidR="0044765C" w:rsidRDefault="004719BB">
            <w:pPr>
              <w:pStyle w:val="Compact"/>
            </w:pPr>
            <w:r>
              <w:t>—</w:t>
            </w:r>
          </w:p>
        </w:tc>
      </w:tr>
      <w:tr w:rsidR="0044765C">
        <w:tc>
          <w:tcPr>
            <w:tcW w:w="2640" w:type="dxa"/>
          </w:tcPr>
          <w:p w:rsidR="0044765C" w:rsidRDefault="004719BB">
            <w:pPr>
              <w:pStyle w:val="Compact"/>
            </w:pPr>
            <w:r>
              <w:t>Composite Index Engine</w:t>
            </w:r>
          </w:p>
        </w:tc>
        <w:tc>
          <w:tcPr>
            <w:tcW w:w="2640" w:type="dxa"/>
          </w:tcPr>
          <w:p w:rsidR="0044765C" w:rsidRDefault="004719BB">
            <w:pPr>
              <w:pStyle w:val="Compact"/>
            </w:pPr>
            <w:r>
              <w:t>Not started</w:t>
            </w:r>
          </w:p>
        </w:tc>
        <w:tc>
          <w:tcPr>
            <w:tcW w:w="2640" w:type="dxa"/>
          </w:tcPr>
          <w:p w:rsidR="0044765C" w:rsidRDefault="004719BB">
            <w:pPr>
              <w:pStyle w:val="Compact"/>
            </w:pPr>
            <w:r>
              <w:t>—</w:t>
            </w:r>
          </w:p>
        </w:tc>
      </w:tr>
      <w:tr w:rsidR="0044765C">
        <w:tc>
          <w:tcPr>
            <w:tcW w:w="2640" w:type="dxa"/>
          </w:tcPr>
          <w:p w:rsidR="0044765C" w:rsidRDefault="004719BB">
            <w:pPr>
              <w:pStyle w:val="Compact"/>
            </w:pPr>
            <w:r>
              <w:t>FastAPI backend</w:t>
            </w:r>
          </w:p>
        </w:tc>
        <w:tc>
          <w:tcPr>
            <w:tcW w:w="2640" w:type="dxa"/>
          </w:tcPr>
          <w:p w:rsidR="0044765C" w:rsidRDefault="004719BB">
            <w:pPr>
              <w:pStyle w:val="Compact"/>
            </w:pPr>
            <w:r>
              <w:t>Not started</w:t>
            </w:r>
          </w:p>
        </w:tc>
        <w:tc>
          <w:tcPr>
            <w:tcW w:w="2640" w:type="dxa"/>
          </w:tcPr>
          <w:p w:rsidR="0044765C" w:rsidRDefault="004719BB">
            <w:pPr>
              <w:pStyle w:val="Compact"/>
            </w:pPr>
            <w:r>
              <w:t>—</w:t>
            </w:r>
          </w:p>
        </w:tc>
      </w:tr>
      <w:tr w:rsidR="0044765C">
        <w:tc>
          <w:tcPr>
            <w:tcW w:w="2640" w:type="dxa"/>
          </w:tcPr>
          <w:p w:rsidR="0044765C" w:rsidRDefault="004719BB">
            <w:pPr>
              <w:pStyle w:val="Compact"/>
            </w:pPr>
            <w:r>
              <w:t>React frontend</w:t>
            </w:r>
          </w:p>
        </w:tc>
        <w:tc>
          <w:tcPr>
            <w:tcW w:w="2640" w:type="dxa"/>
          </w:tcPr>
          <w:p w:rsidR="0044765C" w:rsidRDefault="004719BB">
            <w:pPr>
              <w:pStyle w:val="Compact"/>
            </w:pPr>
            <w:r>
              <w:t>Not started</w:t>
            </w:r>
          </w:p>
        </w:tc>
        <w:tc>
          <w:tcPr>
            <w:tcW w:w="2640" w:type="dxa"/>
          </w:tcPr>
          <w:p w:rsidR="0044765C" w:rsidRDefault="004719BB">
            <w:pPr>
              <w:pStyle w:val="Compact"/>
            </w:pPr>
            <w:r>
              <w:t>—</w:t>
            </w:r>
          </w:p>
        </w:tc>
      </w:tr>
    </w:tbl>
    <w:p w:rsidR="0044765C" w:rsidRDefault="004719BB">
      <w:pPr>
        <w:pStyle w:val="BodyText"/>
      </w:pPr>
      <w:r>
        <w:t xml:space="preserve">This matches </w:t>
      </w:r>
      <w:r>
        <w:rPr>
          <w:rStyle w:val="VerbatimChar"/>
        </w:rPr>
        <w:t>docs/NEXT_STEPS.md</w:t>
      </w:r>
      <w:r>
        <w:t>; it’s restated here only as a baseline for the recommendations below.</w:t>
      </w:r>
    </w:p>
    <w:p w:rsidR="0044765C" w:rsidRDefault="004719BB">
      <w:r>
        <w:pict>
          <v:rect id="_x0000_i1026" style="width:0;height:1.5pt" o:hralign="center" o:hrstd="t" o:hr="t"/>
        </w:pict>
      </w:r>
    </w:p>
    <w:p w:rsidR="0044765C" w:rsidRDefault="004719BB">
      <w:pPr>
        <w:pStyle w:val="Heading1"/>
      </w:pPr>
      <w:bookmarkStart w:id="4" w:name="architecture-code-flow-recommendations"/>
      <w:bookmarkStart w:id="5" w:name="_Toc237176029"/>
      <w:bookmarkEnd w:id="2"/>
      <w:r>
        <w:t>3. Architecture &amp; Code-Flow Recommendations</w:t>
      </w:r>
      <w:bookmarkStart w:id="6" w:name="_GoBack"/>
      <w:bookmarkEnd w:id="5"/>
      <w:bookmarkEnd w:id="6"/>
    </w:p>
    <w:p w:rsidR="0044765C" w:rsidRDefault="004719BB">
      <w:pPr>
        <w:pStyle w:val="FirstParagraph"/>
      </w:pPr>
      <w:r>
        <w:t xml:space="preserve">Source: a structured review of </w:t>
      </w:r>
      <w:r>
        <w:rPr>
          <w:rStyle w:val="VerbatimChar"/>
        </w:rPr>
        <w:t>reference/daily_stock_analysis</w:t>
      </w:r>
      <w:r>
        <w:t xml:space="preserve">, a full working </w:t>
      </w:r>
      <w:r>
        <w:t xml:space="preserve">Python stock app (FastAPI + services + repositories + scheduler + notification bot). It is a much larger product than </w:t>
      </w:r>
      <w:r>
        <w:rPr>
          <w:rStyle w:val="VerbatimChar"/>
        </w:rPr>
        <w:t>vnquant</w:t>
      </w:r>
      <w:r>
        <w:t xml:space="preserve"> needs to become — most of its complexity should </w:t>
      </w:r>
      <w:r>
        <w:rPr>
          <w:b/>
          <w:bCs/>
        </w:rPr>
        <w:t>not</w:t>
      </w:r>
      <w:r>
        <w:t xml:space="preserve"> be copied. The value is in a handful of file-layout and orchestration patterns</w:t>
      </w:r>
      <w:r>
        <w:t xml:space="preserve"> that map directly onto </w:t>
      </w:r>
      <w:r>
        <w:rPr>
          <w:rStyle w:val="VerbatimChar"/>
        </w:rPr>
        <w:t>vnquant</w:t>
      </w:r>
      <w:r>
        <w:t>’s own next steps.</w:t>
      </w:r>
    </w:p>
    <w:p w:rsidR="0044765C" w:rsidRDefault="004719BB">
      <w:pPr>
        <w:pStyle w:val="Heading3"/>
      </w:pPr>
      <w:bookmarkStart w:id="7" w:name="fastapi-backend-layout"/>
      <w:r>
        <w:lastRenderedPageBreak/>
        <w:t>3.1 FastAPI backend layout</w:t>
      </w:r>
    </w:p>
    <w:p w:rsidR="0044765C" w:rsidRDefault="004719BB">
      <w:pPr>
        <w:pStyle w:val="FirstParagraph"/>
      </w:pPr>
      <w:r>
        <w:t>Adopt the layout, not the scale:</w:t>
      </w:r>
    </w:p>
    <w:p w:rsidR="0044765C" w:rsidRDefault="004719BB">
      <w:pPr>
        <w:pStyle w:val="Compact"/>
        <w:numPr>
          <w:ilvl w:val="0"/>
          <w:numId w:val="3"/>
        </w:numPr>
      </w:pPr>
      <w:r>
        <w:rPr>
          <w:rStyle w:val="VerbatimChar"/>
        </w:rPr>
        <w:t>api/app.py</w:t>
      </w:r>
      <w:r>
        <w:t xml:space="preserve"> with a </w:t>
      </w:r>
      <w:r>
        <w:rPr>
          <w:rStyle w:val="VerbatimChar"/>
        </w:rPr>
        <w:t>create_app()</w:t>
      </w:r>
      <w:r>
        <w:t xml:space="preserve"> factory and a </w:t>
      </w:r>
      <w:r>
        <w:rPr>
          <w:rStyle w:val="VerbatimChar"/>
        </w:rPr>
        <w:t>lifespan</w:t>
      </w:r>
      <w:r>
        <w:t xml:space="preserve"> context manager holding shared singletons (e.g. a scheduler handle) on </w:t>
      </w:r>
      <w:r>
        <w:rPr>
          <w:rStyle w:val="VerbatimChar"/>
        </w:rPr>
        <w:t>app.state</w:t>
      </w:r>
      <w:r>
        <w:t>.</w:t>
      </w:r>
    </w:p>
    <w:p w:rsidR="0044765C" w:rsidRDefault="004719BB">
      <w:pPr>
        <w:pStyle w:val="Compact"/>
        <w:numPr>
          <w:ilvl w:val="0"/>
          <w:numId w:val="3"/>
        </w:numPr>
      </w:pPr>
      <w:r>
        <w:rPr>
          <w:rStyle w:val="VerbatimChar"/>
        </w:rPr>
        <w:t>api/deps.p</w:t>
      </w:r>
      <w:r>
        <w:rPr>
          <w:rStyle w:val="VerbatimChar"/>
        </w:rPr>
        <w:t>y</w:t>
      </w:r>
      <w:r>
        <w:t xml:space="preserve"> with plain </w:t>
      </w:r>
      <w:r>
        <w:rPr>
          <w:rStyle w:val="VerbatimChar"/>
        </w:rPr>
        <w:t>Depends()</w:t>
      </w:r>
      <w:r>
        <w:t>-yielding functions (</w:t>
      </w:r>
      <w:r>
        <w:rPr>
          <w:rStyle w:val="VerbatimChar"/>
        </w:rPr>
        <w:t>get_db</w:t>
      </w:r>
      <w:r>
        <w:t xml:space="preserve">, …) for SQLAlchemy session injection — mirrors what </w:t>
      </w:r>
      <w:r>
        <w:rPr>
          <w:rStyle w:val="VerbatimChar"/>
        </w:rPr>
        <w:t>market_access/db.py</w:t>
      </w:r>
      <w:r>
        <w:t xml:space="preserve"> already provides via </w:t>
      </w:r>
      <w:r>
        <w:rPr>
          <w:rStyle w:val="VerbatimChar"/>
        </w:rPr>
        <w:t>Session(engine)</w:t>
      </w:r>
      <w:r>
        <w:t>.</w:t>
      </w:r>
    </w:p>
    <w:p w:rsidR="0044765C" w:rsidRDefault="004719BB">
      <w:pPr>
        <w:pStyle w:val="Compact"/>
        <w:numPr>
          <w:ilvl w:val="0"/>
          <w:numId w:val="3"/>
        </w:numPr>
      </w:pPr>
      <w:r>
        <w:rPr>
          <w:rStyle w:val="VerbatimChar"/>
        </w:rPr>
        <w:t>api/v1/router.py</w:t>
      </w:r>
      <w:r>
        <w:t xml:space="preserve"> aggregating one </w:t>
      </w:r>
      <w:r>
        <w:rPr>
          <w:rStyle w:val="VerbatimChar"/>
        </w:rPr>
        <w:t>APIRouter</w:t>
      </w:r>
      <w:r>
        <w:t xml:space="preserve"> per resource from </w:t>
      </w:r>
      <w:r>
        <w:rPr>
          <w:rStyle w:val="VerbatimChar"/>
        </w:rPr>
        <w:t>api/v1/endpoints/&lt;resource&gt;.py</w:t>
      </w:r>
      <w:r>
        <w:t xml:space="preserve"> — fo</w:t>
      </w:r>
      <w:r>
        <w:t xml:space="preserve">r </w:t>
      </w:r>
      <w:r>
        <w:rPr>
          <w:rStyle w:val="VerbatimChar"/>
        </w:rPr>
        <w:t>vnquant</w:t>
      </w:r>
      <w:r>
        <w:t xml:space="preserve"> this is realistically just two resources: </w:t>
      </w:r>
      <w:r>
        <w:rPr>
          <w:rStyle w:val="VerbatimChar"/>
        </w:rPr>
        <w:t>endpoints/rankings.py</w:t>
      </w:r>
      <w:r>
        <w:t xml:space="preserve"> and </w:t>
      </w:r>
      <w:r>
        <w:rPr>
          <w:rStyle w:val="VerbatimChar"/>
        </w:rPr>
        <w:t>endpoints/stocks.py</w:t>
      </w:r>
      <w:r>
        <w:t>.</w:t>
      </w:r>
    </w:p>
    <w:p w:rsidR="0044765C" w:rsidRDefault="004719BB">
      <w:pPr>
        <w:pStyle w:val="Compact"/>
        <w:numPr>
          <w:ilvl w:val="0"/>
          <w:numId w:val="3"/>
        </w:numPr>
      </w:pPr>
      <w:r>
        <w:t xml:space="preserve">No auth layer, no middleware beyond CORS/error-handling — the reference app’s auth/rate-limit middleware exists for a multi-user public product; </w:t>
      </w:r>
      <w:r>
        <w:rPr>
          <w:rStyle w:val="VerbatimChar"/>
        </w:rPr>
        <w:t>vnquant</w:t>
      </w:r>
      <w:r>
        <w:t xml:space="preserve"> </w:t>
      </w:r>
      <w:r>
        <w:t>is single-user and local.</w:t>
      </w:r>
    </w:p>
    <w:p w:rsidR="0044765C" w:rsidRDefault="004719BB">
      <w:pPr>
        <w:pStyle w:val="Heading3"/>
      </w:pPr>
      <w:bookmarkStart w:id="8" w:name="ranking-run-orchestration-run_ranking.py"/>
      <w:bookmarkEnd w:id="7"/>
      <w:r>
        <w:t>3.2 Ranking-run orchestration (</w:t>
      </w:r>
      <w:r>
        <w:rPr>
          <w:rStyle w:val="VerbatimChar"/>
        </w:rPr>
        <w:t>run_ranking.py</w:t>
      </w:r>
      <w:r>
        <w:t>)</w:t>
      </w:r>
    </w:p>
    <w:p w:rsidR="0044765C" w:rsidRDefault="004719BB">
      <w:pPr>
        <w:pStyle w:val="FirstParagraph"/>
      </w:pPr>
      <w:r>
        <w:t xml:space="preserve">Model this on the reference app’s </w:t>
      </w:r>
      <w:r>
        <w:rPr>
          <w:rStyle w:val="VerbatimChar"/>
        </w:rPr>
        <w:t>StockAnalysisPipeline.run()</w:t>
      </w:r>
      <w:r>
        <w:t xml:space="preserve"> pattern:</w:t>
      </w:r>
    </w:p>
    <w:p w:rsidR="0044765C" w:rsidRDefault="004719BB">
      <w:pPr>
        <w:pStyle w:val="Compact"/>
        <w:numPr>
          <w:ilvl w:val="0"/>
          <w:numId w:val="4"/>
        </w:numPr>
      </w:pPr>
      <w:r>
        <w:t>Resolve the symbol universe.</w:t>
      </w:r>
    </w:p>
    <w:p w:rsidR="0044765C" w:rsidRDefault="004719BB">
      <w:pPr>
        <w:pStyle w:val="Compact"/>
        <w:numPr>
          <w:ilvl w:val="0"/>
          <w:numId w:val="4"/>
        </w:numPr>
      </w:pPr>
      <w:r>
        <w:t xml:space="preserve">Run per-symbol work through a </w:t>
      </w:r>
      <w:r>
        <w:rPr>
          <w:b/>
          <w:bCs/>
        </w:rPr>
        <w:t>bounded thread pool</w:t>
      </w:r>
      <w:r>
        <w:t xml:space="preserve"> (I/O-bound — data fetch, not the </w:t>
      </w:r>
      <w:r>
        <w:t xml:space="preserve">CPU-bound math — so threading is appropriate here even though </w:t>
      </w:r>
      <w:r>
        <w:rPr>
          <w:rStyle w:val="VerbatimChar"/>
        </w:rPr>
        <w:t>docs/SYSTEM_OVERVIEW.md</w:t>
      </w:r>
      <w:r>
        <w:t xml:space="preserve"> correctly rules it out for the hand-built statistical math itself).</w:t>
      </w:r>
    </w:p>
    <w:p w:rsidR="0044765C" w:rsidRDefault="004719BB">
      <w:pPr>
        <w:pStyle w:val="Compact"/>
        <w:numPr>
          <w:ilvl w:val="0"/>
          <w:numId w:val="4"/>
        </w:numPr>
      </w:pPr>
      <w:r>
        <w:rPr>
          <w:b/>
          <w:bCs/>
        </w:rPr>
        <w:t>Isolate failures per symbol</w:t>
      </w:r>
      <w:r>
        <w:t xml:space="preserve"> — one bad fetch or one regression that can’t converge for one stock must n</w:t>
      </w:r>
      <w:r>
        <w:t xml:space="preserve">ot abort the whole run. Catch, log, continue; report a per-symbol summary at the end, the same way </w:t>
      </w:r>
      <w:r>
        <w:rPr>
          <w:rStyle w:val="VerbatimChar"/>
        </w:rPr>
        <w:t>init_market_financials</w:t>
      </w:r>
      <w:r>
        <w:t>/</w:t>
      </w:r>
      <w:r>
        <w:rPr>
          <w:rStyle w:val="VerbatimChar"/>
        </w:rPr>
        <w:t>update_market_financials</w:t>
      </w:r>
      <w:r>
        <w:t xml:space="preserve"> in </w:t>
      </w:r>
      <w:r>
        <w:rPr>
          <w:rStyle w:val="VerbatimChar"/>
        </w:rPr>
        <w:t>financial_report.py</w:t>
      </w:r>
      <w:r>
        <w:t xml:space="preserve"> already do.</w:t>
      </w:r>
    </w:p>
    <w:p w:rsidR="0044765C" w:rsidRDefault="004719BB">
      <w:pPr>
        <w:pStyle w:val="Compact"/>
        <w:numPr>
          <w:ilvl w:val="0"/>
          <w:numId w:val="4"/>
        </w:numPr>
      </w:pPr>
      <w:r>
        <w:t>Persist once at the end, then optionally notify.</w:t>
      </w:r>
    </w:p>
    <w:p w:rsidR="0044765C" w:rsidRDefault="004719BB">
      <w:pPr>
        <w:pStyle w:val="FirstParagraph"/>
      </w:pPr>
      <w:r>
        <w:t>This is a direct extensio</w:t>
      </w:r>
      <w:r>
        <w:t xml:space="preserve">n of a pattern </w:t>
      </w:r>
      <w:r>
        <w:rPr>
          <w:rStyle w:val="VerbatimChar"/>
        </w:rPr>
        <w:t>vnquant</w:t>
      </w:r>
      <w:r>
        <w:t xml:space="preserve"> has already adopted independently (</w:t>
      </w:r>
      <w:r>
        <w:rPr>
          <w:rStyle w:val="VerbatimChar"/>
        </w:rPr>
        <w:t>financial_report.py</w:t>
      </w:r>
      <w:r>
        <w:t xml:space="preserve">’s </w:t>
      </w:r>
      <w:r>
        <w:rPr>
          <w:rStyle w:val="VerbatimChar"/>
        </w:rPr>
        <w:t>[i/N] symbol: OK/FAILED</w:t>
      </w:r>
      <w:r>
        <w:t xml:space="preserve"> loop) — the recommendation is to keep using it at the next layer up, not introduce something new.</w:t>
      </w:r>
    </w:p>
    <w:p w:rsidR="0044765C" w:rsidRDefault="004719BB">
      <w:pPr>
        <w:pStyle w:val="Heading3"/>
      </w:pPr>
      <w:bookmarkStart w:id="9" w:name="X0d6475a5646e6e876e315ade0a2fca266b8396d"/>
      <w:bookmarkEnd w:id="8"/>
      <w:r>
        <w:t>3.3 Avoid the “one giant orchestrator” anti-pattern</w:t>
      </w:r>
    </w:p>
    <w:p w:rsidR="0044765C" w:rsidRDefault="004719BB">
      <w:pPr>
        <w:pStyle w:val="FirstParagraph"/>
      </w:pPr>
      <w:r>
        <w:t xml:space="preserve">The reference app’s own </w:t>
      </w:r>
      <w:r>
        <w:rPr>
          <w:rStyle w:val="VerbatimChar"/>
        </w:rPr>
        <w:t>src/core/pipeline.py</w:t>
      </w:r>
      <w:r>
        <w:t xml:space="preserve"> is ~4,000 lines in a single class — years of features bolted onto one orchestrator instead of new modules. The concrete guidance: keep </w:t>
      </w:r>
      <w:r>
        <w:rPr>
          <w:rStyle w:val="VerbatimChar"/>
        </w:rPr>
        <w:t>run_ranking.py</w:t>
      </w:r>
      <w:r>
        <w:t xml:space="preserve"> itself thin (fetch → call engines → persist → notify) and pus</w:t>
      </w:r>
      <w:r>
        <w:t>h real logic (z-score computation, composite scoring, output formatting) into small dedicated modules — e.g. </w:t>
      </w:r>
      <w:r>
        <w:rPr>
          <w:rStyle w:val="VerbatimChar"/>
        </w:rPr>
        <w:t>composite/zscore.py</w:t>
      </w:r>
      <w:r>
        <w:t xml:space="preserve">, </w:t>
      </w:r>
      <w:r>
        <w:rPr>
          <w:rStyle w:val="VerbatimChar"/>
        </w:rPr>
        <w:t>composite/rank.py</w:t>
      </w:r>
      <w:r>
        <w:t xml:space="preserve"> — following the same one-file-per-concern habit </w:t>
      </w:r>
      <w:r>
        <w:rPr>
          <w:rStyle w:val="VerbatimChar"/>
        </w:rPr>
        <w:t>valuation/</w:t>
      </w:r>
      <w:r>
        <w:t xml:space="preserve"> and </w:t>
      </w:r>
      <w:r>
        <w:rPr>
          <w:rStyle w:val="VerbatimChar"/>
        </w:rPr>
        <w:t>regression/</w:t>
      </w:r>
      <w:r>
        <w:t xml:space="preserve"> already use. This is the single m</w:t>
      </w:r>
      <w:r>
        <w:t xml:space="preserve">ost important structural recommendation in this report: it’s the exact failure mode documented in Section 4 below, and </w:t>
      </w:r>
      <w:r>
        <w:rPr>
          <w:rStyle w:val="VerbatimChar"/>
        </w:rPr>
        <w:t>vnquant</w:t>
      </w:r>
      <w:r>
        <w:t xml:space="preserve">’s existing module layout is already </w:t>
      </w:r>
      <w:r>
        <w:lastRenderedPageBreak/>
        <w:t>the right defense against it — the risk is only in not extending that habit to the next two e</w:t>
      </w:r>
      <w:r>
        <w:t>ngines.</w:t>
      </w:r>
    </w:p>
    <w:p w:rsidR="0044765C" w:rsidRDefault="004719BB">
      <w:pPr>
        <w:pStyle w:val="Heading3"/>
      </w:pPr>
      <w:bookmarkStart w:id="10" w:name="scheduling"/>
      <w:bookmarkEnd w:id="9"/>
      <w:r>
        <w:t>3.4 Scheduling</w:t>
      </w:r>
    </w:p>
    <w:p w:rsidR="0044765C" w:rsidRDefault="004719BB">
      <w:pPr>
        <w:pStyle w:val="FirstParagraph"/>
      </w:pPr>
      <w:r>
        <w:t>For a single-developer tool, a scheduled GitHub Actions workflow (</w:t>
      </w:r>
      <w:r>
        <w:rPr>
          <w:rStyle w:val="VerbatimChar"/>
        </w:rPr>
        <w:t>cron</w:t>
      </w:r>
      <w:r>
        <w:t xml:space="preserve"> + </w:t>
      </w:r>
      <w:r>
        <w:rPr>
          <w:rStyle w:val="VerbatimChar"/>
        </w:rPr>
        <w:t>workflow_dispatch</w:t>
      </w:r>
      <w:r>
        <w:t xml:space="preserve"> + a concurrency guard + a timeout + log/report upload as a build artifact) is a better fit than an in-process scheduler loop with its own sign</w:t>
      </w:r>
      <w:r>
        <w:t xml:space="preserve">al handling. The reference app’s in-process scheduler exists to support a persistent multi-tenant server with web-configurable schedules — </w:t>
      </w:r>
      <w:r>
        <w:rPr>
          <w:rStyle w:val="VerbatimChar"/>
        </w:rPr>
        <w:t>vnquant</w:t>
      </w:r>
      <w:r>
        <w:t xml:space="preserve"> doesn’t have that requirement yet, and building it now would be the same kind of premature machinery Section </w:t>
      </w:r>
      <w:r>
        <w:t>4 warns about.</w:t>
      </w:r>
    </w:p>
    <w:p w:rsidR="0044765C" w:rsidRDefault="004719BB">
      <w:pPr>
        <w:pStyle w:val="Heading3"/>
      </w:pPr>
      <w:bookmarkStart w:id="11" w:name="Xa29a43623a6c0763a07180c685cfe086fb7ebdb"/>
      <w:bookmarkEnd w:id="10"/>
      <w:r>
        <w:t>3.5 Alerting on ranking changes (later, optional)</w:t>
      </w:r>
    </w:p>
    <w:p w:rsidR="0044765C" w:rsidRDefault="004719BB">
      <w:pPr>
        <w:pStyle w:val="FirstParagraph"/>
      </w:pPr>
      <w:r>
        <w:t xml:space="preserve">If/when wanted: one small event router (named event types like </w:t>
      </w:r>
      <w:r>
        <w:rPr>
          <w:rStyle w:val="VerbatimChar"/>
        </w:rPr>
        <w:t>ranking_change</w:t>
      </w:r>
      <w:r>
        <w:t xml:space="preserve">, </w:t>
      </w:r>
      <w:r>
        <w:rPr>
          <w:rStyle w:val="VerbatimChar"/>
        </w:rPr>
        <w:t>run_failure</w:t>
      </w:r>
      <w:r>
        <w:t xml:space="preserve">, each mapped to a channel via config) plus </w:t>
      </w:r>
      <w:r>
        <w:rPr>
          <w:b/>
          <w:bCs/>
        </w:rPr>
        <w:t>exactly one</w:t>
      </w:r>
      <w:r>
        <w:t xml:space="preserve"> notification sender (e.g. a single Telegram w</w:t>
      </w:r>
      <w:r>
        <w:t>ebhook call). Skip a full bot framework with command parsing/rate limiting — there is no conversational surface to serve.</w:t>
      </w:r>
    </w:p>
    <w:p w:rsidR="0044765C" w:rsidRDefault="004719BB">
      <w:pPr>
        <w:pStyle w:val="Heading3"/>
      </w:pPr>
      <w:bookmarkStart w:id="12" w:name="data-source-abstraction"/>
      <w:bookmarkEnd w:id="11"/>
      <w:r>
        <w:t>3.6 Data-source abstraction</w:t>
      </w:r>
    </w:p>
    <w:p w:rsidR="0044765C" w:rsidRDefault="004719BB">
      <w:pPr>
        <w:pStyle w:val="FirstParagraph"/>
      </w:pPr>
      <w:r>
        <w:t xml:space="preserve">Keep </w:t>
      </w:r>
      <w:r>
        <w:rPr>
          <w:rStyle w:val="VerbatimChar"/>
        </w:rPr>
        <w:t>price_access.py</w:t>
      </w:r>
      <w:r>
        <w:t>’s single-source (</w:t>
      </w:r>
      <w:r>
        <w:rPr>
          <w:rStyle w:val="VerbatimChar"/>
        </w:rPr>
        <w:t>vnstock</w:t>
      </w:r>
      <w:r>
        <w:t>) design exactly as-is. The reference app’s multi-provider fa</w:t>
      </w:r>
      <w:r>
        <w:t xml:space="preserve">ilover manager (11 data sources, per-market circuit breakers) solves a real problem </w:t>
      </w:r>
      <w:r>
        <w:rPr>
          <w:i/>
          <w:iCs/>
        </w:rPr>
        <w:t>for that project</w:t>
      </w:r>
      <w:r>
        <w:t xml:space="preserve"> (surviving rate limits/bans across six markets); building that abstraction now, for a single source, would be premature abstraction with no present need.</w:t>
      </w:r>
    </w:p>
    <w:p w:rsidR="0044765C" w:rsidRDefault="004719BB">
      <w:pPr>
        <w:pStyle w:val="Heading3"/>
      </w:pPr>
      <w:bookmarkStart w:id="13" w:name="X613375646a54082e36e889aed5ec7e30c52fae5"/>
      <w:bookmarkEnd w:id="12"/>
      <w:r>
        <w:t>3</w:t>
      </w:r>
      <w:r>
        <w:t>.7 Explicitly not worth adopting from this reference</w:t>
      </w:r>
    </w:p>
    <w:p w:rsidR="0044765C" w:rsidRDefault="004719BB">
      <w:pPr>
        <w:pStyle w:val="Compact"/>
        <w:numPr>
          <w:ilvl w:val="0"/>
          <w:numId w:val="5"/>
        </w:numPr>
      </w:pPr>
      <w:r>
        <w:t>Its LLM/agent stack (</w:t>
      </w:r>
      <w:r>
        <w:rPr>
          <w:rStyle w:val="VerbatimChar"/>
        </w:rPr>
        <w:t>src/llm/</w:t>
      </w:r>
      <w:r>
        <w:t xml:space="preserve">, </w:t>
      </w:r>
      <w:r>
        <w:rPr>
          <w:rStyle w:val="VerbatimChar"/>
        </w:rPr>
        <w:t>src/agent/</w:t>
      </w:r>
      <w:r>
        <w:t>) — no narrative-generation goal here.</w:t>
      </w:r>
    </w:p>
    <w:p w:rsidR="0044765C" w:rsidRDefault="004719BB">
      <w:pPr>
        <w:pStyle w:val="Compact"/>
        <w:numPr>
          <w:ilvl w:val="0"/>
          <w:numId w:val="5"/>
        </w:numPr>
      </w:pPr>
      <w:r>
        <w:t>Its multi-platform bot dispatcher — no conversational interface planned.</w:t>
      </w:r>
    </w:p>
    <w:p w:rsidR="0044765C" w:rsidRDefault="004719BB">
      <w:pPr>
        <w:pStyle w:val="Compact"/>
        <w:numPr>
          <w:ilvl w:val="0"/>
          <w:numId w:val="5"/>
        </w:numPr>
      </w:pPr>
      <w:r>
        <w:t>Its full CI matrix, Docker-publish, and desktop-packaging workflows — built for a public multi-platform product.</w:t>
      </w:r>
    </w:p>
    <w:p w:rsidR="0044765C" w:rsidRDefault="004719BB">
      <w:pPr>
        <w:pStyle w:val="Compact"/>
        <w:numPr>
          <w:ilvl w:val="0"/>
          <w:numId w:val="5"/>
        </w:numPr>
      </w:pPr>
      <w:r>
        <w:t xml:space="preserve">Its ~250-file automated test suite — noted as a fact only; this directly contradicts </w:t>
      </w:r>
      <w:r>
        <w:rPr>
          <w:rStyle w:val="VerbatimChar"/>
        </w:rPr>
        <w:t>vnquant</w:t>
      </w:r>
      <w:r>
        <w:t>’s stated no-test-suite, hand-verify-by-running phi</w:t>
      </w:r>
      <w:r>
        <w:t xml:space="preserve">losophy, and is </w:t>
      </w:r>
      <w:r>
        <w:rPr>
          <w:b/>
          <w:bCs/>
        </w:rPr>
        <w:t>not</w:t>
      </w:r>
      <w:r>
        <w:t xml:space="preserve"> a recommendation to add one.</w:t>
      </w:r>
    </w:p>
    <w:p w:rsidR="0044765C" w:rsidRDefault="004719BB">
      <w:r>
        <w:pict>
          <v:rect id="_x0000_i1027" style="width:0;height:1.5pt" o:hralign="center" o:hrstd="t" o:hr="t"/>
        </w:pict>
      </w:r>
    </w:p>
    <w:p w:rsidR="0044765C" w:rsidRDefault="004719BB">
      <w:pPr>
        <w:pStyle w:val="Heading1"/>
      </w:pPr>
      <w:bookmarkStart w:id="14" w:name="X7f79afc33d8350074cb91720ff41192edf32f34"/>
      <w:bookmarkStart w:id="15" w:name="_Toc237176030"/>
      <w:bookmarkEnd w:id="4"/>
      <w:bookmarkEnd w:id="13"/>
      <w:r>
        <w:t>4. Lessons From the Personal Experiment Archive (</w:t>
      </w:r>
      <w:r>
        <w:rPr>
          <w:rStyle w:val="VerbatimChar"/>
        </w:rPr>
        <w:t>reference/1</w:t>
      </w:r>
      <w:r>
        <w:t xml:space="preserve">, </w:t>
      </w:r>
      <w:r>
        <w:rPr>
          <w:rStyle w:val="VerbatimChar"/>
        </w:rPr>
        <w:t>reference/finance101</w:t>
      </w:r>
      <w:r>
        <w:t>)</w:t>
      </w:r>
      <w:bookmarkEnd w:id="15"/>
    </w:p>
    <w:p w:rsidR="0044765C" w:rsidRDefault="004719BB">
      <w:pPr>
        <w:pStyle w:val="Heading3"/>
      </w:pPr>
      <w:bookmarkStart w:id="16" w:name="the-failure-pattern-precisely"/>
      <w:r>
        <w:t>4.1 The failure pattern, precisely</w:t>
      </w:r>
    </w:p>
    <w:p w:rsidR="0044765C" w:rsidRDefault="004719BB">
      <w:pPr>
        <w:pStyle w:val="FirstParagraph"/>
      </w:pPr>
      <w:r>
        <w:rPr>
          <w:rStyle w:val="VerbatimChar"/>
        </w:rPr>
        <w:t>docs/SYSTEM_OVERVIEW.md</w:t>
      </w:r>
      <w:r>
        <w:t xml:space="preserve"> already flags </w:t>
      </w:r>
      <w:r>
        <w:rPr>
          <w:rStyle w:val="VerbatimChar"/>
        </w:rPr>
        <w:t>reference/finance101/</w:t>
      </w:r>
      <w:r>
        <w:t xml:space="preserve"> as “what happens when scop</w:t>
      </w:r>
      <w:r>
        <w:t xml:space="preserve">e isn’t kept in check.” That framing is </w:t>
      </w:r>
      <w:r>
        <w:rPr>
          <w:b/>
          <w:bCs/>
        </w:rPr>
        <w:t>correct but incomplete</w:t>
      </w:r>
      <w:r>
        <w:t xml:space="preserve"> — the actual failure mode is more specific and more useful to name:</w:t>
      </w:r>
    </w:p>
    <w:p w:rsidR="0044765C" w:rsidRDefault="004719BB">
      <w:pPr>
        <w:pStyle w:val="Compact"/>
        <w:numPr>
          <w:ilvl w:val="0"/>
          <w:numId w:val="6"/>
        </w:numPr>
      </w:pPr>
      <w:r>
        <w:rPr>
          <w:rStyle w:val="VerbatimChar"/>
        </w:rPr>
        <w:lastRenderedPageBreak/>
        <w:t>reference/1/AI FUND/FORECAST/</w:t>
      </w:r>
      <w:r>
        <w:t xml:space="preserve"> contains </w:t>
      </w:r>
      <w:r>
        <w:rPr>
          <w:rStyle w:val="VerbatimChar"/>
        </w:rPr>
        <w:t>forecast111.py</w:t>
      </w:r>
      <w:r>
        <w:t xml:space="preserve"> → </w:t>
      </w:r>
      <w:r>
        <w:rPr>
          <w:rStyle w:val="VerbatimChar"/>
        </w:rPr>
        <w:t>forecast909.py</w:t>
      </w:r>
      <w:r>
        <w:t xml:space="preserve"> (9 numbered variants) and </w:t>
      </w:r>
      <w:r>
        <w:rPr>
          <w:rStyle w:val="VerbatimChar"/>
        </w:rPr>
        <w:t>ict101.py</w:t>
      </w:r>
      <w:r>
        <w:t xml:space="preserve"> → </w:t>
      </w:r>
      <w:r>
        <w:rPr>
          <w:rStyle w:val="VerbatimChar"/>
        </w:rPr>
        <w:t>ict505.py</w:t>
      </w:r>
      <w:r>
        <w:t>. Confi</w:t>
      </w:r>
      <w:r>
        <w:t xml:space="preserve">rmed concretely: </w:t>
      </w:r>
      <w:r>
        <w:rPr>
          <w:rStyle w:val="VerbatimChar"/>
          <w:b/>
          <w:bCs/>
        </w:rPr>
        <w:t>ict303.py</w:t>
      </w:r>
      <w:r>
        <w:rPr>
          <w:b/>
          <w:bCs/>
        </w:rPr>
        <w:t xml:space="preserve"> and </w:t>
      </w:r>
      <w:r>
        <w:rPr>
          <w:rStyle w:val="VerbatimChar"/>
          <w:b/>
          <w:bCs/>
        </w:rPr>
        <w:t>ict404.py</w:t>
      </w:r>
      <w:r>
        <w:rPr>
          <w:b/>
          <w:bCs/>
        </w:rPr>
        <w:t xml:space="preserve"> define an identical class </w:t>
      </w:r>
      <w:r>
        <w:rPr>
          <w:rStyle w:val="VerbatimChar"/>
          <w:b/>
          <w:bCs/>
        </w:rPr>
        <w:t>ICTMultiTimeframeTrainer</w:t>
      </w:r>
      <w:r>
        <w:t xml:space="preserve"> — an entire file was cloned and incremented rather than refactored into an importable module.</w:t>
      </w:r>
    </w:p>
    <w:p w:rsidR="0044765C" w:rsidRDefault="004719BB">
      <w:pPr>
        <w:pStyle w:val="Compact"/>
        <w:numPr>
          <w:ilvl w:val="0"/>
          <w:numId w:val="6"/>
        </w:numPr>
      </w:pPr>
      <w:r>
        <w:rPr>
          <w:rStyle w:val="VerbatimChar"/>
        </w:rPr>
        <w:t>reference/finance101/đ</w:t>
      </w:r>
      <w:r>
        <w:rPr>
          <w:rStyle w:val="VerbatimChar"/>
        </w:rPr>
        <w:t>ị</w:t>
      </w:r>
      <w:r>
        <w:rPr>
          <w:rStyle w:val="VerbatimChar"/>
        </w:rPr>
        <w:t>nh giá/</w:t>
      </w:r>
      <w:r>
        <w:t xml:space="preserve"> contains </w:t>
      </w:r>
      <w:r>
        <w:rPr>
          <w:rStyle w:val="VerbatimChar"/>
        </w:rPr>
        <w:t>financeAdvisor101.py</w:t>
      </w:r>
      <w:r>
        <w:t xml:space="preserve"> (1,181 li</w:t>
      </w:r>
      <w:r>
        <w:t xml:space="preserve">nes) → </w:t>
      </w:r>
      <w:r>
        <w:rPr>
          <w:rStyle w:val="VerbatimChar"/>
        </w:rPr>
        <w:t>financeAdvisor202.py</w:t>
      </w:r>
      <w:r>
        <w:t xml:space="preserve"> → </w:t>
      </w:r>
      <w:r>
        <w:rPr>
          <w:rStyle w:val="VerbatimChar"/>
        </w:rPr>
        <w:t>financeAdvisor202_simplified.py</w:t>
      </w:r>
      <w:r>
        <w:t xml:space="preserve"> → </w:t>
      </w:r>
      <w:r>
        <w:rPr>
          <w:rStyle w:val="VerbatimChar"/>
        </w:rPr>
        <w:t>financeAdvisor_V1.py</w:t>
      </w:r>
      <w:r>
        <w:t xml:space="preserve"> → </w:t>
      </w:r>
      <w:r>
        <w:rPr>
          <w:rStyle w:val="VerbatimChar"/>
        </w:rPr>
        <w:t>financeAdvisor_V3.py</w:t>
      </w:r>
      <w:r>
        <w:t xml:space="preserve"> (1,578 lines). </w:t>
      </w:r>
      <w:r>
        <w:rPr>
          <w:rStyle w:val="VerbatimChar"/>
        </w:rPr>
        <w:t>financeAdvisor101.py</w:t>
      </w:r>
      <w:r>
        <w:t>’s header literally embeds a changelog (</w:t>
      </w:r>
      <w:r>
        <w:rPr>
          <w:rStyle w:val="VerbatimChar"/>
        </w:rPr>
        <w:t>BUG-1</w:t>
      </w:r>
      <w:r>
        <w:t xml:space="preserve"> through </w:t>
      </w:r>
      <w:r>
        <w:rPr>
          <w:rStyle w:val="VerbatimChar"/>
        </w:rPr>
        <w:t>BUG-5</w:t>
      </w:r>
      <w:r>
        <w:t>) as a comment block — bug history tracked in prose in</w:t>
      </w:r>
      <w:r>
        <w:t>side the file because each “version” is a full-file overwrite, not a git-tracked change.</w:t>
      </w:r>
    </w:p>
    <w:p w:rsidR="0044765C" w:rsidRDefault="004719BB">
      <w:pPr>
        <w:pStyle w:val="Compact"/>
        <w:numPr>
          <w:ilvl w:val="0"/>
          <w:numId w:val="6"/>
        </w:numPr>
      </w:pPr>
      <w:r>
        <w:t xml:space="preserve">Two hardcoded, duplicated secrets were found: the same FRED API key appears verbatim in both </w:t>
      </w:r>
      <w:r>
        <w:rPr>
          <w:rStyle w:val="VerbatimChar"/>
        </w:rPr>
        <w:t>forecast111.py</w:t>
      </w:r>
      <w:r>
        <w:t xml:space="preserve"> and </w:t>
      </w:r>
      <w:r>
        <w:rPr>
          <w:rStyle w:val="VerbatimChar"/>
        </w:rPr>
        <w:t>TEST/economicdata.py</w:t>
      </w:r>
      <w:r>
        <w:t xml:space="preserve">. </w:t>
      </w:r>
      <w:r>
        <w:rPr>
          <w:rStyle w:val="VerbatimChar"/>
        </w:rPr>
        <w:t>telesignal/rsi_bot.py</w:t>
      </w:r>
      <w:r>
        <w:t xml:space="preserve"> has a real,</w:t>
      </w:r>
      <w:r>
        <w:t xml:space="preserve"> working bug from this copy-paste pattern: </w:t>
      </w:r>
      <w:r>
        <w:rPr>
          <w:rStyle w:val="VerbatimChar"/>
        </w:rPr>
        <w:t>BOT_TOKEN = os.getenv('7399617419:AAEBG9ak6l64Lt2fBXi0gnXy0CaN9MLCGhc')</w:t>
      </w:r>
      <w:r>
        <w:t xml:space="preserve"> passes the literal token as the </w:t>
      </w:r>
      <w:r>
        <w:rPr>
          <w:b/>
          <w:bCs/>
        </w:rPr>
        <w:t>environment-variable name</w:t>
      </w:r>
      <w:r>
        <w:t xml:space="preserve">, not a key to look up — this silently evaluates to </w:t>
      </w:r>
      <w:r>
        <w:rPr>
          <w:rStyle w:val="VerbatimChar"/>
        </w:rPr>
        <w:t>None</w:t>
      </w:r>
      <w:r>
        <w:t xml:space="preserve"> and would fail at the Teleg</w:t>
      </w:r>
      <w:r>
        <w:t>ram API call, not at this line.</w:t>
      </w:r>
    </w:p>
    <w:p w:rsidR="0044765C" w:rsidRDefault="004719BB">
      <w:pPr>
        <w:pStyle w:val="FirstParagraph"/>
      </w:pPr>
      <w:r>
        <w:t xml:space="preserve">The diagnosis: </w:t>
      </w:r>
      <w:r>
        <w:rPr>
          <w:rStyle w:val="VerbatimChar"/>
        </w:rPr>
        <w:t>financeAdvisor_V3.py</w:t>
      </w:r>
      <w:r>
        <w:t xml:space="preserve"> is not undisciplined code — it has a factory pattern, dataclasses, and fallback chains internally. </w:t>
      </w:r>
      <w:r>
        <w:rPr>
          <w:b/>
          <w:bCs/>
        </w:rPr>
        <w:t>The actual failure is unbounded scope accumulating inside single files with no version-co</w:t>
      </w:r>
      <w:r>
        <w:rPr>
          <w:b/>
          <w:bCs/>
        </w:rPr>
        <w:t>ntrol discipline</w:t>
      </w:r>
      <w:r>
        <w:t xml:space="preserve"> — “just add a V2” instead of “refactor the shared part out, commit, iterate.” That is a more specific warning than “no discipline,” and it’s worth restating in </w:t>
      </w:r>
      <w:r>
        <w:rPr>
          <w:rStyle w:val="VerbatimChar"/>
        </w:rPr>
        <w:t>vnquant</w:t>
      </w:r>
      <w:r>
        <w:t>’s own docs that way.</w:t>
      </w:r>
    </w:p>
    <w:p w:rsidR="0044765C" w:rsidRDefault="004719BB">
      <w:pPr>
        <w:pStyle w:val="Heading3"/>
      </w:pPr>
      <w:bookmarkStart w:id="17" w:name="X9b1701f13db04f776375cc0e1d3d59f4ef63627"/>
      <w:bookmarkEnd w:id="16"/>
      <w:r>
        <w:t xml:space="preserve">4.2 Where </w:t>
      </w:r>
      <w:r>
        <w:rPr>
          <w:rStyle w:val="VerbatimChar"/>
        </w:rPr>
        <w:t>vnquant</w:t>
      </w:r>
      <w:r>
        <w:t xml:space="preserve"> </w:t>
      </w:r>
      <w:r>
        <w:t>currently stands against this pattern</w:t>
      </w:r>
    </w:p>
    <w:p w:rsidR="0044765C" w:rsidRDefault="004719BB">
      <w:pPr>
        <w:pStyle w:val="FirstParagraph"/>
      </w:pPr>
      <w:r>
        <w:t>Clean, currently: one file per concern (</w:t>
      </w:r>
      <w:r>
        <w:rPr>
          <w:rStyle w:val="VerbatimChar"/>
        </w:rPr>
        <w:t>valuation/{dcf,ddm,graham,nav,relative,rim}.py</w:t>
      </w:r>
      <w:r>
        <w:t xml:space="preserve">, </w:t>
      </w:r>
      <w:r>
        <w:rPr>
          <w:rStyle w:val="VerbatimChar"/>
        </w:rPr>
        <w:t>regression/{ols,diagnostics,model_builder,universe,_features}.py</w:t>
      </w:r>
      <w:r>
        <w:t xml:space="preserve">), no </w:t>
      </w:r>
      <w:r>
        <w:rPr>
          <w:rStyle w:val="VerbatimChar"/>
        </w:rPr>
        <w:t>_v2</w:t>
      </w:r>
      <w:r>
        <w:t>/</w:t>
      </w:r>
      <w:r>
        <w:rPr>
          <w:rStyle w:val="VerbatimChar"/>
        </w:rPr>
        <w:t>_simplified</w:t>
      </w:r>
      <w:r>
        <w:t xml:space="preserve">/ numbered variants anywhere in </w:t>
      </w:r>
      <w:r>
        <w:rPr>
          <w:rStyle w:val="VerbatimChar"/>
        </w:rPr>
        <w:t>src/</w:t>
      </w:r>
      <w:r>
        <w:t>. The ris</w:t>
      </w:r>
      <w:r>
        <w:t xml:space="preserve">k isn’t present yet — it’s a habit to </w:t>
      </w:r>
      <w:r>
        <w:rPr>
          <w:i/>
          <w:iCs/>
        </w:rPr>
        <w:t>keep</w:t>
      </w:r>
      <w:r>
        <w:t xml:space="preserve"> deliberately as the two unbuilt engines (statistical, composite) get added, per Section 3.3 above: those are exactly the two places a “just one big file that does everything” temptation will show up next.</w:t>
      </w:r>
    </w:p>
    <w:p w:rsidR="0044765C" w:rsidRDefault="004719BB">
      <w:pPr>
        <w:pStyle w:val="Heading3"/>
      </w:pPr>
      <w:bookmarkStart w:id="18" w:name="ideas-actually-worth-carrying-forward"/>
      <w:bookmarkEnd w:id="17"/>
      <w:r>
        <w:t>4.3 Idea</w:t>
      </w:r>
      <w:r>
        <w:t>s actually worth carrying forward</w:t>
      </w:r>
    </w:p>
    <w:p w:rsidR="0044765C" w:rsidRDefault="004719BB">
      <w:pPr>
        <w:pStyle w:val="Compact"/>
        <w:numPr>
          <w:ilvl w:val="0"/>
          <w:numId w:val="7"/>
        </w:numPr>
      </w:pPr>
      <w:r>
        <w:rPr>
          <w:b/>
          <w:bCs/>
        </w:rPr>
        <w:t>Compute-once, render-many report pattern.</w:t>
      </w:r>
      <w:r>
        <w:t xml:space="preserve"> </w:t>
      </w:r>
      <w:r>
        <w:rPr>
          <w:rStyle w:val="VerbatimChar"/>
        </w:rPr>
        <w:t>financeAdvisor_V3.py</w:t>
      </w:r>
      <w:r>
        <w:t xml:space="preserve">’s </w:t>
      </w:r>
      <w:r>
        <w:rPr>
          <w:rStyle w:val="VerbatimChar"/>
        </w:rPr>
        <w:t>ReportGenerator</w:t>
      </w:r>
      <w:r>
        <w:t xml:space="preserve"> computes results once into dataclasses (</w:t>
      </w:r>
      <w:r>
        <w:rPr>
          <w:rStyle w:val="VerbatimChar"/>
        </w:rPr>
        <w:t>WACCComponents</w:t>
      </w:r>
      <w:r>
        <w:t xml:space="preserve">, </w:t>
      </w:r>
      <w:r>
        <w:rPr>
          <w:rStyle w:val="VerbatimChar"/>
        </w:rPr>
        <w:t>ValuationResult</w:t>
      </w:r>
      <w:r>
        <w:t xml:space="preserve">, </w:t>
      </w:r>
      <w:r>
        <w:rPr>
          <w:rStyle w:val="VerbatimChar"/>
        </w:rPr>
        <w:t>RiskMetrics</w:t>
      </w:r>
      <w:r>
        <w:t xml:space="preserve">, …), then renders them twice — a Markdown report and a </w:t>
      </w:r>
      <w:r>
        <w:rPr>
          <w:rStyle w:val="VerbatimChar"/>
        </w:rPr>
        <w:t>p</w:t>
      </w:r>
      <w:r>
        <w:rPr>
          <w:rStyle w:val="VerbatimChar"/>
        </w:rPr>
        <w:t>ython-docx</w:t>
      </w:r>
      <w:r>
        <w:t xml:space="preserve"> Word report — from the same objects, without recomputation. Its docx structure is a clean 5-section template: basic info + data-quality warnings → cost-of-capital table → valuation-method comparison table (method / fair value / % diff / confiden</w:t>
      </w:r>
      <w:r>
        <w:t xml:space="preserve">ce) → distributional output → risk table. This maps directly onto </w:t>
      </w:r>
      <w:r>
        <w:rPr>
          <w:rStyle w:val="VerbatimChar"/>
        </w:rPr>
        <w:t>vnquant</w:t>
      </w:r>
      <w:r>
        <w:t xml:space="preserve">’s eventual need to present ranking/valuation </w:t>
      </w:r>
      <w:r>
        <w:lastRenderedPageBreak/>
        <w:t xml:space="preserve">output — worth reusing the </w:t>
      </w:r>
      <w:r>
        <w:rPr>
          <w:i/>
          <w:iCs/>
        </w:rPr>
        <w:t>shape</w:t>
      </w:r>
      <w:r>
        <w:t xml:space="preserve"> of that separation (compute → dataclass → render) once an output/reporting layer is built.</w:t>
      </w:r>
    </w:p>
    <w:p w:rsidR="0044765C" w:rsidRDefault="004719BB">
      <w:pPr>
        <w:pStyle w:val="Compact"/>
        <w:numPr>
          <w:ilvl w:val="0"/>
          <w:numId w:val="7"/>
        </w:numPr>
      </w:pPr>
      <w:r>
        <w:rPr>
          <w:b/>
          <w:bCs/>
        </w:rPr>
        <w:t>GARCH validat</w:t>
      </w:r>
      <w:r>
        <w:rPr>
          <w:b/>
          <w:bCs/>
        </w:rPr>
        <w:t>ion approach.</w:t>
      </w:r>
      <w:r>
        <w:t xml:space="preserve"> </w:t>
      </w:r>
      <w:r>
        <w:rPr>
          <w:rStyle w:val="VerbatimChar"/>
        </w:rPr>
        <w:t>Financial_Model_Code/garch.py</w:t>
      </w:r>
      <w:r>
        <w:t xml:space="preserve">’s </w:t>
      </w:r>
      <w:r>
        <w:rPr>
          <w:rStyle w:val="VerbatimChar"/>
        </w:rPr>
        <w:t>arch_model(returns, vol='Garch', p=1, q=1)</w:t>
      </w:r>
      <w:r>
        <w:t xml:space="preserve"> is essentially the exact “offline answer key” </w:t>
      </w:r>
      <w:r>
        <w:rPr>
          <w:rStyle w:val="VerbatimChar"/>
        </w:rPr>
        <w:t>docs/SYSTEM_OVERVIEW.md</w:t>
      </w:r>
      <w:r>
        <w:t xml:space="preserve"> already plans to use to validate the hand-built GARCH(1,1) — this confirms the existing plan rath</w:t>
      </w:r>
      <w:r>
        <w:t>er than adding anything new to scope.</w:t>
      </w:r>
    </w:p>
    <w:p w:rsidR="0044765C" w:rsidRDefault="004719BB">
      <w:pPr>
        <w:pStyle w:val="Compact"/>
        <w:numPr>
          <w:ilvl w:val="0"/>
          <w:numId w:val="7"/>
        </w:numPr>
      </w:pPr>
      <w:r>
        <w:rPr>
          <w:b/>
          <w:bCs/>
        </w:rPr>
        <w:t>Telegram alert skeleton.</w:t>
      </w:r>
      <w:r>
        <w:t xml:space="preserve"> </w:t>
      </w:r>
      <w:r>
        <w:rPr>
          <w:rStyle w:val="VerbatimChar"/>
        </w:rPr>
        <w:t>telesignal/rsi_bot.py</w:t>
      </w:r>
      <w:r>
        <w:t xml:space="preserve">’s </w:t>
      </w:r>
      <w:r>
        <w:rPr>
          <w:rStyle w:val="VerbatimChar"/>
        </w:rPr>
        <w:t>schedule.every(...).do(check_fn)</w:t>
      </w:r>
      <w:r>
        <w:t xml:space="preserve"> + threshold-triggered push is a reasonable shape for the Section 3.5 alerting layer later — provided the credential-handling bug above i</w:t>
      </w:r>
      <w:r>
        <w:t>s not repeated.</w:t>
      </w:r>
    </w:p>
    <w:p w:rsidR="0044765C" w:rsidRDefault="004719BB">
      <w:pPr>
        <w:pStyle w:val="Heading3"/>
      </w:pPr>
      <w:bookmarkStart w:id="19" w:name="explicitly-out-of-scope-do-not-import"/>
      <w:bookmarkEnd w:id="18"/>
      <w:r>
        <w:t>4.4 Explicitly out of scope / do not import</w:t>
      </w:r>
    </w:p>
    <w:p w:rsidR="0044765C" w:rsidRDefault="004719BB">
      <w:pPr>
        <w:pStyle w:val="Compact"/>
        <w:numPr>
          <w:ilvl w:val="0"/>
          <w:numId w:val="8"/>
        </w:numPr>
      </w:pPr>
      <w:r>
        <w:rPr>
          <w:b/>
          <w:bCs/>
        </w:rPr>
        <w:t>Macro/FRED regression features</w:t>
      </w:r>
      <w:r>
        <w:t xml:space="preserve"> (CPI, Fed funds rate, DXY, WTI oil, 10Y yield, GDP, unemployment) — these serve single-instrument </w:t>
      </w:r>
      <w:r>
        <w:rPr>
          <w:i/>
          <w:iCs/>
        </w:rPr>
        <w:t>directional forecasting</w:t>
      </w:r>
      <w:r>
        <w:t xml:space="preserve"> (a forex pair moving </w:t>
      </w:r>
      <w:r>
        <w:t xml:space="preserve">over time), a different modeling paradigm from </w:t>
      </w:r>
      <w:r>
        <w:rPr>
          <w:rStyle w:val="VerbatimChar"/>
        </w:rPr>
        <w:t>vnquant</w:t>
      </w:r>
      <w:r>
        <w:t xml:space="preserve">’s </w:t>
      </w:r>
      <w:r>
        <w:rPr>
          <w:i/>
          <w:iCs/>
        </w:rPr>
        <w:t>cross-sectional</w:t>
      </w:r>
      <w:r>
        <w:t xml:space="preserve"> ranking problem (comparing ~36-1871 companies against each other at one point in time). Pulling these in would import a different problem, not strengthen the current one.</w:t>
      </w:r>
    </w:p>
    <w:p w:rsidR="0044765C" w:rsidRDefault="004719BB">
      <w:pPr>
        <w:pStyle w:val="Compact"/>
        <w:numPr>
          <w:ilvl w:val="0"/>
          <w:numId w:val="8"/>
        </w:numPr>
      </w:pPr>
      <w:r>
        <w:rPr>
          <w:b/>
          <w:bCs/>
        </w:rPr>
        <w:t>The LSTM / R</w:t>
      </w:r>
      <w:r>
        <w:rPr>
          <w:b/>
          <w:bCs/>
        </w:rPr>
        <w:t>andom Forest / XGBoost trade-classifier stack</w:t>
      </w:r>
      <w:r>
        <w:t xml:space="preserve"> (</w:t>
      </w:r>
      <w:r>
        <w:rPr>
          <w:rStyle w:val="VerbatimChar"/>
        </w:rPr>
        <w:t>ict_models*/</w:t>
      </w:r>
      <w:r>
        <w:t xml:space="preserve">, </w:t>
      </w:r>
      <w:r>
        <w:rPr>
          <w:rStyle w:val="VerbatimChar"/>
        </w:rPr>
        <w:t>XGboost.py</w:t>
      </w:r>
      <w:r>
        <w:t xml:space="preserve">) — contradicts the hand-built, fully-inspectable-math philosophy directly (see </w:t>
      </w:r>
      <w:r>
        <w:rPr>
          <w:rStyle w:val="VerbatimChar"/>
        </w:rPr>
        <w:t>docs/SYSTEM_OVERVIEW.md</w:t>
      </w:r>
      <w:r>
        <w:t xml:space="preserve"> §3.2). Not a fit regardless of scope.</w:t>
      </w:r>
    </w:p>
    <w:p w:rsidR="0044765C" w:rsidRDefault="004719BB">
      <w:r>
        <w:pict>
          <v:rect id="_x0000_i1028" style="width:0;height:1.5pt" o:hralign="center" o:hrstd="t" o:hr="t"/>
        </w:pict>
      </w:r>
    </w:p>
    <w:p w:rsidR="0044765C" w:rsidRDefault="004719BB">
      <w:pPr>
        <w:pStyle w:val="Heading1"/>
      </w:pPr>
      <w:bookmarkStart w:id="20" w:name="X8d58ae47679ba1c3e064394e173891529f81685"/>
      <w:bookmarkStart w:id="21" w:name="_Toc237176031"/>
      <w:bookmarkEnd w:id="14"/>
      <w:bookmarkEnd w:id="19"/>
      <w:r>
        <w:t xml:space="preserve">5. Possible Future Direction (explicitly </w:t>
      </w:r>
      <w:r>
        <w:t>out of current scope): Personal Portfolio Tracking</w:t>
      </w:r>
      <w:bookmarkEnd w:id="21"/>
    </w:p>
    <w:p w:rsidR="0044765C" w:rsidRDefault="004719BB">
      <w:pPr>
        <w:pStyle w:val="FirstParagraph"/>
      </w:pPr>
      <w:r>
        <w:t xml:space="preserve">Source: a review of </w:t>
      </w:r>
      <w:r>
        <w:rPr>
          <w:rStyle w:val="VerbatimChar"/>
        </w:rPr>
        <w:t>reference/portfolio</w:t>
      </w:r>
      <w:r>
        <w:t xml:space="preserve"> (“Portfolio Performance,” a mature open-source personal-investment-tracking application — different tech stack entirely, reviewed only for domain ideas, not code).</w:t>
      </w:r>
    </w:p>
    <w:p w:rsidR="0044765C" w:rsidRDefault="004719BB">
      <w:pPr>
        <w:pStyle w:val="BodyText"/>
      </w:pPr>
      <w:r>
        <w:rPr>
          <w:rStyle w:val="VerbatimChar"/>
        </w:rPr>
        <w:t>v</w:t>
      </w:r>
      <w:r>
        <w:rPr>
          <w:rStyle w:val="VerbatimChar"/>
        </w:rPr>
        <w:t>nquant</w:t>
      </w:r>
      <w:r>
        <w:t xml:space="preserve"> ranks the </w:t>
      </w:r>
      <w:r>
        <w:rPr>
          <w:i/>
          <w:iCs/>
        </w:rPr>
        <w:t>whole market</w:t>
      </w:r>
      <w:r>
        <w:t xml:space="preserve"> — it has no concept of “what I actually own.” A mature portfolio tool like this one models: a </w:t>
      </w:r>
      <w:r>
        <w:rPr>
          <w:rStyle w:val="VerbatimChar"/>
        </w:rPr>
        <w:t>Client</w:t>
      </w:r>
      <w:r>
        <w:t xml:space="preserve"> with multiple cash </w:t>
      </w:r>
      <w:r>
        <w:rPr>
          <w:rStyle w:val="VerbatimChar"/>
        </w:rPr>
        <w:t>Account</w:t>
      </w:r>
      <w:r>
        <w:t xml:space="preserve">s and holding </w:t>
      </w:r>
      <w:r>
        <w:rPr>
          <w:rStyle w:val="VerbatimChar"/>
        </w:rPr>
        <w:t>Portfolio</w:t>
      </w:r>
      <w:r>
        <w:t xml:space="preserve">s, transaction types (buy/sell/dividend/fee/tax/transfer), and — its signature feature — broker PDF-statement import. It computes performance two ways side by side: </w:t>
      </w:r>
      <w:r>
        <w:rPr>
          <w:b/>
          <w:bCs/>
        </w:rPr>
        <w:t>IRR</w:t>
      </w:r>
      <w:r>
        <w:t xml:space="preserve"> (what return did </w:t>
      </w:r>
      <w:r>
        <w:rPr>
          <w:i/>
          <w:iCs/>
        </w:rPr>
        <w:t>my</w:t>
      </w:r>
      <w:r>
        <w:t xml:space="preserve"> actual cash flows earn) and </w:t>
      </w:r>
      <w:r>
        <w:rPr>
          <w:b/>
          <w:bCs/>
        </w:rPr>
        <w:t>true time-weighted return / TWR</w:t>
      </w:r>
      <w:r>
        <w:t xml:space="preserve"> (how di</w:t>
      </w:r>
      <w:r>
        <w:t>d the holding perform independent of when money was added or withdrawn) — a distinction that only matters once a tool tracks user-specific buy/sell/deposit events with dates and amounts.</w:t>
      </w:r>
    </w:p>
    <w:p w:rsidR="0044765C" w:rsidRDefault="004719BB">
      <w:pPr>
        <w:pStyle w:val="BodyText"/>
      </w:pPr>
      <w:r>
        <w:rPr>
          <w:b/>
          <w:bCs/>
        </w:rPr>
        <w:t>Verdict:</w:t>
      </w:r>
      <w:r>
        <w:t xml:space="preserve"> this is a different product category, not a superset of </w:t>
      </w:r>
      <w:r>
        <w:rPr>
          <w:rStyle w:val="VerbatimChar"/>
        </w:rPr>
        <w:t>vnqu</w:t>
      </w:r>
      <w:r>
        <w:rPr>
          <w:rStyle w:val="VerbatimChar"/>
        </w:rPr>
        <w:t>ant</w:t>
      </w:r>
      <w:r>
        <w:t xml:space="preserve">’s current job. None of this is needed for market-wide ranking to succeed, and building it now would be scope creep unrelated to ranking quality — the same failure mode flagged in Section 4. It is worth </w:t>
      </w:r>
      <w:r>
        <w:rPr>
          <w:b/>
          <w:bCs/>
        </w:rPr>
        <w:t>naming explicitly as a possible long-horizon idea</w:t>
      </w:r>
      <w:r>
        <w:t xml:space="preserve"> </w:t>
      </w:r>
      <w:r>
        <w:t xml:space="preserve">and nothing more: if </w:t>
      </w:r>
      <w:r>
        <w:rPr>
          <w:rStyle w:val="VerbatimChar"/>
        </w:rPr>
        <w:t>vnquant</w:t>
      </w:r>
      <w:r>
        <w:t xml:space="preserve"> ever grows from “what should I look at” to “how is what I actually hold doing,” </w:t>
      </w:r>
      <w:r>
        <w:lastRenderedPageBreak/>
        <w:t>the natural next layer is a lightweight transaction ledger feeding IRR/TWR per holding, letting the existing ranking engine double as a “should I s</w:t>
      </w:r>
      <w:r>
        <w:t>till hold this” signal against real positions. Not a near-term roadmap item.</w:t>
      </w:r>
    </w:p>
    <w:p w:rsidR="0044765C" w:rsidRDefault="004719BB">
      <w:r>
        <w:pict>
          <v:rect id="_x0000_i1029" style="width:0;height:1.5pt" o:hralign="center" o:hrstd="t" o:hr="t"/>
        </w:pict>
      </w:r>
    </w:p>
    <w:p w:rsidR="0044765C" w:rsidRDefault="004719BB">
      <w:pPr>
        <w:pStyle w:val="Heading1"/>
      </w:pPr>
      <w:bookmarkStart w:id="22" w:name="Xe7e5e18bc5a78033ee31bee1773ea3c96cbb474"/>
      <w:bookmarkStart w:id="23" w:name="_Toc237176032"/>
      <w:bookmarkEnd w:id="20"/>
      <w:r>
        <w:t>6. Potential Errors / Logical Mistakes in the Current Code</w:t>
      </w:r>
      <w:bookmarkEnd w:id="23"/>
    </w:p>
    <w:p w:rsidR="0044765C" w:rsidRDefault="004719BB">
      <w:pPr>
        <w:pStyle w:val="FirstParagraph"/>
      </w:pPr>
      <w:r>
        <w:rPr>
          <w:b/>
          <w:bCs/>
        </w:rPr>
        <w:t>Nothing below has been changed.</w:t>
      </w:r>
      <w:r>
        <w:t xml:space="preserve"> These are risks and inconsistencies found while reading the already-built code, writte</w:t>
      </w:r>
      <w:r>
        <w:t>n down for you to decide whether/how to address.</w:t>
      </w:r>
    </w:p>
    <w:p w:rsidR="0044765C" w:rsidRDefault="004719BB">
      <w:pPr>
        <w:pStyle w:val="Heading3"/>
      </w:pPr>
      <w:bookmarkStart w:id="24" w:name="X4c0a1ae4b32bddb82b15b2d41b52efe19397120"/>
      <w:r>
        <w:t xml:space="preserve">6.1 Inconsistent growth-rate unit convention across </w:t>
      </w:r>
      <w:r>
        <w:rPr>
          <w:rStyle w:val="VerbatimChar"/>
        </w:rPr>
        <w:t>valuation/</w:t>
      </w:r>
    </w:p>
    <w:p w:rsidR="0044765C" w:rsidRDefault="004719BB">
      <w:pPr>
        <w:pStyle w:val="FirstParagraph"/>
      </w:pPr>
      <w:r>
        <w:rPr>
          <w:rStyle w:val="VerbatimChar"/>
        </w:rPr>
        <w:t>valuation/graham.py:29-40</w:t>
      </w:r>
      <w:r>
        <w:t xml:space="preserve">, </w:t>
      </w:r>
      <w:r>
        <w:rPr>
          <w:rStyle w:val="VerbatimChar"/>
        </w:rPr>
        <w:t>graham_growth_value(eps, growth_pct, aaa_yield_pct, ...)</w:t>
      </w:r>
      <w:r>
        <w:t xml:space="preserve"> expects </w:t>
      </w:r>
      <w:r>
        <w:rPr>
          <w:rStyle w:val="VerbatimChar"/>
        </w:rPr>
        <w:t>growth_pct</w:t>
      </w:r>
      <w:r>
        <w:t xml:space="preserve"> as a </w:t>
      </w:r>
      <w:r>
        <w:rPr>
          <w:b/>
          <w:bCs/>
        </w:rPr>
        <w:t>whole percent</w:t>
      </w:r>
      <w:r>
        <w:t xml:space="preserve"> (its own docstring exa</w:t>
      </w:r>
      <w:r>
        <w:t xml:space="preserve">mple: “8 for 8%”). Every sibling model uses the opposite convention — a </w:t>
      </w:r>
      <w:r>
        <w:rPr>
          <w:b/>
          <w:bCs/>
        </w:rPr>
        <w:t>whole fraction</w:t>
      </w:r>
      <w:r>
        <w:t xml:space="preserve">: </w:t>
      </w:r>
      <w:r>
        <w:rPr>
          <w:rStyle w:val="VerbatimChar"/>
        </w:rPr>
        <w:t>ddm.py</w:t>
      </w:r>
      <w:r>
        <w:t xml:space="preserve">’s </w:t>
      </w:r>
      <w:r>
        <w:rPr>
          <w:rStyle w:val="VerbatimChar"/>
        </w:rPr>
        <w:t>g</w:t>
      </w:r>
      <w:r>
        <w:t xml:space="preserve"> (“0.04” in its own demo), </w:t>
      </w:r>
      <w:r>
        <w:rPr>
          <w:rStyle w:val="VerbatimChar"/>
        </w:rPr>
        <w:t>dcf.py</w:t>
      </w:r>
      <w:r>
        <w:t xml:space="preserve">’s </w:t>
      </w:r>
      <w:r>
        <w:rPr>
          <w:rStyle w:val="VerbatimChar"/>
        </w:rPr>
        <w:t>g1</w:t>
      </w:r>
      <w:r>
        <w:t>/</w:t>
      </w:r>
      <w:r>
        <w:rPr>
          <w:rStyle w:val="VerbatimChar"/>
        </w:rPr>
        <w:t>g_terminal</w:t>
      </w:r>
      <w:r>
        <w:t xml:space="preserve"> (“0.06”/“0.03”), </w:t>
      </w:r>
      <w:r>
        <w:rPr>
          <w:rStyle w:val="VerbatimChar"/>
        </w:rPr>
        <w:t>rim.py</w:t>
      </w:r>
      <w:r>
        <w:t xml:space="preserve">’s </w:t>
      </w:r>
      <w:r>
        <w:rPr>
          <w:rStyle w:val="VerbatimChar"/>
        </w:rPr>
        <w:t>g</w:t>
      </w:r>
      <w:r>
        <w:t xml:space="preserve"> (“0.04”). A caller moving between these functions (all in the same package, call</w:t>
      </w:r>
      <w:r>
        <w:t xml:space="preserve">ed the same way elsewhere in the codebase) could pass </w:t>
      </w:r>
      <w:r>
        <w:rPr>
          <w:rStyle w:val="VerbatimChar"/>
        </w:rPr>
        <w:t>0.08</w:t>
      </w:r>
      <w:r>
        <w:t xml:space="preserve"> into </w:t>
      </w:r>
      <w:r>
        <w:rPr>
          <w:rStyle w:val="VerbatimChar"/>
        </w:rPr>
        <w:t>graham_growth_value</w:t>
      </w:r>
      <w:r>
        <w:t xml:space="preserve"> out of habit and get </w:t>
      </w:r>
      <w:r>
        <w:rPr>
          <w:rStyle w:val="VerbatimChar"/>
        </w:rPr>
        <w:t>8.5 + 2*0.08 = 8.66</w:t>
      </w:r>
      <w:r>
        <w:t xml:space="preserve"> instead of the intended </w:t>
      </w:r>
      <w:r>
        <w:rPr>
          <w:rStyle w:val="VerbatimChar"/>
        </w:rPr>
        <w:t>8.5 + 16 = 24.5</w:t>
      </w:r>
      <w:r>
        <w:t xml:space="preserve"> — a silently wrong multiple, not a crash. Worth a deliberate decision (rename the parameter</w:t>
      </w:r>
      <w:r>
        <w:t xml:space="preserve"> to make the unit unmissable, or convert internally) rather than leaving it implicit.</w:t>
      </w:r>
    </w:p>
    <w:p w:rsidR="0044765C" w:rsidRDefault="004719BB">
      <w:pPr>
        <w:pStyle w:val="Heading3"/>
      </w:pPr>
      <w:bookmarkStart w:id="25" w:name="X983273d5651c19138af8fbfc3d58f54e0a37c34"/>
      <w:bookmarkEnd w:id="24"/>
      <w:r>
        <w:t>6.2 DDM silently returns 0 instead of signaling “model doesn’t apply”</w:t>
      </w:r>
    </w:p>
    <w:p w:rsidR="0044765C" w:rsidRDefault="004719BB">
      <w:pPr>
        <w:pStyle w:val="FirstParagraph"/>
      </w:pPr>
      <w:r>
        <w:rPr>
          <w:rStyle w:val="VerbatimChar"/>
        </w:rPr>
        <w:t>valuation/ddm.py:14-44</w:t>
      </w:r>
      <w:r>
        <w:t xml:space="preserve">. </w:t>
      </w:r>
      <w:r>
        <w:rPr>
          <w:rStyle w:val="VerbatimChar"/>
        </w:rPr>
        <w:t>gordon_growth_value</w:t>
      </w:r>
      <w:r>
        <w:t xml:space="preserve"> and </w:t>
      </w:r>
      <w:r>
        <w:rPr>
          <w:rStyle w:val="VerbatimChar"/>
        </w:rPr>
        <w:t>for_symbol</w:t>
      </w:r>
      <w:r>
        <w:t xml:space="preserve"> perform no validation on </w:t>
      </w:r>
      <w:r>
        <w:rPr>
          <w:rStyle w:val="VerbatimChar"/>
        </w:rPr>
        <w:t>d0</w:t>
      </w:r>
      <w:r>
        <w:t xml:space="preserve"> (trailing div</w:t>
      </w:r>
      <w:r>
        <w:t xml:space="preserve">idend per share). For a non-dividend-paying stock — common among growth names — </w:t>
      </w:r>
      <w:r>
        <w:rPr>
          <w:rStyle w:val="VerbatimChar"/>
        </w:rPr>
        <w:t>d0 = 0</w:t>
      </w:r>
      <w:r>
        <w:t xml:space="preserve"> flows straight through to </w:t>
      </w:r>
      <w:r>
        <w:rPr>
          <w:rStyle w:val="VerbatimChar"/>
        </w:rPr>
        <w:t>intrinsic_value = 0.0</w:t>
      </w:r>
      <w:r>
        <w:t xml:space="preserve"> with no error and no warning. Contrast with </w:t>
      </w:r>
      <w:r>
        <w:rPr>
          <w:rStyle w:val="VerbatimChar"/>
        </w:rPr>
        <w:t>graham.py:24-25</w:t>
      </w:r>
      <w:r>
        <w:t xml:space="preserve">, which explicitly </w:t>
      </w:r>
      <w:r>
        <w:rPr>
          <w:rStyle w:val="VerbatimChar"/>
        </w:rPr>
        <w:t>raise</w:t>
      </w:r>
      <w:r>
        <w:t xml:space="preserve">s when </w:t>
      </w:r>
      <w:r>
        <w:rPr>
          <w:rStyle w:val="VerbatimChar"/>
        </w:rPr>
        <w:t>eps &lt;= 0 or bvps &lt;= 0</w:t>
      </w:r>
      <w:r>
        <w:t xml:space="preserve"> rather th</w:t>
      </w:r>
      <w:r>
        <w:t xml:space="preserve">an returning a number. A </w:t>
      </w:r>
      <w:r>
        <w:rPr>
          <w:rStyle w:val="VerbatimChar"/>
        </w:rPr>
        <w:t>0</w:t>
      </w:r>
      <w:r>
        <w:t xml:space="preserve"> printed alongside six other valuation estimates could easily be misread as “this model says the stock is worthless” rather than “this model doesn’t apply to a company that doesn’t pay dividends” (which the module’s own docstring </w:t>
      </w:r>
      <w:r>
        <w:t>already says, just not in code).</w:t>
      </w:r>
    </w:p>
    <w:p w:rsidR="0044765C" w:rsidRDefault="004719BB">
      <w:pPr>
        <w:pStyle w:val="Heading3"/>
      </w:pPr>
      <w:bookmarkStart w:id="26" w:name="X25418638b26660df2a1d9f349d750b39dcfcd4e"/>
      <w:bookmarkEnd w:id="25"/>
      <w:r>
        <w:t xml:space="preserve">6.3 </w:t>
      </w:r>
      <w:r>
        <w:rPr>
          <w:rStyle w:val="VerbatimChar"/>
        </w:rPr>
        <w:t>relative.py</w:t>
      </w:r>
      <w:r>
        <w:t xml:space="preserve"> validates peers’ inputs but not the target’s</w:t>
      </w:r>
    </w:p>
    <w:p w:rsidR="0044765C" w:rsidRDefault="004719BB">
      <w:pPr>
        <w:pStyle w:val="FirstParagraph"/>
      </w:pPr>
      <w:r>
        <w:rPr>
          <w:rStyle w:val="VerbatimChar"/>
        </w:rPr>
        <w:t>valuation/relative.py:17-25</w:t>
      </w:r>
      <w:r>
        <w:t xml:space="preserve"> (</w:t>
      </w:r>
      <w:r>
        <w:rPr>
          <w:rStyle w:val="VerbatimChar"/>
        </w:rPr>
        <w:t>peer_average_multiple</w:t>
      </w:r>
      <w:r>
        <w:t xml:space="preserve">) correctly excludes peers with a non-positive EPS/BVPS from the average multiple. But </w:t>
      </w:r>
      <w:r>
        <w:rPr>
          <w:rStyle w:val="VerbatimChar"/>
        </w:rPr>
        <w:t>for_symbol</w:t>
      </w:r>
      <w:r>
        <w:t xml:space="preserve"> (</w:t>
      </w:r>
      <w:r>
        <w:rPr>
          <w:rStyle w:val="VerbatimChar"/>
        </w:rPr>
        <w:t>relative.py:52-69</w:t>
      </w:r>
      <w:r>
        <w:t xml:space="preserve">) never applies the same check to the </w:t>
      </w:r>
      <w:r>
        <w:rPr>
          <w:b/>
          <w:bCs/>
        </w:rPr>
        <w:t>target</w:t>
      </w:r>
      <w:r>
        <w:t xml:space="preserve"> symbol’s own </w:t>
      </w:r>
      <w:r>
        <w:rPr>
          <w:rStyle w:val="VerbatimChar"/>
        </w:rPr>
        <w:t>eps_ttm</w:t>
      </w:r>
      <w:r>
        <w:t>/</w:t>
      </w:r>
      <w:r>
        <w:rPr>
          <w:rStyle w:val="VerbatimChar"/>
        </w:rPr>
        <w:t>bvps</w:t>
      </w:r>
      <w:r>
        <w:t xml:space="preserve"> before multiplying (</w:t>
      </w:r>
      <w:r>
        <w:rPr>
          <w:rStyle w:val="VerbatimChar"/>
        </w:rPr>
        <w:t>implied_value(peer_pe, target["eps_ttm"])</w:t>
      </w:r>
      <w:r>
        <w:t xml:space="preserve">, line 67). A loss-making or negative-equity target would silently produce a negative </w:t>
      </w:r>
      <w:r>
        <w:rPr>
          <w:rStyle w:val="VerbatimChar"/>
        </w:rPr>
        <w:t>implied_value_pe</w:t>
      </w:r>
      <w:r>
        <w:t>/</w:t>
      </w:r>
      <w:r>
        <w:rPr>
          <w:rStyle w:val="VerbatimChar"/>
        </w:rPr>
        <w:t>impl</w:t>
      </w:r>
      <w:r>
        <w:rPr>
          <w:rStyle w:val="VerbatimChar"/>
        </w:rPr>
        <w:t>ied_value_pb</w:t>
      </w:r>
      <w:r>
        <w:t xml:space="preserve"> — not caught anywhere downstream.</w:t>
      </w:r>
    </w:p>
    <w:p w:rsidR="0044765C" w:rsidRDefault="004719BB">
      <w:pPr>
        <w:pStyle w:val="Heading3"/>
      </w:pPr>
      <w:bookmarkStart w:id="27" w:name="Xeafab89cc5bf435d9135060da52efd97be57e77"/>
      <w:bookmarkEnd w:id="26"/>
      <w:r>
        <w:lastRenderedPageBreak/>
        <w:t xml:space="preserve">6.4 Inconsistent guard against </w:t>
      </w:r>
      <w:r>
        <w:rPr>
          <w:rStyle w:val="VerbatimChar"/>
        </w:rPr>
        <w:t>shares &lt;= 0</w:t>
      </w:r>
      <w:r>
        <w:t xml:space="preserve"> across valuation modules</w:t>
      </w:r>
    </w:p>
    <w:p w:rsidR="0044765C" w:rsidRDefault="004719BB">
      <w:pPr>
        <w:pStyle w:val="FirstParagraph"/>
      </w:pPr>
      <w:r>
        <w:rPr>
          <w:rStyle w:val="VerbatimChar"/>
        </w:rPr>
        <w:t>valuation/nav.py:22-24</w:t>
      </w:r>
      <w:r>
        <w:t xml:space="preserve"> explicitly checks </w:t>
      </w:r>
      <w:r>
        <w:rPr>
          <w:rStyle w:val="VerbatimChar"/>
        </w:rPr>
        <w:t>shares &lt;= 0</w:t>
      </w:r>
      <w:r>
        <w:t xml:space="preserve"> and raises a descriptive error before dividing. </w:t>
      </w:r>
      <w:r>
        <w:rPr>
          <w:rStyle w:val="VerbatimChar"/>
        </w:rPr>
        <w:t>valuation/dcf.py:68</w:t>
      </w:r>
      <w:r>
        <w:t xml:space="preserve"> (</w:t>
      </w:r>
      <w:r>
        <w:rPr>
          <w:rStyle w:val="VerbatimChar"/>
        </w:rPr>
        <w:t>fcfe0_per_share = f</w:t>
      </w:r>
      <w:r>
        <w:rPr>
          <w:rStyle w:val="VerbatimChar"/>
        </w:rPr>
        <w:t>cfe0_total / shares</w:t>
      </w:r>
      <w:r>
        <w:t xml:space="preserve">) and </w:t>
      </w:r>
      <w:r>
        <w:rPr>
          <w:rStyle w:val="VerbatimChar"/>
        </w:rPr>
        <w:t>valuation/graham.py:55</w:t>
      </w:r>
      <w:r>
        <w:t xml:space="preserve"> (</w:t>
      </w:r>
      <w:r>
        <w:rPr>
          <w:rStyle w:val="VerbatimChar"/>
        </w:rPr>
        <w:t>bvps = equity / shares</w:t>
      </w:r>
      <w:r>
        <w:t xml:space="preserve">) do not — a malformed/zero </w:t>
      </w:r>
      <w:r>
        <w:rPr>
          <w:rStyle w:val="VerbatimChar"/>
        </w:rPr>
        <w:t>issue_share</w:t>
      </w:r>
      <w:r>
        <w:t xml:space="preserve"> from </w:t>
      </w:r>
      <w:r>
        <w:rPr>
          <w:rStyle w:val="VerbatimChar"/>
        </w:rPr>
        <w:t>get_company_overview</w:t>
      </w:r>
      <w:r>
        <w:t xml:space="preserve"> would surface as a bare </w:t>
      </w:r>
      <w:r>
        <w:rPr>
          <w:rStyle w:val="VerbatimChar"/>
        </w:rPr>
        <w:t>ZeroDivisionError</w:t>
      </w:r>
      <w:r>
        <w:t xml:space="preserve"> there instead of the descriptive </w:t>
      </w:r>
      <w:r>
        <w:rPr>
          <w:rStyle w:val="VerbatimChar"/>
        </w:rPr>
        <w:t>ValueError</w:t>
      </w:r>
      <w:r>
        <w:t xml:space="preserve"> the rest of the module family use</w:t>
      </w:r>
      <w:r>
        <w:t>s. Minor, but an inconsistent error contract within the same package.</w:t>
      </w:r>
    </w:p>
    <w:p w:rsidR="0044765C" w:rsidRDefault="004719BB">
      <w:pPr>
        <w:pStyle w:val="Heading3"/>
      </w:pPr>
      <w:bookmarkStart w:id="28" w:name="X718f6129e38d38067ea3d7f7e86315a9882668f"/>
      <w:bookmarkEnd w:id="27"/>
      <w:r>
        <w:t>6.5 YoY window assumes no gaps in stored quarters — never validated</w:t>
      </w:r>
    </w:p>
    <w:p w:rsidR="0044765C" w:rsidRDefault="004719BB">
      <w:pPr>
        <w:pStyle w:val="FirstParagraph"/>
      </w:pPr>
      <w:r>
        <w:rPr>
          <w:rStyle w:val="VerbatimChar"/>
        </w:rPr>
        <w:t>valuation/_inputs.py:56-72</w:t>
      </w:r>
      <w:r>
        <w:t xml:space="preserve"> (</w:t>
      </w:r>
      <w:r>
        <w:rPr>
          <w:rStyle w:val="VerbatimChar"/>
        </w:rPr>
        <w:t>quarters_window</w:t>
      </w:r>
      <w:r>
        <w:t xml:space="preserve">) and </w:t>
      </w:r>
      <w:r>
        <w:rPr>
          <w:rStyle w:val="VerbatimChar"/>
        </w:rPr>
        <w:t>:98-104</w:t>
      </w:r>
      <w:r>
        <w:t xml:space="preserve"> (</w:t>
      </w:r>
      <w:r>
        <w:rPr>
          <w:rStyle w:val="VerbatimChar"/>
        </w:rPr>
        <w:t>ttm_flow_prior_year</w:t>
      </w:r>
      <w:r>
        <w:t xml:space="preserve">) validate only the </w:t>
      </w:r>
      <w:r>
        <w:rPr>
          <w:b/>
          <w:bCs/>
        </w:rPr>
        <w:t>count</w:t>
      </w:r>
      <w:r>
        <w:t xml:space="preserve"> of stored perio</w:t>
      </w:r>
      <w:r>
        <w:t>ds for a symbol (</w:t>
      </w:r>
      <w:r>
        <w:rPr>
          <w:rStyle w:val="VerbatimChar"/>
        </w:rPr>
        <w:t>len(periods) &lt; n</w:t>
      </w:r>
      <w:r>
        <w:t xml:space="preserve">), never that they form a </w:t>
      </w:r>
      <w:r>
        <w:rPr>
          <w:b/>
          <w:bCs/>
        </w:rPr>
        <w:t>contiguous</w:t>
      </w:r>
      <w:r>
        <w:t xml:space="preserve"> run. If any single quarter was ever missed for a symbol (a transient API failure during </w:t>
      </w:r>
      <w:r>
        <w:rPr>
          <w:rStyle w:val="VerbatimChar"/>
        </w:rPr>
        <w:t>update_market_financials</w:t>
      </w:r>
      <w:r>
        <w:t xml:space="preserve">, or a symbol that joined the tracked universe mid-history), </w:t>
      </w:r>
      <w:r>
        <w:rPr>
          <w:rStyle w:val="VerbatimChar"/>
        </w:rPr>
        <w:t>offset=4</w:t>
      </w:r>
      <w:r>
        <w:t xml:space="preserve"> no l</w:t>
      </w:r>
      <w:r>
        <w:t xml:space="preserve">onger lines up with “the same calendar quarter one year ago” — it silently becomes “4 stored periods back,” whatever those happen to be. </w:t>
      </w:r>
      <w:r>
        <w:rPr>
          <w:rStyle w:val="VerbatimChar"/>
        </w:rPr>
        <w:t>revenue_growth</w:t>
      </w:r>
      <w:r>
        <w:t xml:space="preserve"> and any other YoY calculation built on </w:t>
      </w:r>
      <w:r>
        <w:rPr>
          <w:rStyle w:val="VerbatimChar"/>
        </w:rPr>
        <w:t>ttm_flow_prior_year</w:t>
      </w:r>
      <w:r>
        <w:t xml:space="preserve"> would then compute a real-looking number over</w:t>
      </w:r>
      <w:r>
        <w:t xml:space="preserve"> the wrong window, with no error raised anywhere.</w:t>
      </w:r>
    </w:p>
    <w:p w:rsidR="0044765C" w:rsidRDefault="004719BB">
      <w:pPr>
        <w:pStyle w:val="Heading3"/>
      </w:pPr>
      <w:bookmarkStart w:id="29" w:name="X0ee6488381b6f446415255b569cd45191497663"/>
      <w:bookmarkEnd w:id="28"/>
      <w:r>
        <w:t>6.6 “Already loaded” doesn’t mean “enough history” — compounds 6.5</w:t>
      </w:r>
    </w:p>
    <w:p w:rsidR="0044765C" w:rsidRDefault="004719BB">
      <w:pPr>
        <w:pStyle w:val="FirstParagraph"/>
      </w:pPr>
      <w:r>
        <w:rPr>
          <w:rStyle w:val="VerbatimChar"/>
        </w:rPr>
        <w:t>regression/universe.py:49-68</w:t>
      </w:r>
      <w:r>
        <w:t xml:space="preserve"> (</w:t>
      </w:r>
      <w:r>
        <w:rPr>
          <w:rStyle w:val="VerbatimChar"/>
        </w:rPr>
        <w:t>ensure_loaded</w:t>
      </w:r>
      <w:r>
        <w:t xml:space="preserve">) treats “at least one row exists in </w:t>
      </w:r>
      <w:r>
        <w:rPr>
          <w:rStyle w:val="VerbatimChar"/>
        </w:rPr>
        <w:t>fact_statement_line</w:t>
      </w:r>
      <w:r>
        <w:t xml:space="preserve"> for this symbol” as “already loaded,” a</w:t>
      </w:r>
      <w:r>
        <w:t xml:space="preserve">nd skips re-fetching. A symbol that only ever got 1-2 quarters stored (e.g. an interrupted first backfill) would be marked loaded permanently and never retried — even though </w:t>
      </w:r>
      <w:r>
        <w:rPr>
          <w:rStyle w:val="VerbatimChar"/>
        </w:rPr>
        <w:t>_features.py</w:t>
      </w:r>
      <w:r>
        <w:t xml:space="preserve"> needs 4 quarters for TTM and 8 for YoY. Combined with 6.5, a partiall</w:t>
      </w:r>
      <w:r>
        <w:t>y-loaded symbol can sit in the universe indefinitely, quietly producing wrong-window figures rather than an error or a retry.</w:t>
      </w:r>
    </w:p>
    <w:p w:rsidR="0044765C" w:rsidRDefault="004719BB">
      <w:pPr>
        <w:pStyle w:val="Heading3"/>
      </w:pPr>
      <w:bookmarkStart w:id="30" w:name="Xebe35a9617b1bdffdb6202c7373e607f8ca01f0"/>
      <w:bookmarkEnd w:id="29"/>
      <w:r>
        <w:t>6.7 Regression mixes today’s price with fundamentals of unknown freshness</w:t>
      </w:r>
    </w:p>
    <w:p w:rsidR="0044765C" w:rsidRDefault="004719BB">
      <w:pPr>
        <w:pStyle w:val="FirstParagraph"/>
      </w:pPr>
      <w:r>
        <w:rPr>
          <w:rStyle w:val="VerbatimChar"/>
        </w:rPr>
        <w:t>regression/_features.py:68-108</w:t>
      </w:r>
      <w:r>
        <w:t xml:space="preserve"> (</w:t>
      </w:r>
      <w:r>
        <w:rPr>
          <w:rStyle w:val="VerbatimChar"/>
        </w:rPr>
        <w:t>_row_for</w:t>
      </w:r>
      <w:r>
        <w:t xml:space="preserve">), specifically </w:t>
      </w:r>
      <w:r>
        <w:t xml:space="preserve">line 88: </w:t>
      </w:r>
      <w:r>
        <w:rPr>
          <w:rStyle w:val="VerbatimChar"/>
        </w:rPr>
        <w:t>get_company_overview</w:t>
      </w:r>
      <w:r>
        <w:t xml:space="preserve"> returns </w:t>
      </w:r>
      <w:r>
        <w:rPr>
          <w:b/>
          <w:bCs/>
        </w:rPr>
        <w:t>today’s</w:t>
      </w:r>
      <w:r>
        <w:t xml:space="preserve"> live/day-cached price and market cap, while every fundamental input above it (</w:t>
      </w:r>
      <w:r>
        <w:rPr>
          <w:rStyle w:val="VerbatimChar"/>
        </w:rPr>
        <w:t>eps_ttm</w:t>
      </w:r>
      <w:r>
        <w:t xml:space="preserve">, </w:t>
      </w:r>
      <w:r>
        <w:rPr>
          <w:rStyle w:val="VerbatimChar"/>
        </w:rPr>
        <w:t>bvps</w:t>
      </w:r>
      <w:r>
        <w:t xml:space="preserve">, </w:t>
      </w:r>
      <w:r>
        <w:rPr>
          <w:rStyle w:val="VerbatimChar"/>
        </w:rPr>
        <w:t>roe</w:t>
      </w:r>
      <w:r>
        <w:t xml:space="preserve">, …) comes from whatever quarter is currently stored in </w:t>
      </w:r>
      <w:r>
        <w:rPr>
          <w:rStyle w:val="VerbatimChar"/>
        </w:rPr>
        <w:t>fact_statement_line</w:t>
      </w:r>
      <w:r>
        <w:t xml:space="preserve"> — which could be months old if </w:t>
      </w:r>
      <w:r>
        <w:rPr>
          <w:rStyle w:val="VerbatimChar"/>
        </w:rPr>
        <w:t>update_market_financials</w:t>
      </w:r>
      <w:r>
        <w:t xml:space="preserve"> hasn’t been re-run recently for that symbol. Nothing checks that price and fundamentals are from a comparable point in time before they’re regressed against each other; the model implicitly assumes near-simultaneity that isn’t veri</w:t>
      </w:r>
      <w:r>
        <w:t xml:space="preserve">fied anywhere in the pipeline. (This is distinct from </w:t>
      </w:r>
      <w:r>
        <w:rPr>
          <w:rStyle w:val="VerbatimChar"/>
        </w:rPr>
        <w:t>docs/SYSTEM_OVERVIEW.md</w:t>
      </w:r>
      <w:r>
        <w:t xml:space="preserve">’s already-documented point-in-time/look-ahead caveat, which is about statement </w:t>
      </w:r>
      <w:r>
        <w:rPr>
          <w:i/>
          <w:iCs/>
        </w:rPr>
        <w:t>restatement</w:t>
      </w:r>
      <w:r>
        <w:t xml:space="preserve"> — this is about statement </w:t>
      </w:r>
      <w:r>
        <w:rPr>
          <w:i/>
          <w:iCs/>
        </w:rPr>
        <w:t>staleness</w:t>
      </w:r>
      <w:r>
        <w:t xml:space="preserve"> relative to the price snapshot.)</w:t>
      </w:r>
    </w:p>
    <w:p w:rsidR="0044765C" w:rsidRDefault="004719BB">
      <w:pPr>
        <w:pStyle w:val="Heading3"/>
      </w:pPr>
      <w:bookmarkStart w:id="31" w:name="X8a67014f07476f695f73ee103ea380bc1199f3e"/>
      <w:bookmarkEnd w:id="30"/>
      <w:r>
        <w:lastRenderedPageBreak/>
        <w:t>6.8 Expected-quart</w:t>
      </w:r>
      <w:r>
        <w:t>er calculation doesn’t reference the publish-lag model it sits next to</w:t>
      </w:r>
    </w:p>
    <w:p w:rsidR="0044765C" w:rsidRDefault="004719BB">
      <w:pPr>
        <w:pStyle w:val="FirstParagraph"/>
      </w:pPr>
      <w:r>
        <w:rPr>
          <w:rStyle w:val="VerbatimChar"/>
        </w:rPr>
        <w:t>market_access/financial_report.py:125-132</w:t>
      </w:r>
      <w:r>
        <w:t xml:space="preserve"> (</w:t>
      </w:r>
      <w:r>
        <w:rPr>
          <w:rStyle w:val="VerbatimChar"/>
        </w:rPr>
        <w:t>_previous_quarter_label</w:t>
      </w:r>
      <w:r>
        <w:t xml:space="preserve">) computes the “expected” period as simply the most recently completed </w:t>
      </w:r>
      <w:r>
        <w:rPr>
          <w:b/>
          <w:bCs/>
        </w:rPr>
        <w:t>calendar</w:t>
      </w:r>
      <w:r>
        <w:t xml:space="preserve"> quarter — it does not reference </w:t>
      </w:r>
      <w:r>
        <w:rPr>
          <w:rStyle w:val="VerbatimChar"/>
        </w:rPr>
        <w:t>market_</w:t>
      </w:r>
      <w:r>
        <w:rPr>
          <w:rStyle w:val="VerbatimChar"/>
        </w:rPr>
        <w:t>access/db.py</w:t>
      </w:r>
      <w:r>
        <w:t xml:space="preserve">’s </w:t>
      </w:r>
      <w:r>
        <w:rPr>
          <w:rStyle w:val="VerbatimChar"/>
        </w:rPr>
        <w:t>Period.estimated_publish_date</w:t>
      </w:r>
      <w:r>
        <w:t xml:space="preserve"> (period end + 90 days), which exists specifically to model that Vietnamese filings lag the quarter close by about 90 days. Early in a new quarter (roughly the first 90 days after the previous quarter closed), </w:t>
      </w:r>
      <w:r>
        <w:rPr>
          <w:rStyle w:val="VerbatimChar"/>
        </w:rPr>
        <w:t>up</w:t>
      </w:r>
      <w:r>
        <w:rPr>
          <w:rStyle w:val="VerbatimChar"/>
        </w:rPr>
        <w:t>date_latest_quarter</w:t>
      </w:r>
      <w:r>
        <w:t xml:space="preserve"> will treat that just-closed quarter as “expected” even though, per the project’s own publish-lag assumption, it may not be filed yet. What </w:t>
      </w:r>
      <w:r>
        <w:rPr>
          <w:rStyle w:val="VerbatimChar"/>
        </w:rPr>
        <w:t>vnstock</w:t>
      </w:r>
      <w:r>
        <w:t xml:space="preserve"> actually returns in that window hasn’t been confirmed here — it may simply omit the perio</w:t>
      </w:r>
      <w:r>
        <w:t xml:space="preserve">d (safe: </w:t>
      </w:r>
      <w:r>
        <w:rPr>
          <w:rStyle w:val="VerbatimChar"/>
        </w:rPr>
        <w:t>_has_period</w:t>
      </w:r>
      <w:r>
        <w:t xml:space="preserve"> correctly returns </w:t>
      </w:r>
      <w:r>
        <w:rPr>
          <w:rStyle w:val="VerbatimChar"/>
        </w:rPr>
        <w:t>False</w:t>
      </w:r>
      <w:r>
        <w:t xml:space="preserve"> and the next run retries), or it may be worth checking directly against a real symbol during that window before relying on it at market scale.</w:t>
      </w:r>
    </w:p>
    <w:p w:rsidR="0044765C" w:rsidRDefault="004719BB">
      <w:r>
        <w:pict>
          <v:rect id="_x0000_i1030" style="width:0;height:1.5pt" o:hralign="center" o:hrstd="t" o:hr="t"/>
        </w:pict>
      </w:r>
    </w:p>
    <w:p w:rsidR="0044765C" w:rsidRDefault="004719BB">
      <w:pPr>
        <w:pStyle w:val="Heading1"/>
      </w:pPr>
      <w:bookmarkStart w:id="32" w:name="prioritized-recommendations"/>
      <w:bookmarkStart w:id="33" w:name="_Toc237176033"/>
      <w:bookmarkEnd w:id="22"/>
      <w:bookmarkEnd w:id="31"/>
      <w:r>
        <w:t>7. Prioritized Recommendations</w:t>
      </w:r>
      <w:bookmarkEnd w:id="33"/>
    </w:p>
    <w:p w:rsidR="0044765C" w:rsidRDefault="004719BB">
      <w:pPr>
        <w:pStyle w:val="Compact"/>
        <w:numPr>
          <w:ilvl w:val="0"/>
          <w:numId w:val="9"/>
        </w:numPr>
      </w:pPr>
      <w:r>
        <w:rPr>
          <w:b/>
          <w:bCs/>
        </w:rPr>
        <w:t>Verify 6.5/6.6/6.8 before scaling to the full ~1871-symbol universe</w:t>
      </w:r>
      <w:r>
        <w:t xml:space="preserve"> — these are the ones that could silently corrupt regression/statistical output at scale, and they’re far cheaper to check now against the current 36-symbol universe than after a full-marke</w:t>
      </w:r>
      <w:r>
        <w:t>t run.</w:t>
      </w:r>
    </w:p>
    <w:p w:rsidR="0044765C" w:rsidRDefault="004719BB">
      <w:pPr>
        <w:pStyle w:val="Compact"/>
        <w:numPr>
          <w:ilvl w:val="0"/>
          <w:numId w:val="9"/>
        </w:numPr>
      </w:pPr>
      <w:r>
        <w:rPr>
          <w:b/>
          <w:bCs/>
        </w:rPr>
        <w:t>Decide the growth-rate unit convention (6.1)</w:t>
      </w:r>
      <w:r>
        <w:t xml:space="preserve"> and the input-validation convention across </w:t>
      </w:r>
      <w:r>
        <w:rPr>
          <w:rStyle w:val="VerbatimChar"/>
        </w:rPr>
        <w:t>valuation/</w:t>
      </w:r>
      <w:r>
        <w:t xml:space="preserve"> (6.2, 6.3, 6.4) — not urgent, but worth a deliberate decision so it doesn’t need revisiting once more models exist.</w:t>
      </w:r>
    </w:p>
    <w:p w:rsidR="0044765C" w:rsidRDefault="004719BB">
      <w:pPr>
        <w:pStyle w:val="Compact"/>
        <w:numPr>
          <w:ilvl w:val="0"/>
          <w:numId w:val="9"/>
        </w:numPr>
      </w:pPr>
      <w:r>
        <w:rPr>
          <w:b/>
          <w:bCs/>
        </w:rPr>
        <w:t xml:space="preserve">When building </w:t>
      </w:r>
      <w:r>
        <w:rPr>
          <w:rStyle w:val="VerbatimChar"/>
          <w:b/>
          <w:bCs/>
        </w:rPr>
        <w:t>run_ranking.py</w:t>
      </w:r>
      <w:r>
        <w:rPr>
          <w:b/>
          <w:bCs/>
        </w:rPr>
        <w:t>, foll</w:t>
      </w:r>
      <w:r>
        <w:rPr>
          <w:b/>
          <w:bCs/>
        </w:rPr>
        <w:t>ow the thin-orchestrator pattern (§3.2-3.3)</w:t>
      </w:r>
      <w:r>
        <w:t xml:space="preserve"> — push logic into small dedicated modules the way </w:t>
      </w:r>
      <w:r>
        <w:rPr>
          <w:rStyle w:val="VerbatimChar"/>
        </w:rPr>
        <w:t>valuation/</w:t>
      </w:r>
      <w:r>
        <w:t xml:space="preserve"> and </w:t>
      </w:r>
      <w:r>
        <w:rPr>
          <w:rStyle w:val="VerbatimChar"/>
        </w:rPr>
        <w:t>regression/</w:t>
      </w:r>
      <w:r>
        <w:t xml:space="preserve"> already do, rather than letting the Composite Index Engine become one large file.</w:t>
      </w:r>
    </w:p>
    <w:p w:rsidR="0044765C" w:rsidRDefault="004719BB">
      <w:pPr>
        <w:pStyle w:val="Compact"/>
        <w:numPr>
          <w:ilvl w:val="0"/>
          <w:numId w:val="9"/>
        </w:numPr>
      </w:pPr>
      <w:r>
        <w:rPr>
          <w:b/>
          <w:bCs/>
        </w:rPr>
        <w:t>Prefer a scheduled GitHub Actions workflow over an in</w:t>
      </w:r>
      <w:r>
        <w:rPr>
          <w:b/>
          <w:bCs/>
        </w:rPr>
        <w:t>-process scheduler (§3.4)</w:t>
      </w:r>
      <w:r>
        <w:t xml:space="preserve"> for the eventual ranking run — matches the single-developer, no-persistent-server scope.</w:t>
      </w:r>
    </w:p>
    <w:p w:rsidR="0044765C" w:rsidRDefault="004719BB">
      <w:pPr>
        <w:pStyle w:val="Compact"/>
        <w:numPr>
          <w:ilvl w:val="0"/>
          <w:numId w:val="9"/>
        </w:numPr>
      </w:pPr>
      <w:r>
        <w:rPr>
          <w:b/>
          <w:bCs/>
        </w:rPr>
        <w:t>If/when alerting is wanted, build one event router + one channel sender (§3.5)</w:t>
      </w:r>
      <w:r>
        <w:t xml:space="preserve"> — not a bot framework.</w:t>
      </w:r>
    </w:p>
    <w:p w:rsidR="0044765C" w:rsidRDefault="004719BB">
      <w:pPr>
        <w:pStyle w:val="Compact"/>
        <w:numPr>
          <w:ilvl w:val="0"/>
          <w:numId w:val="9"/>
        </w:numPr>
      </w:pPr>
      <w:r>
        <w:rPr>
          <w:b/>
          <w:bCs/>
        </w:rPr>
        <w:t>Keep treating “personal portfolio track</w:t>
      </w:r>
      <w:r>
        <w:rPr>
          <w:b/>
          <w:bCs/>
        </w:rPr>
        <w:t>ing” (§5) as a named-but-deferred idea</w:t>
      </w:r>
      <w:r>
        <w:t>, not a current roadmap item.</w:t>
      </w:r>
    </w:p>
    <w:p w:rsidR="0044765C" w:rsidRDefault="004719BB">
      <w:pPr>
        <w:pStyle w:val="Compact"/>
        <w:numPr>
          <w:ilvl w:val="0"/>
          <w:numId w:val="9"/>
        </w:numPr>
      </w:pPr>
      <w:r>
        <w:rPr>
          <w:b/>
          <w:bCs/>
        </w:rPr>
        <w:t>Keep extending the one-file-per-concern habit</w:t>
      </w:r>
      <w:r>
        <w:t xml:space="preserve"> to the statistical engine and composite engine as they’re built — this is the concrete, demonstrated defense against the failure pattern docum</w:t>
      </w:r>
      <w:r>
        <w:t>ented in §4.1.</w:t>
      </w:r>
      <w:bookmarkEnd w:id="32"/>
    </w:p>
    <w:sectPr w:rsidR="0044765C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0"/>
    <w:multiLevelType w:val="multilevel"/>
    <w:tmpl w:val="D8582E9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E4C4BC1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80C4814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</w:compat>
  <w:rsids>
    <w:rsidRoot w:val="0044765C"/>
    <w:rsid w:val="0044765C"/>
    <w:rsid w:val="004719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080733B-2E44-489A-B989-8CE712D4C8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Hyperlink" w:uiPriority="99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OC1">
    <w:name w:val="toc 1"/>
    <w:basedOn w:val="Normal"/>
    <w:next w:val="Normal"/>
    <w:autoRedefine/>
    <w:uiPriority w:val="39"/>
    <w:unhideWhenUsed/>
    <w:rsid w:val="004719BB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</Pages>
  <Words>3181</Words>
  <Characters>18132</Characters>
  <Application>Microsoft Office Word</Application>
  <DocSecurity>0</DocSecurity>
  <Lines>151</Lines>
  <Paragraphs>42</Paragraphs>
  <ScaleCrop>false</ScaleCrop>
  <Company>HP</Company>
  <LinksUpToDate>false</LinksUpToDate>
  <CharactersWithSpaces>21271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VNQuant (financial_tool) — Architecture, Code-Flow &amp; Risk Review</dc:title>
  <dc:creator/>
  <cp:keywords/>
  <cp:lastModifiedBy>NGOCTRAN</cp:lastModifiedBy>
  <cp:revision>3</cp:revision>
  <dcterms:created xsi:type="dcterms:W3CDTF">2026-08-09T01:22:00Z</dcterms:created>
  <dcterms:modified xsi:type="dcterms:W3CDTF">2026-08-09T07:51:00Z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2026-08-09</vt:lpwstr>
  </property>
  <property fmtid="{D5CDD505-2E9C-101B-9397-08002B2CF9AE}" pid="3" name="subtitle">
    <vt:lpwstr>Prepared from a review of the current codebase and the reference/ archive</vt:lpwstr>
  </property>
</Properties>
</file>