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A40149" w:rsidP="00791EB2">
      <w:pPr>
        <w:pStyle w:val="IEEETitle"/>
        <w:ind w:left="720"/>
      </w:pPr>
      <w:r>
        <w:t>Predicting the final flourish : An IPL scorecard simulator using Machine Learning</w:t>
      </w:r>
    </w:p>
    <w:p w:rsidR="00D41274" w:rsidRPr="002162BB" w:rsidRDefault="00857C3E" w:rsidP="00065016">
      <w:pPr>
        <w:pStyle w:val="IEEEAuthorName"/>
        <w:ind w:left="720"/>
      </w:pPr>
      <w:r>
        <w:t>Aabha Jahagirdar</w:t>
      </w:r>
      <w:r w:rsidR="00DA0266">
        <w:t xml:space="preserve">, </w:t>
      </w:r>
      <w:r w:rsidR="00065016">
        <w:t>Darshan Awale, Ganesh Pagadyakul, Mrunal Thamake</w:t>
      </w:r>
    </w:p>
    <w:p w:rsidR="00D41274" w:rsidRPr="0071275B" w:rsidRDefault="002B2C3D" w:rsidP="00D41274">
      <w:pPr>
        <w:pStyle w:val="IEEEAuthorAffiliation"/>
      </w:pPr>
      <w:r>
        <w:t>Computer Depatment</w:t>
      </w:r>
      <w:r w:rsidR="00D41274" w:rsidRPr="0071275B">
        <w:t>,</w:t>
      </w:r>
      <w:r>
        <w:t>A.G. Patil Polytechnic Institute</w:t>
      </w:r>
      <w:r w:rsidR="00D41274">
        <w:br w:type="textWrapping" w:clear="all"/>
      </w:r>
      <w:r w:rsidR="00F41F0E">
        <w:t>Opp SRP Camp, Vijapur Road, Solapur</w:t>
      </w:r>
    </w:p>
    <w:p w:rsidR="00403686" w:rsidRPr="00403686" w:rsidRDefault="00A04AC1" w:rsidP="00403686">
      <w:pPr>
        <w:pStyle w:val="IEEEAuthorEmail"/>
      </w:pPr>
      <w:hyperlink r:id="rId7" w:history="1">
        <w:r w:rsidR="00403686" w:rsidRPr="00A20B1C">
          <w:rPr>
            <w:rStyle w:val="Hyperlink"/>
            <w:vertAlign w:val="superscript"/>
          </w:rPr>
          <w:t>1</w:t>
        </w:r>
        <w:r w:rsidR="00403686" w:rsidRPr="00A20B1C">
          <w:rPr>
            <w:rStyle w:val="Hyperlink"/>
          </w:rPr>
          <w:t>AabhaJahagirdar@gmail.com</w:t>
        </w:r>
      </w:hyperlink>
    </w:p>
    <w:p w:rsidR="00F41F0E" w:rsidRDefault="00F41F0E" w:rsidP="00F41F0E">
      <w:pPr>
        <w:pStyle w:val="IEEEAuthorEmail"/>
      </w:pPr>
      <w:r>
        <w:rPr>
          <w:vertAlign w:val="superscript"/>
        </w:rPr>
        <w:t>2</w:t>
      </w:r>
      <w:hyperlink r:id="rId8" w:history="1">
        <w:r w:rsidRPr="00A20B1C">
          <w:rPr>
            <w:rStyle w:val="Hyperlink"/>
          </w:rPr>
          <w:t>darshanawale02@gmail.com</w:t>
        </w:r>
      </w:hyperlink>
    </w:p>
    <w:p w:rsidR="00012005" w:rsidRPr="00012005" w:rsidRDefault="001D4C7B" w:rsidP="001D4C7B">
      <w:pPr>
        <w:pStyle w:val="IEEEAuthorAffiliation"/>
        <w:tabs>
          <w:tab w:val="center" w:pos="5547"/>
          <w:tab w:val="left" w:pos="8100"/>
        </w:tabs>
        <w:jc w:val="left"/>
        <w:rPr>
          <w:rFonts w:ascii="Courier" w:hAnsi="Courier"/>
          <w:i w:val="0"/>
          <w:sz w:val="18"/>
        </w:rPr>
      </w:pPr>
      <w:r>
        <w:rPr>
          <w:rFonts w:ascii="Courier" w:hAnsi="Courier"/>
          <w:i w:val="0"/>
          <w:sz w:val="18"/>
          <w:vertAlign w:val="superscript"/>
        </w:rPr>
        <w:tab/>
      </w:r>
      <w:r w:rsidR="00012005">
        <w:rPr>
          <w:rFonts w:ascii="Courier" w:hAnsi="Courier"/>
          <w:i w:val="0"/>
          <w:sz w:val="18"/>
          <w:vertAlign w:val="superscript"/>
        </w:rPr>
        <w:t>3</w:t>
      </w:r>
      <w:hyperlink r:id="rId9" w:history="1">
        <w:r w:rsidR="00403686" w:rsidRPr="00A20B1C">
          <w:rPr>
            <w:rStyle w:val="Hyperlink"/>
            <w:rFonts w:ascii="Courier" w:hAnsi="Courier"/>
            <w:i w:val="0"/>
            <w:sz w:val="18"/>
          </w:rPr>
          <w:t>ganeshpagadyakul2616@gnail.com</w:t>
        </w:r>
      </w:hyperlink>
      <w:r>
        <w:tab/>
      </w:r>
    </w:p>
    <w:p w:rsidR="00403686" w:rsidRPr="00403686" w:rsidRDefault="00A04AC1" w:rsidP="00403686">
      <w:pPr>
        <w:pStyle w:val="IEEEAuthorAffiliation"/>
        <w:rPr>
          <w:rFonts w:ascii="Courier" w:hAnsi="Courier"/>
          <w:i w:val="0"/>
          <w:sz w:val="18"/>
        </w:rPr>
      </w:pPr>
      <w:hyperlink r:id="rId10" w:history="1">
        <w:r w:rsidR="00403686" w:rsidRPr="00A20B1C">
          <w:rPr>
            <w:rStyle w:val="Hyperlink"/>
            <w:rFonts w:ascii="Courier" w:hAnsi="Courier"/>
            <w:i w:val="0"/>
            <w:sz w:val="18"/>
            <w:vertAlign w:val="superscript"/>
          </w:rPr>
          <w:t>4</w:t>
        </w:r>
        <w:r w:rsidR="00403686" w:rsidRPr="00A20B1C">
          <w:rPr>
            <w:rStyle w:val="Hyperlink"/>
            <w:rFonts w:ascii="Courier" w:hAnsi="Courier"/>
            <w:i w:val="0"/>
            <w:sz w:val="18"/>
          </w:rPr>
          <w:t>mrunalthamake9@gmail.com</w:t>
        </w:r>
      </w:hyperlink>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064223" w:rsidRDefault="00D41274" w:rsidP="008158D9">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064223">
        <w:t>Fans all over the world are captivated by the intense cricket competition known as the Indian Premier League (IPL). For fanatics, there's an additional level of thrill when they can predict the result of these contests. In order to anticipate IPL match scores, this project explores the field of cricket analytics by creating a model based on Python.</w:t>
      </w:r>
    </w:p>
    <w:p w:rsidR="00064223" w:rsidRDefault="00064223" w:rsidP="008158D9">
      <w:pPr>
        <w:pStyle w:val="IEEEAbtract"/>
      </w:pPr>
      <w:r>
        <w:t>The model makes use of numerous variables that have a big impact on how a match plays out. Among these are:</w:t>
      </w:r>
    </w:p>
    <w:p w:rsidR="00064223" w:rsidRDefault="00064223" w:rsidP="008158D9">
      <w:pPr>
        <w:pStyle w:val="IEEEAbtract"/>
      </w:pPr>
      <w:r>
        <w:t>Team Dynamics: A significant factor in deciding the ultimate score is the past results of the bowling and batting teams.</w:t>
      </w:r>
    </w:p>
    <w:p w:rsidR="00064223" w:rsidRDefault="00064223" w:rsidP="008158D9">
      <w:pPr>
        <w:pStyle w:val="IEEEAbtract"/>
      </w:pPr>
      <w:r>
        <w:t>Pitch Conditions: A pitch's ability to support batting or bowling can have a big impact on how many runs are scored.</w:t>
      </w:r>
    </w:p>
    <w:p w:rsidR="00064223" w:rsidRDefault="00064223" w:rsidP="008158D9">
      <w:pPr>
        <w:pStyle w:val="IEEEAbtract"/>
      </w:pPr>
      <w:r>
        <w:t>Match Progression: The pressure on the batting team and scoring rate are reflected in the current over (beginning innings, middle overs, and death overs).</w:t>
      </w:r>
    </w:p>
    <w:p w:rsidR="00D41274" w:rsidRDefault="00064223" w:rsidP="008158D9">
      <w:pPr>
        <w:pStyle w:val="IEEEAbtract"/>
      </w:pPr>
      <w:r>
        <w:t>Wicket Loss Instinct.</w:t>
      </w:r>
    </w:p>
    <w:p w:rsidR="00064223" w:rsidRPr="00064223" w:rsidRDefault="00064223" w:rsidP="008158D9">
      <w:pPr>
        <w:pStyle w:val="IEEEAbtract"/>
      </w:pPr>
      <w:r w:rsidRPr="00064223">
        <w:t>The model seeks to understand the intricate relationships between different game elements and how they affect the overall score by examining five crucial elements. This research offers a data-driven method for predicting IPL match scores, adding to the expanding field of sports analytics.</w:t>
      </w:r>
    </w:p>
    <w:p w:rsidR="00295963" w:rsidRDefault="00295963" w:rsidP="00295963">
      <w:pPr>
        <w:rPr>
          <w:lang w:val="en-GB" w:eastAsia="en-GB"/>
        </w:rPr>
      </w:pPr>
    </w:p>
    <w:p w:rsidR="00295963" w:rsidRPr="00295963" w:rsidRDefault="00295963" w:rsidP="008158D9">
      <w:pPr>
        <w:jc w:val="both"/>
        <w:rPr>
          <w:lang w:val="en-GB" w:eastAsia="en-GB"/>
        </w:rPr>
      </w:pPr>
      <w:r w:rsidRPr="00295963">
        <w:rPr>
          <w:rStyle w:val="IEEEAbstractHeadingChar"/>
        </w:rPr>
        <w:t>Keywords</w:t>
      </w:r>
      <w:r w:rsidRPr="002162BB">
        <w:t>—</w:t>
      </w:r>
      <w:r w:rsidR="00064223">
        <w:rPr>
          <w:rStyle w:val="IEEEAbtractChar"/>
          <w:lang w:val="en-US" w:eastAsia="en-US"/>
        </w:rPr>
        <w:t>Machine Learning, sports analytics, linear regression</w:t>
      </w:r>
      <w:r w:rsidR="006B0F52">
        <w:rPr>
          <w:rStyle w:val="IEEEAbtractChar"/>
          <w:lang w:val="en-US" w:eastAsia="en-US"/>
        </w:rPr>
        <w:t>, First Innings, IPL score prediction</w:t>
      </w:r>
    </w:p>
    <w:p w:rsidR="00A32BFA" w:rsidRDefault="00A32BFA" w:rsidP="00A32BFA">
      <w:pPr>
        <w:rPr>
          <w:lang w:val="en-GB" w:eastAsia="en-GB"/>
        </w:rPr>
      </w:pPr>
    </w:p>
    <w:p w:rsidR="00AD335D" w:rsidRDefault="00AD335D" w:rsidP="00081EBE">
      <w:pPr>
        <w:pStyle w:val="IEEEHeading1"/>
      </w:pPr>
      <w:r>
        <w:t>Introduction</w:t>
      </w:r>
    </w:p>
    <w:p w:rsidR="00BA5551" w:rsidRDefault="00BA5551" w:rsidP="00BA5551">
      <w:pPr>
        <w:pStyle w:val="IEEEParagraph"/>
      </w:pPr>
      <w:r>
        <w:t>The excitement of picking the outcome of your most anticipated IPL match can only be imagined! This project uses machine learning to create a Python-based model for IPL score prediction, bringing that thrill one step closer.</w:t>
      </w:r>
    </w:p>
    <w:p w:rsidR="00081EBE" w:rsidRDefault="00BA5551" w:rsidP="00BA5551">
      <w:pPr>
        <w:pStyle w:val="IEEEParagraph"/>
      </w:pPr>
      <w:r>
        <w:t>Computers can learn through machine learning, and in this case, the data is all about previous Indian Premier League matches. Information on the teams involved, the kind of surface, and even the number of wickets taken so far will be fed into the algorithm.</w:t>
      </w:r>
      <w:r w:rsidR="00F136F0">
        <w:t>Page Layout</w:t>
      </w:r>
      <w:r w:rsidR="003B5D1C">
        <w:t>.</w:t>
      </w:r>
    </w:p>
    <w:p w:rsidR="00FA6751" w:rsidRDefault="00FA6751" w:rsidP="00FA6751">
      <w:pPr>
        <w:pStyle w:val="IEEEParagraph"/>
      </w:pPr>
      <w:r>
        <w:t>An easy way to comply with the conference paper formatting requirements is to use th</w:t>
      </w:r>
      <w:r w:rsidR="004E1BD8">
        <w:t>is document as a</w:t>
      </w:r>
      <w:r>
        <w:t xml:space="preserve"> template</w:t>
      </w:r>
      <w:r w:rsidR="004E1BD8">
        <w:t xml:space="preserve"> and simply type your text into it</w:t>
      </w:r>
      <w:r>
        <w:t>.</w:t>
      </w:r>
    </w:p>
    <w:p w:rsidR="00BA5551" w:rsidRDefault="00BA5551" w:rsidP="00BA5551">
      <w:pPr>
        <w:pStyle w:val="IEEEParagraph"/>
      </w:pPr>
      <w:r>
        <w:t xml:space="preserve">We'll be employing the specific machine learning method known as linear regression. This facilitates the model's ability to discern connections between the final score and these other elements. The algorithm will learn to "predict" the score for a </w:t>
      </w:r>
      <w:r>
        <w:lastRenderedPageBreak/>
        <w:t>new match based on comparable circumstances by examining trends in previous matches.</w:t>
      </w:r>
    </w:p>
    <w:p w:rsidR="00BA5551" w:rsidRDefault="00BA5551" w:rsidP="00BA5551">
      <w:pPr>
        <w:pStyle w:val="IEEEParagraph"/>
      </w:pPr>
      <w:r>
        <w:t>This study explores the topic of cricket analytics and provides a data-driven approach to comprehend what really affects the game's ultimate result. So grab a seat, and let's examine the fascinating field of machine learning-based IPL match prediction.</w:t>
      </w:r>
    </w:p>
    <w:p w:rsidR="008273B2" w:rsidRPr="00FA6751" w:rsidRDefault="008273B2" w:rsidP="00BA5551">
      <w:pPr>
        <w:pStyle w:val="IEEEParagraph"/>
      </w:pPr>
    </w:p>
    <w:p w:rsidR="008E5996" w:rsidRDefault="0050311B" w:rsidP="004E452A">
      <w:pPr>
        <w:pStyle w:val="IEEEHeading1"/>
      </w:pPr>
      <w:r>
        <w:t>Data Resources</w:t>
      </w:r>
    </w:p>
    <w:p w:rsidR="0050311B" w:rsidRDefault="0050311B" w:rsidP="0050311B">
      <w:pPr>
        <w:ind w:firstLine="216"/>
        <w:rPr>
          <w:sz w:val="20"/>
        </w:rPr>
      </w:pPr>
      <w:r w:rsidRPr="0050311B">
        <w:rPr>
          <w:sz w:val="20"/>
        </w:rPr>
        <w:t>Gathering pertinent information is the first stage in forecasting cricket matches. Numerous sources of data are available, such as player statistics, weather reports, historical match data, and live match feeds. Data from previous matches can offer insightful information on player statistics and team performance. A player's performance in prior games can be inferred from player statistics like batting and bowling averages. Weather-related information, such humidity and temperature, can also affect how a match turns out</w:t>
      </w:r>
      <w:r>
        <w:rPr>
          <w:sz w:val="20"/>
        </w:rPr>
        <w:t xml:space="preserve"> also the pitch conditions also affect the final result of the match</w:t>
      </w:r>
      <w:r w:rsidRPr="0050311B">
        <w:rPr>
          <w:sz w:val="20"/>
        </w:rPr>
        <w:t>. A key compo</w:t>
      </w:r>
      <w:r>
        <w:rPr>
          <w:sz w:val="20"/>
        </w:rPr>
        <w:t>nent of creating a successful ML</w:t>
      </w:r>
      <w:r w:rsidRPr="0050311B">
        <w:rPr>
          <w:sz w:val="20"/>
        </w:rPr>
        <w:t xml:space="preserve"> model for cricket match prediction is choosing the right dataset. When choosing a relevant dataset for machine learning-based cricket match prediction, keep the following points in mind:</w:t>
      </w:r>
    </w:p>
    <w:p w:rsidR="0050311B" w:rsidRPr="0050311B" w:rsidRDefault="0050311B" w:rsidP="0050311B">
      <w:pPr>
        <w:numPr>
          <w:ilvl w:val="0"/>
          <w:numId w:val="10"/>
        </w:numPr>
        <w:rPr>
          <w:sz w:val="20"/>
        </w:rPr>
      </w:pPr>
      <w:r w:rsidRPr="0050311B">
        <w:rPr>
          <w:sz w:val="20"/>
        </w:rPr>
        <w:t>Data Quality: The dataset should be of high quality, with minimal errors and missing values. The data should be obtained from reliable sources, such as official cricket websites, and should be thoroughly cleaned and pre-processed before being used for training the AI model.</w:t>
      </w:r>
    </w:p>
    <w:p w:rsidR="0050311B" w:rsidRPr="0050311B" w:rsidRDefault="0050311B" w:rsidP="0050311B">
      <w:pPr>
        <w:pStyle w:val="IEEEParagraph"/>
        <w:numPr>
          <w:ilvl w:val="0"/>
          <w:numId w:val="10"/>
        </w:numPr>
      </w:pPr>
      <w:r w:rsidRPr="0050311B">
        <w:t>Data Availability: The dataset should contain a sufficient number of observations to train the AI model effectively. Ideally, the dataset should cover a wide range of matches, including different formats of the game (e.g., Test, ODI, T20), different teams, and different locations.</w:t>
      </w:r>
    </w:p>
    <w:p w:rsidR="0050311B" w:rsidRPr="0050311B" w:rsidRDefault="0050311B" w:rsidP="0050311B">
      <w:pPr>
        <w:pStyle w:val="IEEEParagraph"/>
        <w:numPr>
          <w:ilvl w:val="0"/>
          <w:numId w:val="10"/>
        </w:numPr>
      </w:pPr>
      <w:r w:rsidRPr="0050311B">
        <w:t xml:space="preserve">Relevant Features: The dataset should contain relevant features that are known to impact the outcome of a cricket match. Some of the commonly used features for cricket match prediction include team performance indicators (e.g., win-loss record, batting and bowling averages), player statistics (e.g., batting and bowling averages, strike rates), weather conditions (e.g., temperature, humidity), </w:t>
      </w:r>
      <w:r w:rsidRPr="0050311B">
        <w:lastRenderedPageBreak/>
        <w:t>pitch conditions (e.g., type of pitch, grass cover), and team composition (e.g., player rankings, injuries).</w:t>
      </w:r>
    </w:p>
    <w:p w:rsidR="0050311B" w:rsidRPr="0050311B" w:rsidRDefault="0050311B" w:rsidP="0050311B">
      <w:pPr>
        <w:pStyle w:val="IEEEParagraph"/>
        <w:numPr>
          <w:ilvl w:val="0"/>
          <w:numId w:val="10"/>
        </w:numPr>
      </w:pPr>
      <w:r w:rsidRPr="0050311B">
        <w:t>Data Granularity: The dataset should have the appropriate granularity to support the prediction task. For example, if the prediction task is to predict the outcome of a match based on the first innings, then the dataset should contain features that reflect the first innings' performance, such as the total runs scored, wickets taken, and run rate.</w:t>
      </w:r>
    </w:p>
    <w:p w:rsidR="0050311B" w:rsidRPr="0050311B" w:rsidRDefault="0050311B" w:rsidP="0050311B">
      <w:pPr>
        <w:pStyle w:val="IEEEParagraph"/>
        <w:numPr>
          <w:ilvl w:val="0"/>
          <w:numId w:val="10"/>
        </w:numPr>
      </w:pPr>
      <w:r w:rsidRPr="0050311B">
        <w:t>Data Diversity: The dataset should be diverse and representative of the different factors that impact the outcome of a cricket match. For example, the dataset should cover matches played in different weather conditions, different locations, and different levels of competition.</w:t>
      </w:r>
    </w:p>
    <w:p w:rsidR="0050311B" w:rsidRDefault="0050311B" w:rsidP="0050311B">
      <w:pPr>
        <w:pStyle w:val="IEEEParagraph"/>
      </w:pPr>
      <w:r w:rsidRPr="0050311B">
        <w:t>Overall, selecting a suitable dataset for c</w:t>
      </w:r>
      <w:r w:rsidR="000F6539">
        <w:t>ricket match prediction using ML</w:t>
      </w:r>
      <w:r w:rsidRPr="0050311B">
        <w:t xml:space="preserve"> requires careful consideration of several factors, including data quality, availability, relevance, granularity, and diversity. By </w:t>
      </w:r>
      <w:r w:rsidR="000F6539">
        <w:t>selecting a suitable dataset, ML</w:t>
      </w:r>
      <w:r w:rsidRPr="0050311B">
        <w:t xml:space="preserve"> models can be trained effectively to predict the outcome of cricket matches accurately.</w:t>
      </w:r>
    </w:p>
    <w:p w:rsidR="008273B2" w:rsidRDefault="008273B2" w:rsidP="0050311B">
      <w:pPr>
        <w:pStyle w:val="IEEEParagraph"/>
      </w:pPr>
    </w:p>
    <w:p w:rsidR="005100D1" w:rsidRDefault="005100D1" w:rsidP="005100D1">
      <w:pPr>
        <w:pStyle w:val="IEEEHeading1"/>
      </w:pPr>
      <w:r>
        <w:t>Preprocessing</w:t>
      </w:r>
    </w:p>
    <w:p w:rsidR="005100D1" w:rsidRPr="005100D1" w:rsidRDefault="005100D1" w:rsidP="00C6136D">
      <w:pPr>
        <w:pStyle w:val="IEEEParagraph"/>
      </w:pPr>
      <w:r w:rsidRPr="005100D1">
        <w:t>The next step in predicting cricket matches is to pre-process the data. Data pre-processing involves cleaning the data, handling missing values, and transforming the data into a format suitable for machine learning algorithms. Cleaning the data involves removing irrelevant data and correcting errors. Handling missing values involves filling in missing values with appropriate values, such as the mean or median value. Transforming the data into a suitable format involves converting categorical data into numerical data and scaling the data to a common range.</w:t>
      </w:r>
      <w:r w:rsidR="00C6136D">
        <w:t xml:space="preserve"> </w:t>
      </w:r>
      <w:r w:rsidRPr="005100D1">
        <w:t>Here's an example of a cricket dataset that can be used to train AI models for predicting cricket match outcomes:</w:t>
      </w:r>
    </w:p>
    <w:p w:rsidR="005100D1" w:rsidRPr="005100D1" w:rsidRDefault="005100D1" w:rsidP="00C6136D">
      <w:pPr>
        <w:pStyle w:val="IEEEParagraph"/>
        <w:numPr>
          <w:ilvl w:val="0"/>
          <w:numId w:val="10"/>
        </w:numPr>
      </w:pPr>
      <w:r w:rsidRPr="005100D1">
        <w:t>Match details: This includes information about the match, such as the date, venue, and format (e.g., Test, ODI, T20).</w:t>
      </w:r>
    </w:p>
    <w:p w:rsidR="005100D1" w:rsidRPr="005100D1" w:rsidRDefault="005100D1" w:rsidP="00C6136D">
      <w:pPr>
        <w:pStyle w:val="IEEEParagraph"/>
        <w:numPr>
          <w:ilvl w:val="0"/>
          <w:numId w:val="10"/>
        </w:numPr>
      </w:pPr>
      <w:r w:rsidRPr="005100D1">
        <w:t>Team statistics: This includes information about the performance of the two teams, such as the win-loss record, batting and bowling averages, and run rate.</w:t>
      </w:r>
    </w:p>
    <w:p w:rsidR="005100D1" w:rsidRPr="005100D1" w:rsidRDefault="005100D1" w:rsidP="00C6136D">
      <w:pPr>
        <w:pStyle w:val="IEEEParagraph"/>
        <w:numPr>
          <w:ilvl w:val="0"/>
          <w:numId w:val="10"/>
        </w:numPr>
      </w:pPr>
      <w:r w:rsidRPr="005100D1">
        <w:t>Player statistics: This includes information about the performance of individual players, such as batting and bowling averages, strike rates, and player rankings.</w:t>
      </w:r>
    </w:p>
    <w:p w:rsidR="005100D1" w:rsidRPr="005100D1" w:rsidRDefault="005100D1" w:rsidP="00C6136D">
      <w:pPr>
        <w:pStyle w:val="IEEEParagraph"/>
        <w:numPr>
          <w:ilvl w:val="0"/>
          <w:numId w:val="10"/>
        </w:numPr>
      </w:pPr>
      <w:r w:rsidRPr="005100D1">
        <w:t>Pitch conditions: This includes information about the pitch conditions, such as the type of pitch, grass cover, and weather conditions.</w:t>
      </w:r>
    </w:p>
    <w:p w:rsidR="005100D1" w:rsidRPr="005100D1" w:rsidRDefault="005100D1" w:rsidP="00C6136D">
      <w:pPr>
        <w:pStyle w:val="IEEEParagraph"/>
        <w:numPr>
          <w:ilvl w:val="0"/>
          <w:numId w:val="10"/>
        </w:numPr>
      </w:pPr>
      <w:r w:rsidRPr="005100D1">
        <w:t>Toss details: This includes information about which team won the toss and chose to bat or bowl first.</w:t>
      </w:r>
    </w:p>
    <w:p w:rsidR="005100D1" w:rsidRPr="005100D1" w:rsidRDefault="005100D1" w:rsidP="00C6136D">
      <w:pPr>
        <w:pStyle w:val="IEEEParagraph"/>
        <w:numPr>
          <w:ilvl w:val="0"/>
          <w:numId w:val="10"/>
        </w:numPr>
      </w:pPr>
      <w:r w:rsidRPr="005100D1">
        <w:t>Inning details: This includes information about each team's innings, such as the total runs scored, wickets taken, and run rate.</w:t>
      </w:r>
    </w:p>
    <w:p w:rsidR="005100D1" w:rsidRPr="005100D1" w:rsidRDefault="005100D1" w:rsidP="00C6136D">
      <w:pPr>
        <w:pStyle w:val="IEEEParagraph"/>
        <w:numPr>
          <w:ilvl w:val="0"/>
          <w:numId w:val="10"/>
        </w:numPr>
      </w:pPr>
      <w:r w:rsidRPr="005100D1">
        <w:t>Outcome details: This includes information about the outcome of the match, such as which team won, the margin of victory, and the number of overs remaining.</w:t>
      </w:r>
    </w:p>
    <w:p w:rsidR="005100D1" w:rsidRPr="005100D1" w:rsidRDefault="005100D1" w:rsidP="005100D1">
      <w:pPr>
        <w:pStyle w:val="IEEEParagraph"/>
      </w:pPr>
    </w:p>
    <w:p w:rsidR="005100D1" w:rsidRPr="005100D1" w:rsidRDefault="005100D1" w:rsidP="005100D1">
      <w:pPr>
        <w:pStyle w:val="IEEEHeading1"/>
      </w:pPr>
      <w:r>
        <w:t>Dataset Features</w:t>
      </w:r>
    </w:p>
    <w:p w:rsidR="008273B2" w:rsidRDefault="008273B2" w:rsidP="0025573D">
      <w:pPr>
        <w:pStyle w:val="IEEEHeading1"/>
        <w:numPr>
          <w:ilvl w:val="0"/>
          <w:numId w:val="0"/>
        </w:numPr>
        <w:ind w:firstLine="289"/>
        <w:jc w:val="both"/>
        <w:rPr>
          <w:smallCaps w:val="0"/>
        </w:rPr>
      </w:pPr>
      <w:r w:rsidRPr="008273B2">
        <w:rPr>
          <w:smallCaps w:val="0"/>
        </w:rPr>
        <w:lastRenderedPageBreak/>
        <w:t>We are employing an ML-based strategy. Hence, a dataset, algorithmic training of that dataset, and model testing are the fundamental needs of a machine learning algorithm. Thus, we have imported the Kaggle dataset. Later on, using Linear Regression for scoring prediction, the accuracy was calculated and improved.</w:t>
      </w:r>
    </w:p>
    <w:p w:rsidR="0025573D" w:rsidRPr="0025573D" w:rsidRDefault="0025573D" w:rsidP="0025573D">
      <w:pPr>
        <w:pStyle w:val="IEEEParagraph"/>
      </w:pPr>
      <w:r>
        <w:t>Score Prediction :- For this project, we have collected data of all the IPL matches played from 2008 to 2017. The dataset consists of 76015 numbers of rows. Dataset consists 15 columns over which we applied feature selection techniques and selected 8 features in which all 8 are input feature. The attributes selected were bat team, bowl team,</w:t>
      </w:r>
      <w:r w:rsidR="00E23B3E">
        <w:t xml:space="preserve"> type of pitch</w:t>
      </w:r>
      <w:r>
        <w:t xml:space="preserve"> overs, runs, wickets, runs in prev</w:t>
      </w:r>
      <w:r w:rsidR="00E23B3E">
        <w:t>ious</w:t>
      </w:r>
      <w:r>
        <w:t xml:space="preserve"> 5</w:t>
      </w:r>
      <w:r w:rsidR="00E23B3E">
        <w:t xml:space="preserve"> overs</w:t>
      </w:r>
      <w:r>
        <w:t xml:space="preserve">, wickets in previous 5 </w:t>
      </w:r>
      <w:r w:rsidR="00E23B3E">
        <w:t xml:space="preserve">overs </w:t>
      </w:r>
      <w:r>
        <w:t>for score prediction.</w:t>
      </w:r>
    </w:p>
    <w:p w:rsidR="00B94516" w:rsidRDefault="00B94516" w:rsidP="00BB3F97">
      <w:pPr>
        <w:pStyle w:val="IEEEParagraph"/>
        <w:ind w:firstLine="0"/>
      </w:pPr>
    </w:p>
    <w:p w:rsidR="00273D2C" w:rsidRDefault="00527D56" w:rsidP="00527D56">
      <w:pPr>
        <w:pStyle w:val="IEEETableCaption"/>
      </w:pPr>
      <w:r>
        <w:t xml:space="preserve">TABLE </w:t>
      </w:r>
      <w:fldSimple w:instr=" SEQ TABLE \* ROMAN ">
        <w:r w:rsidR="00192BC7">
          <w:rPr>
            <w:noProof/>
          </w:rPr>
          <w:t>I</w:t>
        </w:r>
      </w:fldSimple>
      <w:r>
        <w:br w:type="textWrapping" w:clear="all"/>
      </w:r>
      <w:r w:rsidR="008158D9">
        <w:t>Dataset Attributes and their values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37"/>
        <w:gridCol w:w="2009"/>
      </w:tblGrid>
      <w:tr w:rsidR="00E5613D" w:rsidTr="008158D9">
        <w:trPr>
          <w:trHeight w:val="338"/>
          <w:jc w:val="center"/>
        </w:trPr>
        <w:tc>
          <w:tcPr>
            <w:tcW w:w="2437" w:type="dxa"/>
          </w:tcPr>
          <w:p w:rsidR="00E5613D" w:rsidRPr="00C012E1" w:rsidRDefault="00E5613D" w:rsidP="008158D9">
            <w:pPr>
              <w:pStyle w:val="IEEETableHeaderLeft-Justified"/>
            </w:pPr>
            <w:r>
              <w:t>Attributes</w:t>
            </w:r>
          </w:p>
        </w:tc>
        <w:tc>
          <w:tcPr>
            <w:tcW w:w="2009" w:type="dxa"/>
          </w:tcPr>
          <w:p w:rsidR="00E5613D" w:rsidRPr="00C012E1" w:rsidRDefault="00E5613D" w:rsidP="00D36B52">
            <w:pPr>
              <w:pStyle w:val="IEEETableHeaderLeft-Justified"/>
            </w:pPr>
            <w:r>
              <w:t>Values</w:t>
            </w:r>
          </w:p>
        </w:tc>
      </w:tr>
      <w:tr w:rsidR="00E5613D" w:rsidTr="008158D9">
        <w:trPr>
          <w:trHeight w:val="215"/>
          <w:jc w:val="center"/>
        </w:trPr>
        <w:tc>
          <w:tcPr>
            <w:tcW w:w="2437" w:type="dxa"/>
          </w:tcPr>
          <w:p w:rsidR="00E5613D" w:rsidRDefault="00E5613D" w:rsidP="008158D9">
            <w:pPr>
              <w:pStyle w:val="IEEETableCell"/>
            </w:pPr>
            <w:r>
              <w:t>Batting team</w:t>
            </w:r>
          </w:p>
        </w:tc>
        <w:tc>
          <w:tcPr>
            <w:tcW w:w="2009" w:type="dxa"/>
          </w:tcPr>
          <w:p w:rsidR="00E5613D" w:rsidRDefault="00BF7394" w:rsidP="00E47D0E">
            <w:pPr>
              <w:pStyle w:val="IEEETableCell"/>
            </w:pPr>
            <w:r>
              <w:t>Batting team names among 8 names in IPL</w:t>
            </w:r>
          </w:p>
        </w:tc>
      </w:tr>
      <w:tr w:rsidR="00E5613D" w:rsidTr="008158D9">
        <w:trPr>
          <w:trHeight w:val="174"/>
          <w:jc w:val="center"/>
        </w:trPr>
        <w:tc>
          <w:tcPr>
            <w:tcW w:w="2437" w:type="dxa"/>
          </w:tcPr>
          <w:p w:rsidR="00E5613D" w:rsidRDefault="00E5613D" w:rsidP="008158D9">
            <w:pPr>
              <w:pStyle w:val="IEEETableCell"/>
            </w:pPr>
            <w:r>
              <w:t>Bowling team</w:t>
            </w:r>
          </w:p>
        </w:tc>
        <w:tc>
          <w:tcPr>
            <w:tcW w:w="2009" w:type="dxa"/>
          </w:tcPr>
          <w:p w:rsidR="00E5613D" w:rsidRDefault="00BF7394" w:rsidP="00E47D0E">
            <w:pPr>
              <w:pStyle w:val="IEEETableCell"/>
            </w:pPr>
            <w:r>
              <w:t>Bowling team names among 8 names in IPL</w:t>
            </w:r>
          </w:p>
        </w:tc>
      </w:tr>
      <w:tr w:rsidR="00E5613D" w:rsidTr="008158D9">
        <w:trPr>
          <w:trHeight w:val="222"/>
          <w:jc w:val="center"/>
        </w:trPr>
        <w:tc>
          <w:tcPr>
            <w:tcW w:w="2437" w:type="dxa"/>
          </w:tcPr>
          <w:p w:rsidR="00E5613D" w:rsidRDefault="00E5613D" w:rsidP="008158D9">
            <w:pPr>
              <w:pStyle w:val="IEEETableCell"/>
            </w:pPr>
            <w:r>
              <w:t>Pitch</w:t>
            </w:r>
          </w:p>
        </w:tc>
        <w:tc>
          <w:tcPr>
            <w:tcW w:w="2009" w:type="dxa"/>
          </w:tcPr>
          <w:p w:rsidR="00E5613D" w:rsidRDefault="00BF7394" w:rsidP="00E47D0E">
            <w:pPr>
              <w:pStyle w:val="IEEETableCell"/>
            </w:pPr>
            <w:r>
              <w:t>The type of pitch among 6 types of pitches</w:t>
            </w:r>
          </w:p>
        </w:tc>
      </w:tr>
      <w:tr w:rsidR="00E5613D" w:rsidTr="008158D9">
        <w:trPr>
          <w:trHeight w:val="232"/>
          <w:jc w:val="center"/>
        </w:trPr>
        <w:tc>
          <w:tcPr>
            <w:tcW w:w="2437" w:type="dxa"/>
          </w:tcPr>
          <w:p w:rsidR="00E5613D" w:rsidRDefault="00E5613D" w:rsidP="008158D9">
            <w:pPr>
              <w:pStyle w:val="IEEETableCell"/>
            </w:pPr>
            <w:r>
              <w:t>Overs</w:t>
            </w:r>
          </w:p>
        </w:tc>
        <w:tc>
          <w:tcPr>
            <w:tcW w:w="2009" w:type="dxa"/>
          </w:tcPr>
          <w:p w:rsidR="00E5613D" w:rsidRDefault="00BF7394" w:rsidP="00E47D0E">
            <w:pPr>
              <w:pStyle w:val="IEEETableCell"/>
            </w:pPr>
            <w:r>
              <w:t>Value &gt; 5 over</w:t>
            </w:r>
          </w:p>
        </w:tc>
      </w:tr>
      <w:tr w:rsidR="00E5613D" w:rsidTr="008158D9">
        <w:trPr>
          <w:trHeight w:val="215"/>
          <w:jc w:val="center"/>
        </w:trPr>
        <w:tc>
          <w:tcPr>
            <w:tcW w:w="2437" w:type="dxa"/>
          </w:tcPr>
          <w:p w:rsidR="00E5613D" w:rsidRDefault="00E5613D" w:rsidP="008158D9">
            <w:pPr>
              <w:pStyle w:val="IEEETableCell"/>
            </w:pPr>
            <w:r>
              <w:t>Runs</w:t>
            </w:r>
          </w:p>
        </w:tc>
        <w:tc>
          <w:tcPr>
            <w:tcW w:w="2009" w:type="dxa"/>
          </w:tcPr>
          <w:p w:rsidR="00E5613D" w:rsidRDefault="00BF7394" w:rsidP="00E47D0E">
            <w:pPr>
              <w:pStyle w:val="IEEETableCell"/>
            </w:pPr>
            <w:r>
              <w:t>0-</w:t>
            </w:r>
            <w:r w:rsidR="00701429">
              <w:t>770</w:t>
            </w:r>
          </w:p>
        </w:tc>
      </w:tr>
      <w:tr w:rsidR="00E5613D" w:rsidTr="008158D9">
        <w:trPr>
          <w:trHeight w:val="232"/>
          <w:jc w:val="center"/>
        </w:trPr>
        <w:tc>
          <w:tcPr>
            <w:tcW w:w="2437" w:type="dxa"/>
          </w:tcPr>
          <w:p w:rsidR="00E5613D" w:rsidRDefault="00E5613D" w:rsidP="008158D9">
            <w:pPr>
              <w:pStyle w:val="IEEETableCell"/>
            </w:pPr>
            <w:r>
              <w:t>Wickets</w:t>
            </w:r>
          </w:p>
        </w:tc>
        <w:tc>
          <w:tcPr>
            <w:tcW w:w="2009" w:type="dxa"/>
          </w:tcPr>
          <w:p w:rsidR="00E5613D" w:rsidRDefault="008158D9" w:rsidP="00E47D0E">
            <w:pPr>
              <w:pStyle w:val="IEEETableCell"/>
            </w:pPr>
            <w:r>
              <w:t>0-10</w:t>
            </w:r>
          </w:p>
        </w:tc>
      </w:tr>
      <w:tr w:rsidR="008158D9" w:rsidTr="008158D9">
        <w:trPr>
          <w:trHeight w:val="232"/>
          <w:jc w:val="center"/>
        </w:trPr>
        <w:tc>
          <w:tcPr>
            <w:tcW w:w="2437" w:type="dxa"/>
          </w:tcPr>
          <w:p w:rsidR="008158D9" w:rsidRDefault="008158D9" w:rsidP="008158D9">
            <w:pPr>
              <w:pStyle w:val="IEEETableCell"/>
            </w:pPr>
            <w:r>
              <w:t>Runs scored in previous 5 overs</w:t>
            </w:r>
          </w:p>
        </w:tc>
        <w:tc>
          <w:tcPr>
            <w:tcW w:w="2009" w:type="dxa"/>
          </w:tcPr>
          <w:p w:rsidR="008158D9" w:rsidRDefault="008158D9" w:rsidP="00E47D0E">
            <w:pPr>
              <w:pStyle w:val="IEEETableCell"/>
            </w:pPr>
            <w:r>
              <w:t>0-</w:t>
            </w:r>
            <w:r w:rsidR="00701429">
              <w:t>770</w:t>
            </w:r>
          </w:p>
        </w:tc>
      </w:tr>
      <w:tr w:rsidR="008158D9" w:rsidTr="008158D9">
        <w:trPr>
          <w:trHeight w:val="232"/>
          <w:jc w:val="center"/>
        </w:trPr>
        <w:tc>
          <w:tcPr>
            <w:tcW w:w="2437" w:type="dxa"/>
          </w:tcPr>
          <w:p w:rsidR="008158D9" w:rsidRDefault="008158D9" w:rsidP="008158D9">
            <w:pPr>
              <w:pStyle w:val="IEEETableCell"/>
            </w:pPr>
            <w:r>
              <w:t>Wickets lost in previous 5 overs</w:t>
            </w:r>
          </w:p>
        </w:tc>
        <w:tc>
          <w:tcPr>
            <w:tcW w:w="2009" w:type="dxa"/>
          </w:tcPr>
          <w:p w:rsidR="008158D9" w:rsidRDefault="008158D9" w:rsidP="00E47D0E">
            <w:pPr>
              <w:pStyle w:val="IEEETableCell"/>
            </w:pPr>
            <w:r>
              <w:t>1-10</w:t>
            </w:r>
          </w:p>
        </w:tc>
      </w:tr>
      <w:tr w:rsidR="008158D9" w:rsidTr="008158D9">
        <w:trPr>
          <w:trHeight w:val="232"/>
          <w:jc w:val="center"/>
        </w:trPr>
        <w:tc>
          <w:tcPr>
            <w:tcW w:w="2437" w:type="dxa"/>
          </w:tcPr>
          <w:p w:rsidR="008158D9" w:rsidRDefault="008158D9" w:rsidP="008158D9">
            <w:pPr>
              <w:pStyle w:val="IEEETableCell"/>
            </w:pPr>
            <w:r>
              <w:t>Total runs</w:t>
            </w:r>
          </w:p>
        </w:tc>
        <w:tc>
          <w:tcPr>
            <w:tcW w:w="2009" w:type="dxa"/>
          </w:tcPr>
          <w:p w:rsidR="008158D9" w:rsidRDefault="008158D9" w:rsidP="00E47D0E">
            <w:pPr>
              <w:pStyle w:val="IEEETableCell"/>
            </w:pPr>
            <w:r>
              <w:t>0-</w:t>
            </w:r>
            <w:r w:rsidR="00701429">
              <w:t>770</w:t>
            </w:r>
          </w:p>
        </w:tc>
      </w:tr>
    </w:tbl>
    <w:p w:rsidR="00B94516" w:rsidRDefault="00B94516" w:rsidP="00B94516">
      <w:pPr>
        <w:pStyle w:val="IEEEParagraph"/>
      </w:pPr>
    </w:p>
    <w:p w:rsidR="00B94516" w:rsidRDefault="00B94516" w:rsidP="00B94516">
      <w:pPr>
        <w:pStyle w:val="IEEEParagraph"/>
      </w:pPr>
      <w:r>
        <w:t>All title and author details must be in single-column format and must be centered.</w:t>
      </w:r>
    </w:p>
    <w:p w:rsidR="00B94516" w:rsidRDefault="00B94516" w:rsidP="00B94516">
      <w:pPr>
        <w:pStyle w:val="IEEEParagraph"/>
      </w:pPr>
      <w:r>
        <w:t xml:space="preserve">Every word in a title </w:t>
      </w:r>
      <w:r w:rsidRPr="005F6DC3">
        <w:t xml:space="preserve">must be </w:t>
      </w:r>
      <w:r>
        <w:t>capitalized except for short minor words such as “a”, “an”, “and”, “as”, “at”, “by”, “for”, “from”, “if”, “in”, “into”, “on”, “or”, “of”, “the”, “to”, “with”.</w:t>
      </w:r>
    </w:p>
    <w:p w:rsidR="0076604D" w:rsidRDefault="00654156" w:rsidP="0076604D">
      <w:pPr>
        <w:pStyle w:val="IEEEParagraph"/>
      </w:pPr>
      <w:r>
        <w:t>Author details must not show</w:t>
      </w:r>
      <w:r w:rsidR="0076604D">
        <w:t xml:space="preserve"> </w:t>
      </w:r>
      <w:r>
        <w:t xml:space="preserve">any </w:t>
      </w:r>
      <w:r w:rsidR="0076604D">
        <w:t xml:space="preserve">professional title (e.g. Managing Director), </w:t>
      </w:r>
      <w:r>
        <w:t xml:space="preserve">any </w:t>
      </w:r>
      <w:r w:rsidR="0076604D">
        <w:t>academic title (e.g. Dr.)</w:t>
      </w:r>
      <w:r w:rsidR="009926BC">
        <w:t xml:space="preserve"> or</w:t>
      </w:r>
      <w:r w:rsidR="0076604D">
        <w:t xml:space="preserve"> </w:t>
      </w:r>
      <w:r>
        <w:t xml:space="preserve">any </w:t>
      </w:r>
      <w:r w:rsidR="00554186">
        <w:t xml:space="preserve">membership </w:t>
      </w:r>
      <w:r w:rsidR="0076604D">
        <w:t>of any professional organization</w:t>
      </w:r>
      <w:r w:rsidR="00554186">
        <w:t xml:space="preserve"> (e.g. Senior Member IEEE)</w:t>
      </w:r>
      <w:r w:rsidR="009926BC">
        <w:t>.</w:t>
      </w:r>
    </w:p>
    <w:p w:rsidR="009926BC" w:rsidRDefault="009926BC" w:rsidP="0076604D">
      <w:pPr>
        <w:pStyle w:val="IEEEParagraph"/>
      </w:pPr>
      <w:r>
        <w:t xml:space="preserve">To avoid confusion, </w:t>
      </w:r>
      <w:r w:rsidR="001160D2">
        <w:t>the family name must be written as the last part of each author name (e.g. John A.K. Smith).</w:t>
      </w:r>
    </w:p>
    <w:p w:rsidR="00B94516" w:rsidRDefault="00B94516" w:rsidP="00B94516">
      <w:pPr>
        <w:pStyle w:val="IEEEParagraph"/>
      </w:pPr>
      <w:r>
        <w:t xml:space="preserve">Each affiliation must include, at the very least, the name of the company and the name of the country where the author is based (e.g. Causal Productions Pty Ltd, </w:t>
      </w:r>
      <w:smartTag w:uri="urn:schemas-microsoft-com:office:smarttags" w:element="country-region">
        <w:smartTag w:uri="urn:schemas-microsoft-com:office:smarttags" w:element="place">
          <w:r>
            <w:t>Australia</w:t>
          </w:r>
        </w:smartTag>
      </w:smartTag>
      <w:r>
        <w:t>).</w:t>
      </w:r>
    </w:p>
    <w:p w:rsidR="00B94516" w:rsidRDefault="00B94516" w:rsidP="00B94516">
      <w:pPr>
        <w:pStyle w:val="IEEEParagraph"/>
      </w:pPr>
      <w:r>
        <w:t>Email address is compulsory for the corresponding author.</w:t>
      </w:r>
    </w:p>
    <w:p w:rsidR="00A45FCE" w:rsidRDefault="00A45FCE" w:rsidP="001D4C7B">
      <w:pPr>
        <w:pStyle w:val="IEEEHeading2"/>
        <w:numPr>
          <w:ilvl w:val="0"/>
          <w:numId w:val="4"/>
        </w:numPr>
      </w:pPr>
      <w:r w:rsidRPr="00B55D5E">
        <w:t xml:space="preserve">Section </w:t>
      </w:r>
      <w:r>
        <w:t>Headings</w:t>
      </w:r>
    </w:p>
    <w:p w:rsidR="00A45FCE" w:rsidRPr="005F6DC3" w:rsidRDefault="00A45FCE" w:rsidP="00C457CA">
      <w:pPr>
        <w:pStyle w:val="IEEEParagraph"/>
      </w:pPr>
      <w:r w:rsidRPr="005F6DC3">
        <w:t>No more than 3 levels of headings should be used.</w:t>
      </w:r>
      <w:r w:rsidR="003F3A61">
        <w:t xml:space="preserve">  </w:t>
      </w:r>
      <w:r w:rsidR="00901AE1">
        <w:t xml:space="preserve">All headings must be in 10pt </w:t>
      </w:r>
      <w:r>
        <w:t>font.</w:t>
      </w:r>
      <w:r w:rsidR="003F3A61">
        <w:t xml:space="preserve"> </w:t>
      </w:r>
      <w:r w:rsidR="00901AE1" w:rsidRPr="00901AE1">
        <w:t xml:space="preserve"> </w:t>
      </w:r>
      <w:r w:rsidR="00C457CA">
        <w:t xml:space="preserve">Every word in a </w:t>
      </w:r>
      <w:r w:rsidR="00901AE1">
        <w:t xml:space="preserve">heading </w:t>
      </w:r>
      <w:r w:rsidR="00901AE1" w:rsidRPr="005F6DC3">
        <w:t xml:space="preserve">must be </w:t>
      </w:r>
      <w:r w:rsidR="00901AE1">
        <w:t>capitalized</w:t>
      </w:r>
      <w:r w:rsidR="00C457CA">
        <w:t xml:space="preserve"> except for s</w:t>
      </w:r>
      <w:r w:rsidR="001F47D2">
        <w:t xml:space="preserve">hort minor words as listed in </w:t>
      </w:r>
      <w:r w:rsidR="00703430">
        <w:t>S</w:t>
      </w:r>
      <w:r w:rsidR="001F47D2">
        <w:t>ection III</w:t>
      </w:r>
      <w:r w:rsidR="006E7574">
        <w:t>-</w:t>
      </w:r>
      <w:r w:rsidR="001F47D2">
        <w:t>B</w:t>
      </w:r>
      <w:r w:rsidR="00703430">
        <w:t>.</w:t>
      </w:r>
    </w:p>
    <w:p w:rsidR="00A45FCE" w:rsidRPr="00AB18B7" w:rsidRDefault="00A45FCE" w:rsidP="0047429A">
      <w:pPr>
        <w:pStyle w:val="IEEEHeading3"/>
      </w:pPr>
      <w:r w:rsidRPr="00AB18B7">
        <w:t>Level-1 Heading</w:t>
      </w:r>
      <w:r w:rsidRPr="00AB18B7">
        <w:rPr>
          <w:i w:val="0"/>
          <w:iCs/>
        </w:rPr>
        <w:t xml:space="preserve">: </w:t>
      </w:r>
      <w:r w:rsidR="003F3A61">
        <w:rPr>
          <w:i w:val="0"/>
          <w:iCs/>
        </w:rPr>
        <w:t xml:space="preserve"> </w:t>
      </w:r>
      <w:r w:rsidRPr="00AB18B7">
        <w:rPr>
          <w:i w:val="0"/>
          <w:iCs/>
        </w:rPr>
        <w:t>A level-1 heading must be in Small Caps, centere</w:t>
      </w:r>
      <w:r w:rsidR="000002E1">
        <w:rPr>
          <w:i w:val="0"/>
          <w:iCs/>
        </w:rPr>
        <w:t>d and numbered using uppercase R</w:t>
      </w:r>
      <w:r w:rsidRPr="00AB18B7">
        <w:rPr>
          <w:i w:val="0"/>
          <w:iCs/>
        </w:rPr>
        <w:t xml:space="preserve">oman </w:t>
      </w:r>
      <w:r w:rsidRPr="00AB18B7">
        <w:rPr>
          <w:i w:val="0"/>
          <w:iCs/>
        </w:rPr>
        <w:lastRenderedPageBreak/>
        <w:t>numerals</w:t>
      </w:r>
      <w:r w:rsidR="004E1BD8">
        <w:rPr>
          <w:i w:val="0"/>
          <w:iCs/>
        </w:rPr>
        <w:t xml:space="preserve">.  For example, see </w:t>
      </w:r>
      <w:r w:rsidR="00DB16E0">
        <w:rPr>
          <w:i w:val="0"/>
          <w:iCs/>
        </w:rPr>
        <w:t>heading</w:t>
      </w:r>
      <w:r w:rsidR="004E1BD8">
        <w:rPr>
          <w:i w:val="0"/>
          <w:iCs/>
        </w:rPr>
        <w:t xml:space="preserve"> “I</w:t>
      </w:r>
      <w:r w:rsidR="00EC265C">
        <w:rPr>
          <w:i w:val="0"/>
          <w:iCs/>
        </w:rPr>
        <w:t>II. Page Style</w:t>
      </w:r>
      <w:r w:rsidR="004E1BD8">
        <w:rPr>
          <w:i w:val="0"/>
          <w:iCs/>
        </w:rPr>
        <w:t>” of this document</w:t>
      </w:r>
      <w:r w:rsidRPr="00AB18B7">
        <w:rPr>
          <w:i w:val="0"/>
          <w:iCs/>
        </w:rPr>
        <w:t>.</w:t>
      </w:r>
      <w:r w:rsidR="0047429A">
        <w:rPr>
          <w:i w:val="0"/>
          <w:iCs/>
        </w:rPr>
        <w:t xml:space="preserve">  The two level-1 headings which must not be numbered are “Acknowledgment” and “References”.</w:t>
      </w:r>
    </w:p>
    <w:p w:rsidR="00A45FCE" w:rsidRPr="00AB18B7" w:rsidRDefault="00A45FCE" w:rsidP="0047429A">
      <w:pPr>
        <w:pStyle w:val="IEEEHeading3"/>
      </w:pPr>
      <w:r w:rsidRPr="00AB18B7">
        <w:t>Level-2 Heading:</w:t>
      </w:r>
      <w:r w:rsidR="003F3A61" w:rsidRPr="003F3A61">
        <w:rPr>
          <w:i w:val="0"/>
          <w:iCs/>
        </w:rPr>
        <w:t xml:space="preserve"> </w:t>
      </w:r>
      <w:r w:rsidRPr="003F3A61">
        <w:rPr>
          <w:i w:val="0"/>
          <w:iCs/>
        </w:rPr>
        <w:t xml:space="preserve"> </w:t>
      </w:r>
      <w:r w:rsidRPr="00AB18B7">
        <w:rPr>
          <w:i w:val="0"/>
          <w:iCs/>
        </w:rPr>
        <w:t>A level-2 heading must be in Italic, left-justified and numbered using an uppercase alphabetic letter followed by a period.</w:t>
      </w:r>
      <w:r w:rsidR="004E1BD8">
        <w:rPr>
          <w:i w:val="0"/>
          <w:iCs/>
        </w:rPr>
        <w:t xml:space="preserve">  For example, see heading “C. Section Headings” above.</w:t>
      </w:r>
    </w:p>
    <w:p w:rsidR="00A45FCE" w:rsidRDefault="00A45FCE" w:rsidP="00A45FCE">
      <w:pPr>
        <w:pStyle w:val="IEEEHeading3"/>
        <w:rPr>
          <w:i w:val="0"/>
          <w:iCs/>
        </w:rPr>
      </w:pPr>
      <w:r w:rsidRPr="00AB18B7">
        <w:t>Level-3 Heading:</w:t>
      </w:r>
      <w:r w:rsidRPr="003F3A61">
        <w:rPr>
          <w:i w:val="0"/>
          <w:iCs/>
        </w:rPr>
        <w:t xml:space="preserve"> </w:t>
      </w:r>
      <w:r w:rsidR="003F3A61">
        <w:rPr>
          <w:i w:val="0"/>
          <w:iCs/>
        </w:rPr>
        <w:t xml:space="preserve"> </w:t>
      </w:r>
      <w:r w:rsidRPr="00AB18B7">
        <w:rPr>
          <w:i w:val="0"/>
          <w:iCs/>
        </w:rPr>
        <w:t>A level-3 heading must be</w:t>
      </w:r>
      <w:r w:rsidR="00425A6A">
        <w:rPr>
          <w:i w:val="0"/>
          <w:iCs/>
        </w:rPr>
        <w:t xml:space="preserve"> indented, </w:t>
      </w:r>
      <w:r w:rsidR="00C72414">
        <w:rPr>
          <w:i w:val="0"/>
          <w:iCs/>
        </w:rPr>
        <w:t xml:space="preserve"> in Italic</w:t>
      </w:r>
      <w:r w:rsidR="00425A6A">
        <w:rPr>
          <w:i w:val="0"/>
          <w:iCs/>
        </w:rPr>
        <w:t xml:space="preserve"> </w:t>
      </w:r>
      <w:r w:rsidRPr="00AB18B7">
        <w:rPr>
          <w:i w:val="0"/>
          <w:iCs/>
        </w:rPr>
        <w:t>an</w:t>
      </w:r>
      <w:r w:rsidR="00425A6A">
        <w:rPr>
          <w:i w:val="0"/>
          <w:iCs/>
        </w:rPr>
        <w:t>d numbered with an Arabic numeral</w:t>
      </w:r>
      <w:r w:rsidRPr="00AB18B7">
        <w:rPr>
          <w:i w:val="0"/>
          <w:iCs/>
        </w:rPr>
        <w:t xml:space="preserve"> followed by a right parenthesis. The level-3 heading must end with a colon.  The body of the level-3 section immediately follows the level-3 </w:t>
      </w:r>
      <w:r w:rsidR="004E1BD8">
        <w:rPr>
          <w:i w:val="0"/>
          <w:iCs/>
        </w:rPr>
        <w:t xml:space="preserve">heading in the same paragraph.  For example, this paragraph </w:t>
      </w:r>
      <w:r w:rsidR="00510E95">
        <w:rPr>
          <w:i w:val="0"/>
          <w:iCs/>
        </w:rPr>
        <w:t>begins with a level-3 heading.</w:t>
      </w:r>
    </w:p>
    <w:p w:rsidR="00510E95" w:rsidRDefault="00510E95" w:rsidP="00510E95">
      <w:pPr>
        <w:pStyle w:val="IEEEHeading2"/>
        <w:rPr>
          <w:lang w:val="en-GB"/>
        </w:rPr>
      </w:pPr>
      <w:r>
        <w:rPr>
          <w:lang w:val="en-GB"/>
        </w:rPr>
        <w:t>Figures and Tables</w:t>
      </w:r>
    </w:p>
    <w:p w:rsidR="00510E95" w:rsidRDefault="000E3F84" w:rsidP="00510E95">
      <w:pPr>
        <w:pStyle w:val="IEEEParagraph"/>
        <w:rPr>
          <w:lang w:val="en-GB"/>
        </w:rPr>
      </w:pPr>
      <w:r>
        <w:rPr>
          <w:lang w:val="en-GB"/>
        </w:rPr>
        <w:t xml:space="preserve">Figures and tables must be centered in the column.  </w:t>
      </w:r>
      <w:r w:rsidR="00510E95" w:rsidRPr="001056DF">
        <w:rPr>
          <w:lang w:val="en-GB"/>
        </w:rPr>
        <w:t xml:space="preserve">Large figures and tables may span across both columns.  Any table or figure that takes up more than 1 column width must be positioned </w:t>
      </w:r>
      <w:r w:rsidR="00510E95">
        <w:rPr>
          <w:lang w:val="en-GB"/>
        </w:rPr>
        <w:t xml:space="preserve">either </w:t>
      </w:r>
      <w:r w:rsidR="00510E95" w:rsidRPr="001056DF">
        <w:rPr>
          <w:lang w:val="en-GB"/>
        </w:rPr>
        <w:t>at the to</w:t>
      </w:r>
      <w:r w:rsidR="00510E95">
        <w:rPr>
          <w:lang w:val="en-GB"/>
        </w:rPr>
        <w:t>p or at the bottom of the page.</w:t>
      </w:r>
    </w:p>
    <w:p w:rsidR="00510E95" w:rsidRDefault="00510E95" w:rsidP="00510E95">
      <w:pPr>
        <w:pStyle w:val="IEEEParagraph"/>
        <w:rPr>
          <w:lang w:val="en-GB"/>
        </w:rPr>
      </w:pPr>
      <w:r w:rsidRPr="001056DF">
        <w:rPr>
          <w:lang w:val="en-GB"/>
        </w:rPr>
        <w:t xml:space="preserve">Graphics may be full </w:t>
      </w:r>
      <w:r>
        <w:rPr>
          <w:lang w:val="en-GB"/>
        </w:rPr>
        <w:t>color</w:t>
      </w:r>
      <w:r w:rsidRPr="001056DF">
        <w:rPr>
          <w:lang w:val="en-GB"/>
        </w:rPr>
        <w:t xml:space="preserve">. </w:t>
      </w:r>
      <w:r>
        <w:rPr>
          <w:lang w:val="en-GB"/>
        </w:rPr>
        <w:t xml:space="preserve"> </w:t>
      </w:r>
      <w:r w:rsidRPr="001056DF">
        <w:rPr>
          <w:lang w:val="en-GB"/>
        </w:rPr>
        <w:t xml:space="preserve">All </w:t>
      </w:r>
      <w:r>
        <w:rPr>
          <w:lang w:val="en-GB"/>
        </w:rPr>
        <w:t>color</w:t>
      </w:r>
      <w:r w:rsidRPr="001056DF">
        <w:rPr>
          <w:lang w:val="en-GB"/>
        </w:rPr>
        <w:t>s</w:t>
      </w:r>
      <w:r>
        <w:rPr>
          <w:lang w:val="en-GB"/>
        </w:rPr>
        <w:t xml:space="preserve"> will be retained on the CDROM.  </w:t>
      </w:r>
      <w:r w:rsidRPr="00C10D20">
        <w:rPr>
          <w:lang w:val="en-GB"/>
        </w:rPr>
        <w:t xml:space="preserve">Graphics must not use stipple </w:t>
      </w:r>
      <w:r>
        <w:rPr>
          <w:lang w:val="en-GB"/>
        </w:rPr>
        <w:t xml:space="preserve">fill patterns because they may </w:t>
      </w:r>
      <w:r w:rsidRPr="00C10D20">
        <w:rPr>
          <w:lang w:val="en-GB"/>
        </w:rPr>
        <w:t xml:space="preserve">not </w:t>
      </w:r>
      <w:r>
        <w:rPr>
          <w:lang w:val="en-GB"/>
        </w:rPr>
        <w:t>be re</w:t>
      </w:r>
      <w:r w:rsidRPr="00C10D20">
        <w:rPr>
          <w:lang w:val="en-GB"/>
        </w:rPr>
        <w:t>produce</w:t>
      </w:r>
      <w:r>
        <w:rPr>
          <w:lang w:val="en-GB"/>
        </w:rPr>
        <w:t>d</w:t>
      </w:r>
      <w:r w:rsidRPr="00C10D20">
        <w:rPr>
          <w:lang w:val="en-GB"/>
        </w:rPr>
        <w:t xml:space="preserve"> properly</w:t>
      </w:r>
      <w:r>
        <w:rPr>
          <w:lang w:val="en-GB"/>
        </w:rPr>
        <w:t xml:space="preserve">.  Please use only </w:t>
      </w:r>
      <w:r w:rsidRPr="00C10D20">
        <w:rPr>
          <w:i/>
          <w:iCs/>
          <w:lang w:val="en-GB"/>
        </w:rPr>
        <w:t>SOLID FILL</w:t>
      </w:r>
      <w:r>
        <w:rPr>
          <w:lang w:val="en-GB"/>
        </w:rPr>
        <w:t xml:space="preserve"> </w:t>
      </w:r>
      <w:r w:rsidRPr="00F43BD8">
        <w:t>colors</w:t>
      </w:r>
      <w:r>
        <w:rPr>
          <w:lang w:val="en-GB"/>
        </w:rPr>
        <w:t xml:space="preserve"> which contrast well both on screen and on a black-and-white hardcopy, as shown in Fig. 1.</w:t>
      </w:r>
    </w:p>
    <w:p w:rsidR="002F72D0" w:rsidRDefault="002F72D0" w:rsidP="002F72D0">
      <w:pPr>
        <w:pStyle w:val="IEEEParagraph"/>
      </w:pPr>
    </w:p>
    <w:p w:rsidR="002F72D0" w:rsidRDefault="00A04AC1" w:rsidP="00D36B52">
      <w:pPr>
        <w:pStyle w:val="IEEEFigur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41pt">
            <v:imagedata r:id="rId11" o:title="gv_figure_4"/>
          </v:shape>
        </w:pict>
      </w:r>
    </w:p>
    <w:p w:rsidR="002F72D0" w:rsidRDefault="002F72D0" w:rsidP="00D36B52">
      <w:pPr>
        <w:pStyle w:val="IEEEFigureCaptionMulti-Lines"/>
      </w:pPr>
      <w:r>
        <w:t xml:space="preserve">Fig. </w:t>
      </w:r>
      <w:fldSimple w:instr=" SEQ Fig. \* ARABIC  \* MERGEFORMAT ">
        <w:r w:rsidR="00192BC7">
          <w:rPr>
            <w:noProof/>
          </w:rPr>
          <w:t>1</w:t>
        </w:r>
      </w:fldSimple>
      <w:r>
        <w:t xml:space="preserve">  A sample line graph using colors which contrast well both on screen and on a black-and-white hardcopy</w:t>
      </w:r>
    </w:p>
    <w:p w:rsidR="007B5A07" w:rsidRDefault="007B5A07" w:rsidP="007B5A07">
      <w:pPr>
        <w:pStyle w:val="IEEEParagraph"/>
      </w:pPr>
    </w:p>
    <w:p w:rsidR="008D1045" w:rsidRDefault="008D1045" w:rsidP="008D1045">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rsidR="008D1045" w:rsidRDefault="008D1045" w:rsidP="008D1045">
      <w:pPr>
        <w:pStyle w:val="IEEEParagraph"/>
        <w:rPr>
          <w:lang w:val="en-GB"/>
        </w:rPr>
      </w:pPr>
      <w:r>
        <w:rPr>
          <w:lang w:val="en-GB"/>
        </w:rPr>
        <w:t>Please check all figures in your paper both on screen and on a black-and-white hardcopy.  When you check your paper on a black-and-white hardcopy, please ensure that:</w:t>
      </w:r>
    </w:p>
    <w:p w:rsidR="008D1045" w:rsidRPr="0084515F" w:rsidRDefault="008D1045" w:rsidP="001D4C7B">
      <w:pPr>
        <w:pStyle w:val="IEEEParagraph"/>
        <w:numPr>
          <w:ilvl w:val="0"/>
          <w:numId w:val="6"/>
        </w:numPr>
      </w:pPr>
      <w:r>
        <w:rPr>
          <w:lang w:val="en-GB"/>
        </w:rPr>
        <w:t>the colors used in each figure contrast well,</w:t>
      </w:r>
    </w:p>
    <w:p w:rsidR="008D1045" w:rsidRPr="0084515F" w:rsidRDefault="008D1045" w:rsidP="001D4C7B">
      <w:pPr>
        <w:pStyle w:val="IEEEParagraph"/>
        <w:numPr>
          <w:ilvl w:val="0"/>
          <w:numId w:val="6"/>
        </w:numPr>
      </w:pPr>
      <w:r>
        <w:rPr>
          <w:lang w:val="en-GB"/>
        </w:rPr>
        <w:t>the image used in each figure is clear,</w:t>
      </w:r>
    </w:p>
    <w:p w:rsidR="008D1045" w:rsidRPr="00054421" w:rsidRDefault="008D1045" w:rsidP="001D4C7B">
      <w:pPr>
        <w:pStyle w:val="IEEEParagraph"/>
        <w:numPr>
          <w:ilvl w:val="0"/>
          <w:numId w:val="6"/>
        </w:numPr>
      </w:pPr>
      <w:r>
        <w:rPr>
          <w:lang w:val="en-GB"/>
        </w:rPr>
        <w:t>all text labels in each figure are legible.</w:t>
      </w:r>
    </w:p>
    <w:p w:rsidR="002F72D0" w:rsidRDefault="002F72D0" w:rsidP="001D4C7B">
      <w:pPr>
        <w:pStyle w:val="IEEEHeading2"/>
        <w:numPr>
          <w:ilvl w:val="0"/>
          <w:numId w:val="1"/>
        </w:numPr>
      </w:pPr>
      <w:r>
        <w:t>Figure Captions</w:t>
      </w:r>
    </w:p>
    <w:p w:rsidR="002F72D0" w:rsidRDefault="002F72D0" w:rsidP="007B5A07">
      <w:pPr>
        <w:pStyle w:val="IEEEParagraph"/>
        <w:rPr>
          <w:lang w:val="en-GB"/>
        </w:rPr>
      </w:pPr>
      <w:r>
        <w:rPr>
          <w:lang w:val="en-GB"/>
        </w:rPr>
        <w:t>Figures must</w:t>
      </w:r>
      <w:r w:rsidR="00425A6A">
        <w:rPr>
          <w:lang w:val="en-GB"/>
        </w:rPr>
        <w:t xml:space="preserve"> be numbered using Arabic numeral</w:t>
      </w:r>
      <w:r>
        <w:rPr>
          <w:lang w:val="en-GB"/>
        </w:rPr>
        <w:t>s.  Figure</w:t>
      </w:r>
      <w:r w:rsidRPr="005F0834">
        <w:rPr>
          <w:lang w:val="en-GB"/>
        </w:rPr>
        <w:t xml:space="preserve"> captions must be in 8 pt Regular </w:t>
      </w:r>
      <w:r>
        <w:rPr>
          <w:lang w:val="en-GB"/>
        </w:rPr>
        <w:t>font</w:t>
      </w:r>
      <w:r w:rsidRPr="005F0834">
        <w:rPr>
          <w:lang w:val="en-GB"/>
        </w:rPr>
        <w:t xml:space="preserve">. </w:t>
      </w:r>
      <w:r>
        <w:rPr>
          <w:lang w:val="en-GB"/>
        </w:rPr>
        <w:t xml:space="preserve"> Captions of a single line (e.g. Fig. 2) must be centered whereas multi-line captions must be justified (e.g. Fig. 1).  Captions with figure numbers </w:t>
      </w:r>
      <w:r>
        <w:rPr>
          <w:lang w:val="en-GB"/>
        </w:rPr>
        <w:lastRenderedPageBreak/>
        <w:t>must be placed after</w:t>
      </w:r>
      <w:r w:rsidRPr="005F0834">
        <w:rPr>
          <w:lang w:val="en-GB"/>
        </w:rPr>
        <w:t xml:space="preserve"> their associated </w:t>
      </w:r>
      <w:r>
        <w:rPr>
          <w:lang w:val="en-GB"/>
        </w:rPr>
        <w:t>figure</w:t>
      </w:r>
      <w:r w:rsidRPr="005F0834">
        <w:rPr>
          <w:lang w:val="en-GB"/>
        </w:rPr>
        <w:t>s, as shown</w:t>
      </w:r>
      <w:r>
        <w:rPr>
          <w:lang w:val="en-GB"/>
        </w:rPr>
        <w:t xml:space="preserve"> in</w:t>
      </w:r>
      <w:r w:rsidR="007B5A07">
        <w:rPr>
          <w:lang w:val="en-GB"/>
        </w:rPr>
        <w:t xml:space="preserve"> </w:t>
      </w:r>
      <w:r w:rsidR="003E3577">
        <w:rPr>
          <w:lang w:val="en-GB"/>
        </w:rPr>
        <w:t xml:space="preserve">    </w:t>
      </w:r>
      <w:r>
        <w:rPr>
          <w:lang w:val="en-GB"/>
        </w:rPr>
        <w:t>Fig. 1</w:t>
      </w:r>
      <w:r w:rsidRPr="005F0834">
        <w:rPr>
          <w:lang w:val="en-GB"/>
        </w:rPr>
        <w:t>.</w:t>
      </w:r>
    </w:p>
    <w:p w:rsidR="00DA31A2" w:rsidRDefault="00DA31A2" w:rsidP="007B5A07">
      <w:pPr>
        <w:pStyle w:val="IEEEParagraph"/>
        <w:rPr>
          <w:lang w:val="en-GB"/>
        </w:rPr>
      </w:pPr>
    </w:p>
    <w:p w:rsidR="00DD71E8" w:rsidRDefault="00A04AC1" w:rsidP="00D36B52">
      <w:pPr>
        <w:pStyle w:val="IEEEFigure"/>
      </w:pPr>
      <w:hyperlink r:id="rId12" w:history="1">
        <w:r w:rsidR="008158D9" w:rsidRPr="00A04AC1">
          <w:rPr>
            <w:noProof/>
            <w:lang w:val="en-US" w:eastAsia="en-US"/>
          </w:rPr>
          <w:pict>
            <v:shape id="Picture 3" o:spid="_x0000_i1026" type="#_x0000_t75" alt="http://c95711.r11.cf3.rackcdn.com/TV2.jpg" style="width:112.5pt;height:84pt;visibility:visible" o:button="t">
              <v:imagedata r:id="rId13" o:title="TV2"/>
            </v:shape>
          </w:pict>
        </w:r>
      </w:hyperlink>
    </w:p>
    <w:p w:rsidR="00EB0B63" w:rsidRDefault="001F47D2" w:rsidP="001F47D2">
      <w:pPr>
        <w:pStyle w:val="IEEEFigureCaptionSingle-Line"/>
      </w:pPr>
      <w:r>
        <w:t xml:space="preserve">Fig. </w:t>
      </w:r>
      <w:fldSimple w:instr=" SEQ Fig. \* ARABIC  \* MERGEFORMAT ">
        <w:r w:rsidR="00192BC7">
          <w:rPr>
            <w:noProof/>
          </w:rPr>
          <w:t>2</w:t>
        </w:r>
      </w:fldSimple>
      <w:r>
        <w:t xml:space="preserve">  </w:t>
      </w:r>
      <w:r w:rsidR="00510E95">
        <w:t>Example of an unacceptable low-resolution i</w:t>
      </w:r>
      <w:r w:rsidR="00EB0B63">
        <w:t>mage</w:t>
      </w:r>
    </w:p>
    <w:p w:rsidR="00DA31A2" w:rsidRPr="00DA31A2" w:rsidRDefault="00DA31A2" w:rsidP="00DA31A2">
      <w:pPr>
        <w:pStyle w:val="IEEEParagraph"/>
      </w:pPr>
    </w:p>
    <w:p w:rsidR="007B5A07" w:rsidRPr="007B5A07" w:rsidRDefault="007B5A07" w:rsidP="007B5A07">
      <w:pPr>
        <w:pStyle w:val="IEEEParagraph"/>
      </w:pPr>
    </w:p>
    <w:p w:rsidR="00EB0B63" w:rsidRDefault="00A04AC1" w:rsidP="00D36B52">
      <w:pPr>
        <w:pStyle w:val="IEEEFigure"/>
      </w:pPr>
      <w:hyperlink r:id="rId14" w:history="1">
        <w:r w:rsidR="008158D9" w:rsidRPr="00A04AC1">
          <w:rPr>
            <w:noProof/>
            <w:lang w:val="en-US" w:eastAsia="en-US"/>
          </w:rPr>
          <w:pict>
            <v:shape id="Picture 1" o:spid="_x0000_i1027" type="#_x0000_t75" alt="http://c95711.r11.cf3.rackcdn.com/TV.jpg" style="width:112.5pt;height:84pt;visibility:visible" o:button="t">
              <v:imagedata r:id="rId15" o:title="TV"/>
            </v:shape>
          </w:pict>
        </w:r>
      </w:hyperlink>
    </w:p>
    <w:p w:rsidR="00EB0B63" w:rsidRDefault="001F47D2" w:rsidP="001F47D2">
      <w:pPr>
        <w:pStyle w:val="IEEEFigureCaptionSingle-Line"/>
      </w:pPr>
      <w:r>
        <w:t xml:space="preserve">Fig. </w:t>
      </w:r>
      <w:fldSimple w:instr=" SEQ Fig. \* ARABIC  \* MERGEFORMAT ">
        <w:r w:rsidR="00192BC7">
          <w:rPr>
            <w:noProof/>
          </w:rPr>
          <w:t>3</w:t>
        </w:r>
      </w:fldSimple>
      <w:r>
        <w:t xml:space="preserve">  </w:t>
      </w:r>
      <w:r w:rsidR="00510E95">
        <w:t>Example of an image with acceptable r</w:t>
      </w:r>
      <w:r w:rsidR="00EB0B63">
        <w:t>esolution</w:t>
      </w:r>
    </w:p>
    <w:p w:rsidR="007B5A07" w:rsidRDefault="007B5A07" w:rsidP="007B5A07">
      <w:pPr>
        <w:pStyle w:val="IEEEParagraph"/>
      </w:pPr>
    </w:p>
    <w:p w:rsidR="007B5A07" w:rsidRDefault="007B5A07" w:rsidP="001D4C7B">
      <w:pPr>
        <w:pStyle w:val="IEEEHeading2"/>
        <w:numPr>
          <w:ilvl w:val="0"/>
          <w:numId w:val="1"/>
        </w:numPr>
      </w:pPr>
      <w:r>
        <w:t>Table Captions</w:t>
      </w:r>
    </w:p>
    <w:p w:rsidR="007B5A07" w:rsidRPr="005F0834" w:rsidRDefault="007B5A07" w:rsidP="00624482">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pt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rsidR="00D377C8" w:rsidRDefault="00D377C8" w:rsidP="007B5A07">
      <w:pPr>
        <w:pStyle w:val="IEEEHeading2"/>
      </w:pPr>
      <w:r>
        <w:t>Page Numbers, Headers and Footers</w:t>
      </w:r>
    </w:p>
    <w:p w:rsidR="00151B8E" w:rsidRDefault="00D377C8" w:rsidP="00151B8E">
      <w:pPr>
        <w:pStyle w:val="IEEEParagraph"/>
      </w:pPr>
      <w:r>
        <w:t>Page numbers, headers and footers must not be used.</w:t>
      </w:r>
    </w:p>
    <w:p w:rsidR="005B47D7" w:rsidRDefault="005B47D7" w:rsidP="00D377C8">
      <w:pPr>
        <w:pStyle w:val="IEEEHeading2"/>
      </w:pPr>
      <w:r>
        <w:t>Links and Bookmarks</w:t>
      </w:r>
    </w:p>
    <w:p w:rsidR="005B47D7" w:rsidRDefault="005B47D7" w:rsidP="005B47D7">
      <w:pPr>
        <w:pStyle w:val="IEEEParagraph"/>
        <w:rPr>
          <w:lang w:val="en-US"/>
        </w:rPr>
      </w:pPr>
      <w:r w:rsidRPr="009A6C3F">
        <w:rPr>
          <w:lang w:val="en-US"/>
        </w:rPr>
        <w:t>All hypertext links and section bookmarks will be removed from papers during the processing of papers for publication.  If you need to refer to an Internet email add</w:t>
      </w:r>
      <w:r w:rsidR="00410A5D">
        <w:rPr>
          <w:lang w:val="en-US"/>
        </w:rPr>
        <w:t>ress</w:t>
      </w:r>
      <w:r w:rsidR="000B36A3">
        <w:rPr>
          <w:lang w:val="en-US"/>
        </w:rPr>
        <w:t xml:space="preserve"> or URL in your paper, you must </w:t>
      </w:r>
      <w:r w:rsidRPr="009A6C3F">
        <w:rPr>
          <w:lang w:val="en-US"/>
        </w:rPr>
        <w:t>type out the address or URL fully in Regular font.</w:t>
      </w:r>
    </w:p>
    <w:p w:rsidR="002C559D" w:rsidRDefault="007B5A07" w:rsidP="002C559D">
      <w:pPr>
        <w:pStyle w:val="IEEEHeading2"/>
      </w:pPr>
      <w:r>
        <w:br w:type="column"/>
      </w:r>
      <w:r w:rsidR="002C559D" w:rsidRPr="002C559D">
        <w:lastRenderedPageBreak/>
        <w:t>References</w:t>
      </w:r>
    </w:p>
    <w:p w:rsidR="00DB7E63" w:rsidRPr="00DB7E63" w:rsidRDefault="005B47D7" w:rsidP="00DB7E63">
      <w:pPr>
        <w:pStyle w:val="IEEEParagraph"/>
        <w:rPr>
          <w:lang w:val="en-US"/>
        </w:rPr>
      </w:pPr>
      <w:r>
        <w:rPr>
          <w:lang w:val="en-GB"/>
        </w:rPr>
        <w:t>The heading of the R</w:t>
      </w:r>
      <w:r w:rsidR="002C1A7F">
        <w:rPr>
          <w:lang w:val="en-GB"/>
        </w:rPr>
        <w:t>eferences</w:t>
      </w:r>
      <w:r>
        <w:rPr>
          <w:lang w:val="en-GB"/>
        </w:rPr>
        <w:t xml:space="preserve"> section must not be numbered.</w:t>
      </w:r>
      <w:r w:rsidR="00DB7E63">
        <w:rPr>
          <w:lang w:val="en-GB"/>
        </w:rPr>
        <w:t xml:space="preserve">  All reference items must be in 8 pt font.  Please use Regular and Italic styles to distinguish different fields as shown in the References section.</w:t>
      </w:r>
      <w:r w:rsidR="00DB7E63">
        <w:rPr>
          <w:lang w:val="en-US"/>
        </w:rPr>
        <w:t xml:space="preserve">  </w:t>
      </w:r>
      <w:r w:rsidR="00DB7E63">
        <w:rPr>
          <w:lang w:val="en-GB"/>
        </w:rPr>
        <w:t>Number the reference items</w:t>
      </w:r>
      <w:r w:rsidR="002C559D" w:rsidRPr="000C013C">
        <w:rPr>
          <w:lang w:val="en-GB"/>
        </w:rPr>
        <w:t xml:space="preserve"> consecutively in square brackets (e.g. [1]).</w:t>
      </w:r>
      <w:r w:rsidR="002C559D">
        <w:rPr>
          <w:lang w:val="en-GB"/>
        </w:rPr>
        <w:t xml:space="preserve">  </w:t>
      </w:r>
    </w:p>
    <w:p w:rsidR="002C559D" w:rsidRDefault="00DB7E63" w:rsidP="00DB7E63">
      <w:pPr>
        <w:pStyle w:val="IEEEParagraph"/>
        <w:rPr>
          <w:lang w:val="en-GB"/>
        </w:rPr>
      </w:pPr>
      <w:r>
        <w:rPr>
          <w:lang w:val="en-GB"/>
        </w:rPr>
        <w:t>When referring to a reference item</w:t>
      </w:r>
      <w:r w:rsidR="002C559D">
        <w:rPr>
          <w:lang w:val="en-GB"/>
        </w:rPr>
        <w:t xml:space="preserve">, </w:t>
      </w:r>
      <w:r>
        <w:rPr>
          <w:lang w:val="en-GB"/>
        </w:rPr>
        <w:t>please simply use</w:t>
      </w:r>
      <w:r w:rsidR="002C559D">
        <w:rPr>
          <w:lang w:val="en-GB"/>
        </w:rPr>
        <w:t xml:space="preserve"> the reference number, as in [</w:t>
      </w:r>
      <w:r w:rsidR="00414909">
        <w:rPr>
          <w:lang w:val="en-GB"/>
        </w:rPr>
        <w:t>2</w:t>
      </w:r>
      <w:r w:rsidR="002C559D">
        <w:rPr>
          <w:lang w:val="en-GB"/>
        </w:rPr>
        <w:t xml:space="preserve">].  Do not use “Ref. [3]” or “Reference [3]” except at the </w:t>
      </w:r>
      <w:r>
        <w:rPr>
          <w:lang w:val="en-GB"/>
        </w:rPr>
        <w:t>beginning of a sentence, e.g.</w:t>
      </w:r>
      <w:r w:rsidR="002C559D">
        <w:rPr>
          <w:lang w:val="en-GB"/>
        </w:rPr>
        <w:t xml:space="preserve">  “Reference [3] shows …”.  Multiple references are each numbered with separate brackets (e.g. [2], [3], [4]–[6]).</w:t>
      </w:r>
    </w:p>
    <w:p w:rsidR="005B47D7" w:rsidRDefault="00DB7E63" w:rsidP="002C1A7F">
      <w:pPr>
        <w:pStyle w:val="IEEEParagraph"/>
        <w:rPr>
          <w:lang w:val="en-GB"/>
        </w:rPr>
      </w:pPr>
      <w:r>
        <w:rPr>
          <w:lang w:val="en-GB"/>
        </w:rPr>
        <w:t>Examples of reference items</w:t>
      </w:r>
      <w:r w:rsidR="005B47D7">
        <w:rPr>
          <w:lang w:val="en-GB"/>
        </w:rPr>
        <w:t xml:space="preserve"> of different categories shown in the References section include:</w:t>
      </w:r>
    </w:p>
    <w:p w:rsidR="005B47D7" w:rsidRDefault="005B47D7" w:rsidP="001D4C7B">
      <w:pPr>
        <w:pStyle w:val="IEEEParagraph"/>
        <w:numPr>
          <w:ilvl w:val="0"/>
          <w:numId w:val="6"/>
        </w:numPr>
      </w:pPr>
      <w:r>
        <w:rPr>
          <w:lang w:val="en-GB"/>
        </w:rPr>
        <w:t>example of a book in [1]</w:t>
      </w:r>
    </w:p>
    <w:p w:rsidR="005B47D7" w:rsidRDefault="005B47D7" w:rsidP="001D4C7B">
      <w:pPr>
        <w:pStyle w:val="IEEEParagraph"/>
        <w:numPr>
          <w:ilvl w:val="0"/>
          <w:numId w:val="6"/>
        </w:numPr>
      </w:pPr>
      <w:r w:rsidRPr="005B47D7">
        <w:t>example of a book in a series</w:t>
      </w:r>
      <w:r>
        <w:t xml:space="preserve"> in [2]</w:t>
      </w:r>
    </w:p>
    <w:p w:rsidR="005B47D7" w:rsidRDefault="005B47D7" w:rsidP="001D4C7B">
      <w:pPr>
        <w:pStyle w:val="IEEEParagraph"/>
        <w:numPr>
          <w:ilvl w:val="0"/>
          <w:numId w:val="6"/>
        </w:numPr>
      </w:pPr>
      <w:r>
        <w:t>example of a journal article in [3]</w:t>
      </w:r>
    </w:p>
    <w:p w:rsidR="005B47D7" w:rsidRDefault="005B47D7" w:rsidP="001D4C7B">
      <w:pPr>
        <w:pStyle w:val="IEEEParagraph"/>
        <w:numPr>
          <w:ilvl w:val="0"/>
          <w:numId w:val="6"/>
        </w:numPr>
      </w:pPr>
      <w:r>
        <w:t>example of a conference paper in [4]</w:t>
      </w:r>
    </w:p>
    <w:p w:rsidR="006D1C2A" w:rsidRDefault="006D1C2A" w:rsidP="001D4C7B">
      <w:pPr>
        <w:pStyle w:val="IEEEParagraph"/>
        <w:numPr>
          <w:ilvl w:val="0"/>
          <w:numId w:val="6"/>
        </w:numPr>
      </w:pPr>
      <w:r>
        <w:t>example of a patent in [5]</w:t>
      </w:r>
    </w:p>
    <w:p w:rsidR="006D1C2A" w:rsidRDefault="006D1C2A" w:rsidP="001D4C7B">
      <w:pPr>
        <w:pStyle w:val="IEEEParagraph"/>
        <w:numPr>
          <w:ilvl w:val="0"/>
          <w:numId w:val="6"/>
        </w:numPr>
      </w:pPr>
      <w:r>
        <w:t>example of a website in [6]</w:t>
      </w:r>
    </w:p>
    <w:p w:rsidR="006D1C2A" w:rsidRDefault="006D1C2A" w:rsidP="001D4C7B">
      <w:pPr>
        <w:pStyle w:val="IEEEParagraph"/>
        <w:numPr>
          <w:ilvl w:val="0"/>
          <w:numId w:val="6"/>
        </w:numPr>
      </w:pPr>
      <w:r>
        <w:t>example of a web page in [7]</w:t>
      </w:r>
    </w:p>
    <w:p w:rsidR="006D1C2A" w:rsidRDefault="006D1C2A" w:rsidP="001D4C7B">
      <w:pPr>
        <w:pStyle w:val="IEEEParagraph"/>
        <w:numPr>
          <w:ilvl w:val="0"/>
          <w:numId w:val="6"/>
        </w:numPr>
      </w:pPr>
      <w:r>
        <w:t>example of a databook as a manual in [8]</w:t>
      </w:r>
    </w:p>
    <w:p w:rsidR="006D1C2A" w:rsidRDefault="006D1C2A" w:rsidP="001D4C7B">
      <w:pPr>
        <w:pStyle w:val="IEEEParagraph"/>
        <w:numPr>
          <w:ilvl w:val="0"/>
          <w:numId w:val="6"/>
        </w:numPr>
      </w:pPr>
      <w:r>
        <w:t>example of a datasheet in [9]</w:t>
      </w:r>
    </w:p>
    <w:p w:rsidR="006D1C2A" w:rsidRDefault="006D1C2A" w:rsidP="001D4C7B">
      <w:pPr>
        <w:pStyle w:val="IEEEParagraph"/>
        <w:numPr>
          <w:ilvl w:val="0"/>
          <w:numId w:val="6"/>
        </w:numPr>
      </w:pPr>
      <w:r>
        <w:t>example of a master’s thesis in [10]</w:t>
      </w:r>
    </w:p>
    <w:p w:rsidR="006D1C2A" w:rsidRDefault="006D1C2A" w:rsidP="001D4C7B">
      <w:pPr>
        <w:pStyle w:val="IEEEParagraph"/>
        <w:numPr>
          <w:ilvl w:val="0"/>
          <w:numId w:val="6"/>
        </w:numPr>
      </w:pPr>
      <w:r>
        <w:t>example of a technical report in [11]</w:t>
      </w:r>
    </w:p>
    <w:p w:rsidR="005B47D7" w:rsidRPr="006D1C2A" w:rsidRDefault="006D1C2A" w:rsidP="001D4C7B">
      <w:pPr>
        <w:pStyle w:val="IEEEParagraph"/>
        <w:numPr>
          <w:ilvl w:val="0"/>
          <w:numId w:val="6"/>
        </w:numPr>
      </w:pPr>
      <w:r>
        <w:t>example of a standard in [12]</w:t>
      </w:r>
    </w:p>
    <w:p w:rsidR="0062033E" w:rsidRDefault="0062033E" w:rsidP="0062033E">
      <w:pPr>
        <w:pStyle w:val="IEEEHeading1"/>
        <w:rPr>
          <w:lang w:val="en-US"/>
        </w:rPr>
      </w:pPr>
      <w:r>
        <w:rPr>
          <w:lang w:val="en-US"/>
        </w:rPr>
        <w:t>Conclusions</w:t>
      </w:r>
    </w:p>
    <w:p w:rsidR="0062033E" w:rsidRDefault="00E65018" w:rsidP="00502E89">
      <w:pPr>
        <w:pStyle w:val="IEEEParagraph"/>
        <w:rPr>
          <w:lang w:val="en-US"/>
        </w:rPr>
      </w:pPr>
      <w:r>
        <w:rPr>
          <w:lang w:val="en-US"/>
        </w:rPr>
        <w:t xml:space="preserve">The </w:t>
      </w:r>
      <w:r w:rsidR="00ED61CB">
        <w:rPr>
          <w:lang w:val="en-US"/>
        </w:rPr>
        <w:t>version of this template is V</w:t>
      </w:r>
      <w:r w:rsidR="009926BC">
        <w:rPr>
          <w:lang w:val="en-US"/>
        </w:rPr>
        <w:t>2</w:t>
      </w:r>
      <w:r>
        <w:rPr>
          <w:lang w:val="en-US"/>
        </w:rPr>
        <w:t xml:space="preserve">.  </w:t>
      </w:r>
      <w:r w:rsidR="0062033E">
        <w:rPr>
          <w:lang w:val="en-US"/>
        </w:rPr>
        <w:t>Most of the formatting instructions in this document have been compiled by Causal Productions from the IEEE La</w:t>
      </w:r>
      <w:r w:rsidR="00A75671">
        <w:rPr>
          <w:lang w:val="en-US"/>
        </w:rPr>
        <w:t>T</w:t>
      </w:r>
      <w:r w:rsidR="0062033E">
        <w:rPr>
          <w:lang w:val="en-US"/>
        </w:rPr>
        <w:t>e</w:t>
      </w:r>
      <w:r w:rsidR="00A75671">
        <w:rPr>
          <w:lang w:val="en-US"/>
        </w:rPr>
        <w:t>X</w:t>
      </w:r>
      <w:r w:rsidR="0062033E">
        <w:rPr>
          <w:lang w:val="en-US"/>
        </w:rPr>
        <w:t xml:space="preserve"> style files.  </w:t>
      </w:r>
      <w:r w:rsidR="002C1A7F">
        <w:rPr>
          <w:lang w:val="en-US"/>
        </w:rPr>
        <w:t>Causal Productions offers</w:t>
      </w:r>
      <w:r w:rsidR="00C65F3F">
        <w:rPr>
          <w:lang w:val="en-US"/>
        </w:rPr>
        <w:t xml:space="preserve"> </w:t>
      </w:r>
      <w:r w:rsidR="00ED61CB">
        <w:rPr>
          <w:lang w:val="en-US"/>
        </w:rPr>
        <w:t xml:space="preserve">both </w:t>
      </w:r>
      <w:r w:rsidR="00C65F3F">
        <w:rPr>
          <w:lang w:val="en-US"/>
        </w:rPr>
        <w:t>A4</w:t>
      </w:r>
      <w:r w:rsidR="002C1A7F">
        <w:rPr>
          <w:lang w:val="en-US"/>
        </w:rPr>
        <w:t xml:space="preserve"> template</w:t>
      </w:r>
      <w:r w:rsidR="00C65F3F">
        <w:rPr>
          <w:lang w:val="en-US"/>
        </w:rPr>
        <w:t>s</w:t>
      </w:r>
      <w:r w:rsidR="00ED61CB">
        <w:rPr>
          <w:lang w:val="en-US"/>
        </w:rPr>
        <w:t xml:space="preserve"> and US Letter templates</w:t>
      </w:r>
      <w:r w:rsidR="002C1A7F">
        <w:rPr>
          <w:lang w:val="en-US"/>
        </w:rPr>
        <w:t xml:space="preserve"> </w:t>
      </w:r>
      <w:r w:rsidR="00A75671">
        <w:rPr>
          <w:lang w:val="en-US"/>
        </w:rPr>
        <w:t>for</w:t>
      </w:r>
      <w:r w:rsidR="002C1A7F">
        <w:rPr>
          <w:lang w:val="en-US"/>
        </w:rPr>
        <w:t xml:space="preserve"> La</w:t>
      </w:r>
      <w:r w:rsidR="00A75671">
        <w:rPr>
          <w:lang w:val="en-US"/>
        </w:rPr>
        <w:t>T</w:t>
      </w:r>
      <w:r w:rsidR="002C1A7F">
        <w:rPr>
          <w:lang w:val="en-US"/>
        </w:rPr>
        <w:t>e</w:t>
      </w:r>
      <w:r w:rsidR="00A75671">
        <w:rPr>
          <w:lang w:val="en-US"/>
        </w:rPr>
        <w:t>X</w:t>
      </w:r>
      <w:r w:rsidR="00C65F3F">
        <w:rPr>
          <w:lang w:val="en-US"/>
        </w:rPr>
        <w:t xml:space="preserve"> and Micr</w:t>
      </w:r>
      <w:r w:rsidR="00ED61CB">
        <w:rPr>
          <w:lang w:val="en-US"/>
        </w:rPr>
        <w:t>osoft Word</w:t>
      </w:r>
      <w:r w:rsidR="006B47CA">
        <w:rPr>
          <w:lang w:val="en-US"/>
        </w:rPr>
        <w:t>.</w:t>
      </w:r>
      <w:r w:rsidR="00502E89">
        <w:rPr>
          <w:lang w:val="en-US"/>
        </w:rPr>
        <w:t xml:space="preserve">  </w:t>
      </w:r>
      <w:r w:rsidR="00502E89" w:rsidRPr="00502E89">
        <w:rPr>
          <w:lang w:val="en-US"/>
        </w:rPr>
        <w:t>The LaTeX templates depend on the official</w:t>
      </w:r>
      <w:r w:rsidR="00502E89">
        <w:rPr>
          <w:lang w:val="en-US"/>
        </w:rPr>
        <w:t xml:space="preserve"> </w:t>
      </w:r>
      <w:r w:rsidR="00502E89" w:rsidRPr="00502E89">
        <w:rPr>
          <w:lang w:val="en-US"/>
        </w:rPr>
        <w:t>IEEEtran.cls and IEEEtran.bst</w:t>
      </w:r>
      <w:r w:rsidR="00502E89">
        <w:rPr>
          <w:lang w:val="en-US"/>
        </w:rPr>
        <w:t xml:space="preserve"> files</w:t>
      </w:r>
      <w:r w:rsidR="00502E89" w:rsidRPr="00502E89">
        <w:rPr>
          <w:lang w:val="en-US"/>
        </w:rPr>
        <w:t>, whereas the Microsoft</w:t>
      </w:r>
      <w:r w:rsidR="00502E89">
        <w:rPr>
          <w:lang w:val="en-US"/>
        </w:rPr>
        <w:t xml:space="preserve"> </w:t>
      </w:r>
      <w:r w:rsidR="00ED61CB">
        <w:rPr>
          <w:lang w:val="en-US"/>
        </w:rPr>
        <w:t>Word</w:t>
      </w:r>
      <w:r w:rsidR="00502E89" w:rsidRPr="00502E89">
        <w:rPr>
          <w:lang w:val="en-US"/>
        </w:rPr>
        <w:t xml:space="preserve"> templates</w:t>
      </w:r>
      <w:r w:rsidR="00502E89">
        <w:rPr>
          <w:lang w:val="en-US"/>
        </w:rPr>
        <w:t xml:space="preserve"> </w:t>
      </w:r>
      <w:r w:rsidR="00502E89" w:rsidRPr="00502E89">
        <w:rPr>
          <w:lang w:val="en-US"/>
        </w:rPr>
        <w:t xml:space="preserve">are self-contained.  </w:t>
      </w:r>
      <w:r w:rsidR="0062033E">
        <w:rPr>
          <w:lang w:val="en-US"/>
        </w:rPr>
        <w:lastRenderedPageBreak/>
        <w:t xml:space="preserve">Causal Productions has </w:t>
      </w:r>
      <w:r w:rsidR="005D7B9E">
        <w:rPr>
          <w:lang w:val="en-US"/>
        </w:rPr>
        <w:t xml:space="preserve">used </w:t>
      </w:r>
      <w:r w:rsidR="0062033E">
        <w:rPr>
          <w:lang w:val="en-US"/>
        </w:rPr>
        <w:t>its best ef</w:t>
      </w:r>
      <w:r w:rsidR="00A75671">
        <w:rPr>
          <w:lang w:val="en-US"/>
        </w:rPr>
        <w:t>forts to ensure that the</w:t>
      </w:r>
      <w:r w:rsidR="0062033E">
        <w:rPr>
          <w:lang w:val="en-US"/>
        </w:rPr>
        <w:t xml:space="preserve"> templates</w:t>
      </w:r>
      <w:r w:rsidR="00502E89">
        <w:rPr>
          <w:lang w:val="en-US"/>
        </w:rPr>
        <w:t xml:space="preserve"> have the same appearance</w:t>
      </w:r>
      <w:r w:rsidR="0062033E">
        <w:rPr>
          <w:lang w:val="en-US"/>
        </w:rPr>
        <w:t>.</w:t>
      </w:r>
    </w:p>
    <w:p w:rsidR="003950A4" w:rsidRDefault="00CA4CE3" w:rsidP="000C013C">
      <w:pPr>
        <w:pStyle w:val="IEEEHeading1"/>
        <w:numPr>
          <w:ilvl w:val="0"/>
          <w:numId w:val="0"/>
        </w:numPr>
        <w:rPr>
          <w:lang w:val="en-US"/>
        </w:rPr>
      </w:pPr>
      <w:r>
        <w:rPr>
          <w:lang w:val="en-US"/>
        </w:rPr>
        <w:t>Acknowledgment</w:t>
      </w:r>
    </w:p>
    <w:p w:rsidR="00D311F8" w:rsidRDefault="0062033E" w:rsidP="00D311F8">
      <w:pPr>
        <w:pStyle w:val="IEEEParagraph"/>
        <w:rPr>
          <w:lang w:val="en-GB"/>
        </w:rPr>
      </w:pPr>
      <w:r>
        <w:rPr>
          <w:lang w:val="en-GB"/>
        </w:rPr>
        <w:t xml:space="preserve">The </w:t>
      </w:r>
      <w:r w:rsidR="002C1A7F">
        <w:rPr>
          <w:lang w:val="en-GB"/>
        </w:rPr>
        <w:t xml:space="preserve">heading of the </w:t>
      </w:r>
      <w:r w:rsidR="00074AC8">
        <w:rPr>
          <w:lang w:val="en-GB"/>
        </w:rPr>
        <w:t>A</w:t>
      </w:r>
      <w:r>
        <w:rPr>
          <w:lang w:val="en-GB"/>
        </w:rPr>
        <w:t>cknowledg</w:t>
      </w:r>
      <w:r w:rsidR="000C013C" w:rsidRPr="000C013C">
        <w:rPr>
          <w:lang w:val="en-GB"/>
        </w:rPr>
        <w:t>me</w:t>
      </w:r>
      <w:r>
        <w:rPr>
          <w:lang w:val="en-GB"/>
        </w:rPr>
        <w:t xml:space="preserve">nt </w:t>
      </w:r>
      <w:r w:rsidR="00074AC8">
        <w:rPr>
          <w:lang w:val="en-GB"/>
        </w:rPr>
        <w:t xml:space="preserve">section </w:t>
      </w:r>
      <w:r w:rsidR="00A75671">
        <w:rPr>
          <w:lang w:val="en-GB"/>
        </w:rPr>
        <w:t xml:space="preserve">and </w:t>
      </w:r>
      <w:r w:rsidR="00074AC8">
        <w:rPr>
          <w:lang w:val="en-GB"/>
        </w:rPr>
        <w:t>the R</w:t>
      </w:r>
      <w:r w:rsidR="00A75671">
        <w:rPr>
          <w:lang w:val="en-GB"/>
        </w:rPr>
        <w:t xml:space="preserve">eferences </w:t>
      </w:r>
      <w:r w:rsidR="002C1A7F">
        <w:rPr>
          <w:lang w:val="en-GB"/>
        </w:rPr>
        <w:t xml:space="preserve">section </w:t>
      </w:r>
      <w:r>
        <w:rPr>
          <w:lang w:val="en-GB"/>
        </w:rPr>
        <w:t>must</w:t>
      </w:r>
      <w:r w:rsidR="002C559D">
        <w:rPr>
          <w:lang w:val="en-GB"/>
        </w:rPr>
        <w:t xml:space="preserve"> not be numbered.</w:t>
      </w:r>
    </w:p>
    <w:p w:rsidR="00A9318B" w:rsidRDefault="00D311F8" w:rsidP="00074AC8">
      <w:pPr>
        <w:pStyle w:val="IEEEParagraph"/>
      </w:pPr>
      <w:r w:rsidRPr="00D311F8">
        <w:t xml:space="preserve">Causal Productions wishes to acknowledge Michael Shell and other contributors for developing and maintaining the IEEE LaTeX style files which have been used in the preparation of this template.  </w:t>
      </w:r>
      <w:r w:rsidR="00074AC8">
        <w:t>T</w:t>
      </w:r>
      <w:r w:rsidR="00074AC8" w:rsidRPr="00D311F8">
        <w:t>o see the list of contributors</w:t>
      </w:r>
      <w:r w:rsidR="00074AC8">
        <w:t>, p</w:t>
      </w:r>
      <w:r w:rsidRPr="00D311F8">
        <w:t xml:space="preserve">lease refer to the top of file IEEETran.cls </w:t>
      </w:r>
      <w:r w:rsidR="00F74B89">
        <w:t>in the IEEE LaTeX distribution</w:t>
      </w:r>
      <w:r w:rsidRPr="00D311F8">
        <w:t>.</w:t>
      </w:r>
    </w:p>
    <w:p w:rsidR="001928FB" w:rsidRDefault="001928FB" w:rsidP="00F06A72">
      <w:pPr>
        <w:pStyle w:val="IEEEHeading1"/>
        <w:numPr>
          <w:ilvl w:val="0"/>
          <w:numId w:val="0"/>
        </w:numPr>
      </w:pPr>
      <w:r>
        <w:t>References</w:t>
      </w:r>
    </w:p>
    <w:p w:rsidR="008B6AE3" w:rsidRDefault="0062033E" w:rsidP="008B6AE3">
      <w:pPr>
        <w:pStyle w:val="IEEEReferenceItem"/>
      </w:pPr>
      <w:r>
        <w:rPr>
          <w:lang w:val="en-AU"/>
        </w:rPr>
        <w:t xml:space="preserve">S. M. </w:t>
      </w:r>
      <w:r w:rsidRPr="0062033E">
        <w:rPr>
          <w:lang w:val="en-AU"/>
        </w:rPr>
        <w:t xml:space="preserve">Metev and V. P. Veiko, </w:t>
      </w:r>
      <w:r w:rsidRPr="0062033E">
        <w:rPr>
          <w:i/>
          <w:iCs/>
          <w:lang w:val="en-AU"/>
        </w:rPr>
        <w:t>Laser Assisted Microtechnology</w:t>
      </w:r>
      <w:r w:rsidRPr="0062033E">
        <w:rPr>
          <w:lang w:val="en-AU"/>
        </w:rPr>
        <w:t>, 2nd ed.,</w:t>
      </w:r>
      <w:r>
        <w:rPr>
          <w:lang w:val="en-AU"/>
        </w:rPr>
        <w:t xml:space="preserve"> </w:t>
      </w:r>
      <w:r w:rsidR="008B6AE3">
        <w:t xml:space="preserve">R. M. Osgood, Jr., Ed.  </w:t>
      </w:r>
      <w:smartTag w:uri="urn:schemas-microsoft-com:office:smarttags" w:element="place">
        <w:smartTag w:uri="urn:schemas-microsoft-com:office:smarttags" w:element="City">
          <w:r w:rsidRPr="0062033E">
            <w:t>Berlin</w:t>
          </w:r>
        </w:smartTag>
        <w:r w:rsidRPr="0062033E">
          <w:t xml:space="preserve">, </w:t>
        </w:r>
        <w:smartTag w:uri="urn:schemas-microsoft-com:office:smarttags" w:element="country-region">
          <w:r w:rsidRPr="0062033E">
            <w:t>Germany</w:t>
          </w:r>
        </w:smartTag>
      </w:smartTag>
      <w:r w:rsidRPr="0062033E">
        <w:t>: Springer-Verlag, 1998.</w:t>
      </w:r>
    </w:p>
    <w:p w:rsidR="008B6AE3" w:rsidRDefault="0062033E" w:rsidP="008B6AE3">
      <w:pPr>
        <w:pStyle w:val="IEEEReferenceItem"/>
      </w:pPr>
      <w:r w:rsidRPr="008B6AE3">
        <w:t xml:space="preserve">J. Breckling, Ed., </w:t>
      </w:r>
      <w:r w:rsidR="008B6AE3" w:rsidRPr="008B6AE3">
        <w:rPr>
          <w:i/>
          <w:iCs/>
        </w:rPr>
        <w:t xml:space="preserve">The </w:t>
      </w:r>
      <w:r w:rsidRPr="008B6AE3">
        <w:rPr>
          <w:i/>
          <w:iCs/>
        </w:rPr>
        <w:t>Analysis of Directional Time Series: Applications</w:t>
      </w:r>
      <w:r w:rsidR="008B6AE3" w:rsidRPr="008B6AE3">
        <w:rPr>
          <w:i/>
          <w:iCs/>
        </w:rPr>
        <w:t xml:space="preserve"> to Wind Speed and Direction</w:t>
      </w:r>
      <w:r w:rsidR="008B6AE3" w:rsidRPr="008B6AE3">
        <w:t>, ser. Lecture Not</w:t>
      </w:r>
      <w:r w:rsidR="008B6AE3">
        <w:t xml:space="preserve">es in Statistics.  </w:t>
      </w:r>
      <w:smartTag w:uri="urn:schemas-microsoft-com:office:smarttags" w:element="place">
        <w:smartTag w:uri="urn:schemas-microsoft-com:office:smarttags" w:element="City">
          <w:r w:rsidR="008B6AE3" w:rsidRPr="008B6AE3">
            <w:t>Berlin</w:t>
          </w:r>
        </w:smartTag>
        <w:r w:rsidR="008B6AE3" w:rsidRPr="008B6AE3">
          <w:t xml:space="preserve">, </w:t>
        </w:r>
        <w:smartTag w:uri="urn:schemas-microsoft-com:office:smarttags" w:element="country-region">
          <w:r w:rsidR="008B6AE3" w:rsidRPr="008B6AE3">
            <w:t>Germany</w:t>
          </w:r>
        </w:smartTag>
      </w:smartTag>
      <w:r w:rsidR="008B6AE3" w:rsidRPr="008B6AE3">
        <w:t>: Springer, 1989, vol. 61.</w:t>
      </w:r>
    </w:p>
    <w:p w:rsidR="008B6AE3" w:rsidRDefault="008B6AE3" w:rsidP="008B6AE3">
      <w:pPr>
        <w:pStyle w:val="IEEEReferenceItem"/>
      </w:pPr>
      <w:r w:rsidRPr="008B6AE3">
        <w:t xml:space="preserve">S. Zhang, C. Zhu, J. K. O. Sin, and P. K. T. Mok, “A novel ultrathin elevated channel low-temperature poly-Si TFT,” </w:t>
      </w:r>
      <w:r w:rsidRPr="008B6AE3">
        <w:rPr>
          <w:i/>
          <w:iCs/>
        </w:rPr>
        <w:t>IEEE Electron Device Lett.</w:t>
      </w:r>
      <w:r w:rsidRPr="008B6AE3">
        <w:t>, vol. 20, pp. 569–571, Nov. 1999.</w:t>
      </w:r>
    </w:p>
    <w:p w:rsidR="008B6AE3" w:rsidRPr="008B6AE3" w:rsidRDefault="008B6AE3" w:rsidP="008B6AE3">
      <w:pPr>
        <w:pStyle w:val="IEEEReferenceItem"/>
      </w:pPr>
      <w:r w:rsidRPr="008B6AE3">
        <w:t>M. Wegmuller, J. P. von der Weid, P. Oberson, and N. Gisin, “High</w:t>
      </w:r>
      <w:r>
        <w:t xml:space="preserve"> </w:t>
      </w:r>
      <w:r w:rsidRPr="008B6AE3">
        <w:t xml:space="preserve">resolution fiber distributed measurements with coherent OFDR,” in </w:t>
      </w:r>
      <w:r w:rsidRPr="008B6AE3">
        <w:rPr>
          <w:i/>
          <w:iCs/>
        </w:rPr>
        <w:t>Proc. ECOC’00</w:t>
      </w:r>
      <w:r w:rsidRPr="008B6AE3">
        <w:t>, 2000, paper 11.3.4, p. 109.</w:t>
      </w:r>
    </w:p>
    <w:p w:rsidR="0003296C" w:rsidRPr="0003296C" w:rsidRDefault="0003296C" w:rsidP="0003296C">
      <w:pPr>
        <w:pStyle w:val="IEEEReferenceItem"/>
        <w:rPr>
          <w:lang w:val="en-AU"/>
        </w:rPr>
      </w:pPr>
      <w:r w:rsidRPr="0003296C">
        <w:t>R. E. Sorace, V. S. Reinhardt, and S. A. Vaughn, “High-speed</w:t>
      </w:r>
      <w:r>
        <w:t xml:space="preserve"> digital-to-RF converter,” </w:t>
      </w:r>
      <w:r w:rsidRPr="0003296C">
        <w:rPr>
          <w:lang w:val="en-AU"/>
        </w:rPr>
        <w:t>U.S. Patent 5 668 842, Sept. 16, 1997.</w:t>
      </w:r>
    </w:p>
    <w:p w:rsidR="008B6AE3" w:rsidRPr="00074AC8" w:rsidRDefault="006D1C2A" w:rsidP="00074AC8">
      <w:pPr>
        <w:pStyle w:val="IEEEReferenceItem"/>
        <w:rPr>
          <w:lang w:val="en-AU"/>
        </w:rPr>
      </w:pPr>
      <w:r>
        <w:t xml:space="preserve"> </w:t>
      </w:r>
      <w:r w:rsidR="00ED61CB" w:rsidRPr="00ED61CB">
        <w:rPr>
          <w:lang w:val="en-AU"/>
        </w:rPr>
        <w:t>(2002) The IEEE website. [Online].</w:t>
      </w:r>
      <w:r w:rsidR="00074AC8">
        <w:rPr>
          <w:lang w:val="en-AU"/>
        </w:rPr>
        <w:t xml:space="preserve"> Available: http://www.ieee.org</w:t>
      </w:r>
      <w:r w:rsidR="008B6AE3" w:rsidRPr="008B6AE3">
        <w:t>/</w:t>
      </w:r>
    </w:p>
    <w:p w:rsidR="0003296C" w:rsidRPr="0003296C" w:rsidRDefault="0003296C" w:rsidP="0003296C">
      <w:pPr>
        <w:pStyle w:val="IEEEReferenceItem"/>
        <w:rPr>
          <w:lang w:val="en-AU"/>
        </w:rPr>
      </w:pPr>
      <w:r w:rsidRPr="0003296C">
        <w:rPr>
          <w:lang w:val="en-AU"/>
        </w:rPr>
        <w:t>M. Shell. (2002) IEEEtran homepage on</w:t>
      </w:r>
      <w:r>
        <w:rPr>
          <w:lang w:val="en-AU"/>
        </w:rPr>
        <w:t xml:space="preserve"> CTAN. </w:t>
      </w:r>
      <w:r w:rsidRPr="0003296C">
        <w:t>[Online]. Available: http://www.ctan.org/</w:t>
      </w:r>
      <w:r>
        <w:t>tex-archive/</w:t>
      </w:r>
      <w:r w:rsidRPr="0003296C">
        <w:rPr>
          <w:lang w:val="en-AU"/>
        </w:rPr>
        <w:t>macros/latex/contrib/supported/IEEEtran/</w:t>
      </w:r>
    </w:p>
    <w:p w:rsidR="0003296C" w:rsidRPr="0003296C" w:rsidRDefault="0003296C" w:rsidP="0003296C">
      <w:pPr>
        <w:pStyle w:val="IEEEReferenceItem"/>
        <w:rPr>
          <w:lang w:val="en-AU"/>
        </w:rPr>
      </w:pPr>
      <w:r w:rsidRPr="0003296C">
        <w:rPr>
          <w:i/>
          <w:iCs/>
          <w:lang w:val="en-AU"/>
        </w:rPr>
        <w:t>FLEXChip Signal Processor (MC68175/D)</w:t>
      </w:r>
      <w:r w:rsidRPr="0003296C">
        <w:rPr>
          <w:lang w:val="en-AU"/>
        </w:rPr>
        <w:t>, Motorola, 1996.</w:t>
      </w:r>
    </w:p>
    <w:p w:rsidR="0003296C" w:rsidRPr="0003296C" w:rsidRDefault="0003296C" w:rsidP="0003296C">
      <w:pPr>
        <w:pStyle w:val="IEEEReferenceItem"/>
        <w:rPr>
          <w:lang w:val="en-AU"/>
        </w:rPr>
      </w:pPr>
      <w:r w:rsidRPr="0003296C">
        <w:rPr>
          <w:lang w:val="en-AU"/>
        </w:rPr>
        <w:t xml:space="preserve">“PDCA12-70 data sheet,” Opto Speed SA, </w:t>
      </w:r>
      <w:smartTag w:uri="urn:schemas-microsoft-com:office:smarttags" w:element="place">
        <w:smartTag w:uri="urn:schemas-microsoft-com:office:smarttags" w:element="City">
          <w:r w:rsidRPr="0003296C">
            <w:rPr>
              <w:lang w:val="en-AU"/>
            </w:rPr>
            <w:t>Mezzovico</w:t>
          </w:r>
        </w:smartTag>
        <w:r w:rsidRPr="0003296C">
          <w:rPr>
            <w:lang w:val="en-AU"/>
          </w:rPr>
          <w:t xml:space="preserve">, </w:t>
        </w:r>
        <w:smartTag w:uri="urn:schemas-microsoft-com:office:smarttags" w:element="country-region">
          <w:r w:rsidRPr="0003296C">
            <w:rPr>
              <w:lang w:val="en-AU"/>
            </w:rPr>
            <w:t>Switzerland</w:t>
          </w:r>
        </w:smartTag>
      </w:smartTag>
      <w:r w:rsidRPr="0003296C">
        <w:rPr>
          <w:lang w:val="en-AU"/>
        </w:rPr>
        <w:t>.</w:t>
      </w:r>
    </w:p>
    <w:p w:rsidR="0003296C" w:rsidRPr="0003296C" w:rsidRDefault="0003296C" w:rsidP="0003296C">
      <w:pPr>
        <w:pStyle w:val="IEEEReferenceItem"/>
      </w:pPr>
      <w:r w:rsidRPr="0003296C">
        <w:t>A. Karnik,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 xml:space="preserve">Science, </w:t>
      </w:r>
      <w:smartTag w:uri="urn:schemas-microsoft-com:office:smarttags" w:element="place">
        <w:smartTag w:uri="urn:schemas-microsoft-com:office:smarttags" w:element="City">
          <w:r w:rsidRPr="0003296C">
            <w:t>Bangalore</w:t>
          </w:r>
        </w:smartTag>
        <w:r w:rsidRPr="0003296C">
          <w:t xml:space="preserve">, </w:t>
        </w:r>
        <w:smartTag w:uri="urn:schemas-microsoft-com:office:smarttags" w:element="country-region">
          <w:r w:rsidRPr="0003296C">
            <w:t>India</w:t>
          </w:r>
        </w:smartTag>
      </w:smartTag>
      <w:r w:rsidRPr="0003296C">
        <w:t>, Jan. 1999.</w:t>
      </w:r>
    </w:p>
    <w:p w:rsidR="0003296C" w:rsidRPr="0003296C" w:rsidRDefault="0003296C" w:rsidP="0003296C">
      <w:pPr>
        <w:pStyle w:val="IEEEReferenceItem"/>
      </w:pPr>
      <w:r w:rsidRPr="0003296C">
        <w:t>J. Padhye, V. Firoiu, and D. Towsley, “A stochastic model of TCP Reno</w:t>
      </w:r>
      <w:r>
        <w:t xml:space="preserve"> </w:t>
      </w:r>
      <w:r w:rsidRPr="0003296C">
        <w:rPr>
          <w:lang w:val="en-AU"/>
        </w:rPr>
        <w:t xml:space="preserve">congestion avoidance and control,” </w:t>
      </w:r>
      <w:smartTag w:uri="urn:schemas-microsoft-com:office:smarttags" w:element="PlaceType">
        <w:r w:rsidRPr="0003296C">
          <w:rPr>
            <w:lang w:val="en-AU"/>
          </w:rPr>
          <w:t>Univ.</w:t>
        </w:r>
      </w:smartTag>
      <w:r w:rsidRPr="0003296C">
        <w:rPr>
          <w:lang w:val="en-AU"/>
        </w:rPr>
        <w:t xml:space="preserve"> of </w:t>
      </w:r>
      <w:smartTag w:uri="urn:schemas-microsoft-com:office:smarttags" w:element="PlaceName">
        <w:r w:rsidRPr="0003296C">
          <w:rPr>
            <w:lang w:val="en-AU"/>
          </w:rPr>
          <w:t>Massachusetts</w:t>
        </w:r>
      </w:smartTag>
      <w:r w:rsidRPr="0003296C">
        <w:rPr>
          <w:lang w:val="en-AU"/>
        </w:rPr>
        <w:t xml:space="preserve">, </w:t>
      </w:r>
      <w:smartTag w:uri="urn:schemas-microsoft-com:office:smarttags" w:element="place">
        <w:smartTag w:uri="urn:schemas-microsoft-com:office:smarttags" w:element="City">
          <w:r w:rsidRPr="0003296C">
            <w:rPr>
              <w:lang w:val="en-AU"/>
            </w:rPr>
            <w:t>Amherst</w:t>
          </w:r>
        </w:smartTag>
        <w:r w:rsidRPr="0003296C">
          <w:rPr>
            <w:lang w:val="en-AU"/>
          </w:rPr>
          <w:t>,</w:t>
        </w:r>
        <w:r>
          <w:rPr>
            <w:lang w:val="en-AU"/>
          </w:rPr>
          <w:t xml:space="preserve"> </w:t>
        </w:r>
        <w:smartTag w:uri="urn:schemas-microsoft-com:office:smarttags" w:element="State">
          <w:r w:rsidRPr="0003296C">
            <w:t>MA</w:t>
          </w:r>
        </w:smartTag>
      </w:smartTag>
      <w:r w:rsidRPr="0003296C">
        <w:t>, CMPSCI Tech. Rep. 99-02, 1999.</w:t>
      </w:r>
    </w:p>
    <w:p w:rsidR="00877D4C" w:rsidRDefault="0003296C" w:rsidP="00877D4C">
      <w:pPr>
        <w:pStyle w:val="IEEEReferenceItem"/>
      </w:pPr>
      <w:r w:rsidRPr="0003296C">
        <w:rPr>
          <w:i/>
          <w:iCs/>
        </w:rPr>
        <w:t>Wireless LAN Medium Access Control (MAC) and Physical Layer (PHY) Specification</w:t>
      </w:r>
      <w:r w:rsidRPr="0003296C">
        <w:rPr>
          <w:lang w:val="en-AU"/>
        </w:rPr>
        <w:t>,</w:t>
      </w:r>
      <w:r>
        <w:rPr>
          <w:lang w:val="en-AU"/>
        </w:rPr>
        <w:t xml:space="preserve"> </w:t>
      </w:r>
      <w:r w:rsidRPr="0003296C">
        <w:t>IEEE Std. 802.11, 1997.</w:t>
      </w:r>
    </w:p>
    <w:p w:rsidR="00877D4C" w:rsidRDefault="00877D4C" w:rsidP="00877D4C">
      <w:pPr>
        <w:pStyle w:val="IEEEReferenceItem"/>
        <w:numPr>
          <w:ilvl w:val="0"/>
          <w:numId w:val="0"/>
        </w:numPr>
        <w:sectPr w:rsidR="00877D4C" w:rsidSect="00E06664">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9AB" w:rsidRPr="00BF7394" w:rsidRDefault="000C49AB" w:rsidP="00BF7394">
      <w:pPr>
        <w:pStyle w:val="IEEETableCell"/>
        <w:rPr>
          <w:sz w:val="24"/>
        </w:rPr>
      </w:pPr>
      <w:r>
        <w:separator/>
      </w:r>
    </w:p>
  </w:endnote>
  <w:endnote w:type="continuationSeparator" w:id="1">
    <w:p w:rsidR="000C49AB" w:rsidRPr="00BF7394" w:rsidRDefault="000C49AB" w:rsidP="00BF7394">
      <w:pPr>
        <w:pStyle w:val="IEEETableCell"/>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9AB" w:rsidRPr="00BF7394" w:rsidRDefault="000C49AB" w:rsidP="00BF7394">
      <w:pPr>
        <w:pStyle w:val="IEEETableCell"/>
        <w:rPr>
          <w:sz w:val="24"/>
        </w:rPr>
      </w:pPr>
      <w:r>
        <w:separator/>
      </w:r>
    </w:p>
  </w:footnote>
  <w:footnote w:type="continuationSeparator" w:id="1">
    <w:p w:rsidR="000C49AB" w:rsidRPr="00BF7394" w:rsidRDefault="000C49AB" w:rsidP="00BF7394">
      <w:pPr>
        <w:pStyle w:val="IEEETableCell"/>
        <w:rPr>
          <w:sz w:val="24"/>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37037B4"/>
    <w:multiLevelType w:val="hybridMultilevel"/>
    <w:tmpl w:val="6736FFF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3D7180"/>
    <w:multiLevelType w:val="hybridMultilevel"/>
    <w:tmpl w:val="FEF6B88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nsid w:val="79130D7A"/>
    <w:multiLevelType w:val="hybridMultilevel"/>
    <w:tmpl w:val="FDC64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0"/>
  </w:num>
  <w:num w:numId="8">
    <w:abstractNumId w:val="1"/>
  </w:num>
  <w:num w:numId="9">
    <w:abstractNumId w:val="6"/>
  </w:num>
  <w:num w:numId="10">
    <w:abstractNumId w:val="8"/>
  </w:num>
  <w:num w:numId="11">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stylePaneFormatFilter w:val="3F01"/>
  <w:doNotTrackMoves/>
  <w:defaultTabStop w:val="720"/>
  <w:noPunctuationKerning/>
  <w:characterSpacingControl w:val="doNotCompress"/>
  <w:footnotePr>
    <w:footnote w:id="0"/>
    <w:footnote w:id="1"/>
  </w:footnotePr>
  <w:endnotePr>
    <w:endnote w:id="0"/>
    <w:endnote w:id="1"/>
  </w:endnotePr>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26FBB"/>
    <w:rsid w:val="000002E1"/>
    <w:rsid w:val="00012005"/>
    <w:rsid w:val="00017719"/>
    <w:rsid w:val="00027F1D"/>
    <w:rsid w:val="0003296C"/>
    <w:rsid w:val="00054421"/>
    <w:rsid w:val="00062E46"/>
    <w:rsid w:val="00064223"/>
    <w:rsid w:val="00065016"/>
    <w:rsid w:val="0007491E"/>
    <w:rsid w:val="00074AC8"/>
    <w:rsid w:val="00081408"/>
    <w:rsid w:val="00081EBE"/>
    <w:rsid w:val="0008615A"/>
    <w:rsid w:val="00086EDC"/>
    <w:rsid w:val="000B36A3"/>
    <w:rsid w:val="000C013C"/>
    <w:rsid w:val="000C49AB"/>
    <w:rsid w:val="000E15A8"/>
    <w:rsid w:val="000E3F84"/>
    <w:rsid w:val="000F6539"/>
    <w:rsid w:val="001056DF"/>
    <w:rsid w:val="00114025"/>
    <w:rsid w:val="001160D2"/>
    <w:rsid w:val="001348A5"/>
    <w:rsid w:val="00151B8E"/>
    <w:rsid w:val="00182170"/>
    <w:rsid w:val="001928FB"/>
    <w:rsid w:val="00192BC7"/>
    <w:rsid w:val="001A50EA"/>
    <w:rsid w:val="001D4C7B"/>
    <w:rsid w:val="001F16CD"/>
    <w:rsid w:val="001F47D2"/>
    <w:rsid w:val="0022285A"/>
    <w:rsid w:val="00222BBE"/>
    <w:rsid w:val="00224C61"/>
    <w:rsid w:val="0025573D"/>
    <w:rsid w:val="0027227B"/>
    <w:rsid w:val="00273AC7"/>
    <w:rsid w:val="00273D2C"/>
    <w:rsid w:val="00285ECD"/>
    <w:rsid w:val="00290E1B"/>
    <w:rsid w:val="00291B17"/>
    <w:rsid w:val="00295963"/>
    <w:rsid w:val="002A6742"/>
    <w:rsid w:val="002B2C3D"/>
    <w:rsid w:val="002B6C7F"/>
    <w:rsid w:val="002C1A7F"/>
    <w:rsid w:val="002C4239"/>
    <w:rsid w:val="002C559D"/>
    <w:rsid w:val="002D2D42"/>
    <w:rsid w:val="002F72D0"/>
    <w:rsid w:val="003003AB"/>
    <w:rsid w:val="00311C49"/>
    <w:rsid w:val="0032119E"/>
    <w:rsid w:val="00321304"/>
    <w:rsid w:val="00331F84"/>
    <w:rsid w:val="003950A4"/>
    <w:rsid w:val="003B5D1C"/>
    <w:rsid w:val="003E3577"/>
    <w:rsid w:val="003F02D2"/>
    <w:rsid w:val="003F3A61"/>
    <w:rsid w:val="00403686"/>
    <w:rsid w:val="00410A5D"/>
    <w:rsid w:val="00414909"/>
    <w:rsid w:val="00425A6A"/>
    <w:rsid w:val="00426FBB"/>
    <w:rsid w:val="0047429A"/>
    <w:rsid w:val="0048374C"/>
    <w:rsid w:val="0048771D"/>
    <w:rsid w:val="004A6605"/>
    <w:rsid w:val="004C45FA"/>
    <w:rsid w:val="004E1BD8"/>
    <w:rsid w:val="004E452A"/>
    <w:rsid w:val="004E78E3"/>
    <w:rsid w:val="004F63D3"/>
    <w:rsid w:val="005004BF"/>
    <w:rsid w:val="00502E89"/>
    <w:rsid w:val="0050311B"/>
    <w:rsid w:val="005100D1"/>
    <w:rsid w:val="00510E95"/>
    <w:rsid w:val="00527D56"/>
    <w:rsid w:val="0053221F"/>
    <w:rsid w:val="00536FAE"/>
    <w:rsid w:val="00542C85"/>
    <w:rsid w:val="00553510"/>
    <w:rsid w:val="00554186"/>
    <w:rsid w:val="00585769"/>
    <w:rsid w:val="00591130"/>
    <w:rsid w:val="005A3F28"/>
    <w:rsid w:val="005A40BE"/>
    <w:rsid w:val="005B13E2"/>
    <w:rsid w:val="005B47D7"/>
    <w:rsid w:val="005C4C1E"/>
    <w:rsid w:val="005C5526"/>
    <w:rsid w:val="005C62C6"/>
    <w:rsid w:val="005D7B9E"/>
    <w:rsid w:val="005F0834"/>
    <w:rsid w:val="005F6DC3"/>
    <w:rsid w:val="00601A8E"/>
    <w:rsid w:val="0062033E"/>
    <w:rsid w:val="00624482"/>
    <w:rsid w:val="0064799C"/>
    <w:rsid w:val="00654156"/>
    <w:rsid w:val="006B0F52"/>
    <w:rsid w:val="006B47CA"/>
    <w:rsid w:val="006C7AAA"/>
    <w:rsid w:val="006D1C2A"/>
    <w:rsid w:val="006D264F"/>
    <w:rsid w:val="006E2A8D"/>
    <w:rsid w:val="006E7574"/>
    <w:rsid w:val="00701429"/>
    <w:rsid w:val="00703430"/>
    <w:rsid w:val="007069BE"/>
    <w:rsid w:val="00723B19"/>
    <w:rsid w:val="00745C86"/>
    <w:rsid w:val="00764603"/>
    <w:rsid w:val="0076604D"/>
    <w:rsid w:val="0077414E"/>
    <w:rsid w:val="00790909"/>
    <w:rsid w:val="00791EB2"/>
    <w:rsid w:val="007B5A07"/>
    <w:rsid w:val="007D3E71"/>
    <w:rsid w:val="007E5D6A"/>
    <w:rsid w:val="007E645D"/>
    <w:rsid w:val="007F75CA"/>
    <w:rsid w:val="008158D9"/>
    <w:rsid w:val="00821E08"/>
    <w:rsid w:val="008273B2"/>
    <w:rsid w:val="00834EFD"/>
    <w:rsid w:val="00844B24"/>
    <w:rsid w:val="0084515F"/>
    <w:rsid w:val="0085092D"/>
    <w:rsid w:val="00857C3E"/>
    <w:rsid w:val="00877D4C"/>
    <w:rsid w:val="00883903"/>
    <w:rsid w:val="0089763B"/>
    <w:rsid w:val="008B6AE3"/>
    <w:rsid w:val="008D1045"/>
    <w:rsid w:val="008E4E14"/>
    <w:rsid w:val="008E5996"/>
    <w:rsid w:val="00901AE1"/>
    <w:rsid w:val="009205B4"/>
    <w:rsid w:val="00955B59"/>
    <w:rsid w:val="00992262"/>
    <w:rsid w:val="009926BC"/>
    <w:rsid w:val="009A4319"/>
    <w:rsid w:val="009A6C3F"/>
    <w:rsid w:val="009B73F2"/>
    <w:rsid w:val="009C12BD"/>
    <w:rsid w:val="009C50FE"/>
    <w:rsid w:val="009C69D0"/>
    <w:rsid w:val="009E4F91"/>
    <w:rsid w:val="00A03E75"/>
    <w:rsid w:val="00A04AC1"/>
    <w:rsid w:val="00A0531D"/>
    <w:rsid w:val="00A32BFA"/>
    <w:rsid w:val="00A40149"/>
    <w:rsid w:val="00A45FCE"/>
    <w:rsid w:val="00A52BCC"/>
    <w:rsid w:val="00A75671"/>
    <w:rsid w:val="00A773CC"/>
    <w:rsid w:val="00A9318B"/>
    <w:rsid w:val="00A94AC1"/>
    <w:rsid w:val="00AB18B7"/>
    <w:rsid w:val="00AD335D"/>
    <w:rsid w:val="00AF792B"/>
    <w:rsid w:val="00B33D2F"/>
    <w:rsid w:val="00B55D5E"/>
    <w:rsid w:val="00B713D8"/>
    <w:rsid w:val="00B94516"/>
    <w:rsid w:val="00BA5551"/>
    <w:rsid w:val="00BB2855"/>
    <w:rsid w:val="00BB3F97"/>
    <w:rsid w:val="00BC5343"/>
    <w:rsid w:val="00BD19C1"/>
    <w:rsid w:val="00BD25B8"/>
    <w:rsid w:val="00BF45FC"/>
    <w:rsid w:val="00BF7394"/>
    <w:rsid w:val="00C012E1"/>
    <w:rsid w:val="00C06BB4"/>
    <w:rsid w:val="00C10D20"/>
    <w:rsid w:val="00C12E0C"/>
    <w:rsid w:val="00C21916"/>
    <w:rsid w:val="00C457CA"/>
    <w:rsid w:val="00C53FB6"/>
    <w:rsid w:val="00C57FB7"/>
    <w:rsid w:val="00C60040"/>
    <w:rsid w:val="00C6136D"/>
    <w:rsid w:val="00C65F3F"/>
    <w:rsid w:val="00C72414"/>
    <w:rsid w:val="00C8667B"/>
    <w:rsid w:val="00C90993"/>
    <w:rsid w:val="00CA4CE3"/>
    <w:rsid w:val="00CB2C70"/>
    <w:rsid w:val="00CD4F3F"/>
    <w:rsid w:val="00CE7B5A"/>
    <w:rsid w:val="00D1193F"/>
    <w:rsid w:val="00D311F8"/>
    <w:rsid w:val="00D36B52"/>
    <w:rsid w:val="00D377C8"/>
    <w:rsid w:val="00D41274"/>
    <w:rsid w:val="00D43BF3"/>
    <w:rsid w:val="00D767BB"/>
    <w:rsid w:val="00D939B0"/>
    <w:rsid w:val="00DA0266"/>
    <w:rsid w:val="00DA31A2"/>
    <w:rsid w:val="00DB16E0"/>
    <w:rsid w:val="00DB2DF9"/>
    <w:rsid w:val="00DB465D"/>
    <w:rsid w:val="00DB7E63"/>
    <w:rsid w:val="00DC2055"/>
    <w:rsid w:val="00DD71E8"/>
    <w:rsid w:val="00DD7F83"/>
    <w:rsid w:val="00E0641E"/>
    <w:rsid w:val="00E06664"/>
    <w:rsid w:val="00E23B3E"/>
    <w:rsid w:val="00E304BC"/>
    <w:rsid w:val="00E3087A"/>
    <w:rsid w:val="00E32853"/>
    <w:rsid w:val="00E401F8"/>
    <w:rsid w:val="00E46425"/>
    <w:rsid w:val="00E47D0E"/>
    <w:rsid w:val="00E5613D"/>
    <w:rsid w:val="00E65018"/>
    <w:rsid w:val="00E94339"/>
    <w:rsid w:val="00E97563"/>
    <w:rsid w:val="00EB0B63"/>
    <w:rsid w:val="00EC265C"/>
    <w:rsid w:val="00ED61CB"/>
    <w:rsid w:val="00F06A72"/>
    <w:rsid w:val="00F136F0"/>
    <w:rsid w:val="00F20BBB"/>
    <w:rsid w:val="00F41F0E"/>
    <w:rsid w:val="00F43BD8"/>
    <w:rsid w:val="00F562F3"/>
    <w:rsid w:val="00F74B89"/>
    <w:rsid w:val="00F75133"/>
    <w:rsid w:val="00F83272"/>
    <w:rsid w:val="00FA3899"/>
    <w:rsid w:val="00FA4909"/>
    <w:rsid w:val="00FA6751"/>
    <w:rsid w:val="00FB1048"/>
    <w:rsid w:val="00FB62C4"/>
    <w:rsid w:val="00FB7701"/>
    <w:rsid w:val="00FC297E"/>
    <w:rsid w:val="00FD1AC5"/>
    <w:rsid w:val="00FD5C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531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rsid w:val="00F41F0E"/>
    <w:rPr>
      <w:color w:val="0000FF"/>
      <w:u w:val="single"/>
    </w:rPr>
  </w:style>
  <w:style w:type="paragraph" w:styleId="ListParagraph">
    <w:name w:val="List Paragraph"/>
    <w:basedOn w:val="Normal"/>
    <w:uiPriority w:val="34"/>
    <w:qFormat/>
    <w:rsid w:val="0050311B"/>
    <w:pPr>
      <w:spacing w:after="160" w:line="259" w:lineRule="auto"/>
      <w:ind w:left="720"/>
      <w:contextualSpacing/>
    </w:pPr>
    <w:rPr>
      <w:rFonts w:ascii="Calibri" w:eastAsia="Calibri" w:hAnsi="Calibri"/>
      <w:kern w:val="2"/>
      <w:sz w:val="22"/>
      <w:szCs w:val="20"/>
      <w:lang w:val="en-IN" w:eastAsia="en-US" w:bidi="mr-IN"/>
    </w:rPr>
  </w:style>
  <w:style w:type="paragraph" w:styleId="Header">
    <w:name w:val="header"/>
    <w:basedOn w:val="Normal"/>
    <w:link w:val="HeaderChar"/>
    <w:rsid w:val="00BF7394"/>
    <w:pPr>
      <w:tabs>
        <w:tab w:val="center" w:pos="4680"/>
        <w:tab w:val="right" w:pos="9360"/>
      </w:tabs>
    </w:pPr>
  </w:style>
  <w:style w:type="character" w:customStyle="1" w:styleId="HeaderChar">
    <w:name w:val="Header Char"/>
    <w:basedOn w:val="DefaultParagraphFont"/>
    <w:link w:val="Header"/>
    <w:rsid w:val="00BF7394"/>
    <w:rPr>
      <w:sz w:val="24"/>
      <w:szCs w:val="24"/>
      <w:lang w:val="en-AU" w:eastAsia="zh-CN"/>
    </w:rPr>
  </w:style>
  <w:style w:type="paragraph" w:styleId="Footer">
    <w:name w:val="footer"/>
    <w:basedOn w:val="Normal"/>
    <w:link w:val="FooterChar"/>
    <w:rsid w:val="00BF7394"/>
    <w:pPr>
      <w:tabs>
        <w:tab w:val="center" w:pos="4680"/>
        <w:tab w:val="right" w:pos="9360"/>
      </w:tabs>
    </w:pPr>
  </w:style>
  <w:style w:type="character" w:customStyle="1" w:styleId="FooterChar">
    <w:name w:val="Footer Char"/>
    <w:basedOn w:val="DefaultParagraphFont"/>
    <w:link w:val="Footer"/>
    <w:rsid w:val="00BF7394"/>
    <w:rPr>
      <w:sz w:val="24"/>
      <w:szCs w:val="24"/>
      <w:lang w:val="en-AU" w:eastAsia="zh-CN"/>
    </w:rPr>
  </w:style>
</w:styles>
</file>

<file path=word/webSettings.xml><?xml version="1.0" encoding="utf-8"?>
<w:webSettings xmlns:r="http://schemas.openxmlformats.org/officeDocument/2006/relationships" xmlns:w="http://schemas.openxmlformats.org/wordprocessingml/2006/main">
  <w:divs>
    <w:div w:id="850484320">
      <w:bodyDiv w:val="1"/>
      <w:marLeft w:val="0"/>
      <w:marRight w:val="0"/>
      <w:marTop w:val="0"/>
      <w:marBottom w:val="0"/>
      <w:divBdr>
        <w:top w:val="none" w:sz="0" w:space="0" w:color="auto"/>
        <w:left w:val="none" w:sz="0" w:space="0" w:color="auto"/>
        <w:bottom w:val="none" w:sz="0" w:space="0" w:color="auto"/>
        <w:right w:val="none" w:sz="0" w:space="0" w:color="auto"/>
      </w:divBdr>
    </w:div>
    <w:div w:id="1082217279">
      <w:bodyDiv w:val="1"/>
      <w:marLeft w:val="0"/>
      <w:marRight w:val="0"/>
      <w:marTop w:val="0"/>
      <w:marBottom w:val="0"/>
      <w:divBdr>
        <w:top w:val="none" w:sz="0" w:space="0" w:color="auto"/>
        <w:left w:val="none" w:sz="0" w:space="0" w:color="auto"/>
        <w:bottom w:val="none" w:sz="0" w:space="0" w:color="auto"/>
        <w:right w:val="none" w:sz="0" w:space="0" w:color="auto"/>
      </w:divBdr>
    </w:div>
    <w:div w:id="1325281937">
      <w:bodyDiv w:val="1"/>
      <w:marLeft w:val="0"/>
      <w:marRight w:val="0"/>
      <w:marTop w:val="0"/>
      <w:marBottom w:val="0"/>
      <w:divBdr>
        <w:top w:val="none" w:sz="0" w:space="0" w:color="auto"/>
        <w:left w:val="none" w:sz="0" w:space="0" w:color="auto"/>
        <w:bottom w:val="none" w:sz="0" w:space="0" w:color="auto"/>
        <w:right w:val="none" w:sz="0" w:space="0" w:color="auto"/>
      </w:divBdr>
    </w:div>
    <w:div w:id="1474712309">
      <w:bodyDiv w:val="1"/>
      <w:marLeft w:val="0"/>
      <w:marRight w:val="0"/>
      <w:marTop w:val="0"/>
      <w:marBottom w:val="0"/>
      <w:divBdr>
        <w:top w:val="none" w:sz="0" w:space="0" w:color="auto"/>
        <w:left w:val="none" w:sz="0" w:space="0" w:color="auto"/>
        <w:bottom w:val="none" w:sz="0" w:space="0" w:color="auto"/>
        <w:right w:val="none" w:sz="0" w:space="0" w:color="auto"/>
      </w:divBdr>
    </w:div>
    <w:div w:id="1586188854">
      <w:bodyDiv w:val="1"/>
      <w:marLeft w:val="0"/>
      <w:marRight w:val="0"/>
      <w:marTop w:val="0"/>
      <w:marBottom w:val="0"/>
      <w:divBdr>
        <w:top w:val="none" w:sz="0" w:space="0" w:color="auto"/>
        <w:left w:val="none" w:sz="0" w:space="0" w:color="auto"/>
        <w:bottom w:val="none" w:sz="0" w:space="0" w:color="auto"/>
        <w:right w:val="none" w:sz="0" w:space="0" w:color="auto"/>
      </w:divBdr>
    </w:div>
    <w:div w:id="201942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rshanawale02@gmail.com"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1AabhaJahagirdar@gmail.com" TargetMode="External"/><Relationship Id="rId12" Type="http://schemas.openxmlformats.org/officeDocument/2006/relationships/hyperlink" Target="http://www.freedigitalphotos.net/images/Television_Video_and_g178-TV_p11679.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4mrunalthamake9@gmail.com" TargetMode="External"/><Relationship Id="rId4" Type="http://schemas.openxmlformats.org/officeDocument/2006/relationships/webSettings" Target="webSettings.xml"/><Relationship Id="rId9" Type="http://schemas.openxmlformats.org/officeDocument/2006/relationships/hyperlink" Target="mailto:ganeshpagadyakul2616@gnail.com" TargetMode="External"/><Relationship Id="rId14" Type="http://schemas.openxmlformats.org/officeDocument/2006/relationships/hyperlink" Target="http://www.freedigitalphotos.net/images/Television_Video_and_g178-TV_p116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16753</CharactersWithSpaces>
  <SharedDoc>false</SharedDoc>
  <HLinks>
    <vt:vector size="12" baseType="variant">
      <vt:variant>
        <vt:i4>5832732</vt:i4>
      </vt:variant>
      <vt:variant>
        <vt:i4>12</vt:i4>
      </vt:variant>
      <vt:variant>
        <vt:i4>0</vt:i4>
      </vt:variant>
      <vt:variant>
        <vt:i4>5</vt:i4>
      </vt:variant>
      <vt:variant>
        <vt:lpwstr>http://www.freedigitalphotos.net/images/Television_Video_and_g178-TV_p11678.html</vt:lpwstr>
      </vt:variant>
      <vt:variant>
        <vt:lpwstr/>
      </vt:variant>
      <vt:variant>
        <vt:i4>5832733</vt:i4>
      </vt:variant>
      <vt:variant>
        <vt:i4>6</vt:i4>
      </vt:variant>
      <vt:variant>
        <vt:i4>0</vt:i4>
      </vt:variant>
      <vt:variant>
        <vt:i4>5</vt:i4>
      </vt:variant>
      <vt:variant>
        <vt:lpwstr>http://www.freedigitalphotos.net/images/Television_Video_and_g178-TV_p11679.html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Aabha Jahagirdar</cp:lastModifiedBy>
  <cp:revision>21</cp:revision>
  <cp:lastPrinted>2006-09-01T14:48:00Z</cp:lastPrinted>
  <dcterms:created xsi:type="dcterms:W3CDTF">2024-03-11T11:06:00Z</dcterms:created>
  <dcterms:modified xsi:type="dcterms:W3CDTF">2024-03-13T11:03:00Z</dcterms:modified>
</cp:coreProperties>
</file>