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Arial" w:cs="Arial" w:eastAsia="Arial" w:hAnsi="Arial"/>
          <w:color w:val="000000"/>
          <w:sz w:val="40"/>
          <w:szCs w:val="40"/>
        </w:rPr>
      </w:pPr>
      <w:r w:rsidDel="00000000" w:rsidR="00000000" w:rsidRPr="00000000">
        <w:rPr>
          <w:rFonts w:ascii="Arial" w:cs="Arial" w:eastAsia="Arial" w:hAnsi="Arial"/>
          <w:color w:val="000000"/>
          <w:sz w:val="40"/>
          <w:szCs w:val="40"/>
          <w:rtl w:val="0"/>
        </w:rPr>
        <w:t xml:space="preserve">Case Study: NVIDIA – Global Sourcing &amp; Risk Management</w:t>
      </w:r>
    </w:p>
    <w:p w:rsidR="00000000" w:rsidDel="00000000" w:rsidP="00000000" w:rsidRDefault="00000000" w:rsidRPr="00000000" w14:paraId="00000002">
      <w:pPr>
        <w:rPr/>
      </w:pPr>
      <w:r w:rsidDel="00000000" w:rsidR="00000000" w:rsidRPr="00000000">
        <w:rPr>
          <w:rtl w:val="0"/>
        </w:rPr>
        <w:t xml:space="preserve">                                                                                                                                               Reddy Praneeth  </w:t>
      </w:r>
    </w:p>
    <w:p w:rsidR="00000000" w:rsidDel="00000000" w:rsidP="00000000" w:rsidRDefault="00000000" w:rsidRPr="00000000" w14:paraId="00000003">
      <w:pPr>
        <w:rPr/>
      </w:pPr>
      <w:r w:rsidDel="00000000" w:rsidR="00000000" w:rsidRPr="00000000">
        <w:rPr>
          <w:rtl w:val="0"/>
        </w:rPr>
        <w:t xml:space="preserve">                                                                                                                                           VU22CSEN0100614</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2"/>
        <w:rPr>
          <w:rFonts w:ascii="Arial" w:cs="Arial" w:eastAsia="Arial" w:hAnsi="Arial"/>
          <w:color w:val="000000"/>
          <w:sz w:val="32"/>
          <w:szCs w:val="32"/>
        </w:rPr>
      </w:pPr>
      <w:r w:rsidDel="00000000" w:rsidR="00000000" w:rsidRPr="00000000">
        <w:rPr>
          <w:rFonts w:ascii="Arial" w:cs="Arial" w:eastAsia="Arial" w:hAnsi="Arial"/>
          <w:color w:val="000000"/>
          <w:sz w:val="32"/>
          <w:szCs w:val="32"/>
          <w:rtl w:val="0"/>
        </w:rPr>
        <w:t xml:space="preserve">1. Core Elements Enabling NVIDIA’s Supply Chain Model</w:t>
      </w:r>
    </w:p>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NVIDIA’s supply chain model is designed around outsourced manufacturing, global partnerships, and technology-driven coordination.</w:t>
      </w:r>
    </w:p>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 The key elements include:</w:t>
      </w:r>
    </w:p>
    <w:p w:rsidR="00000000" w:rsidDel="00000000" w:rsidP="00000000" w:rsidRDefault="00000000" w:rsidRPr="00000000" w14:paraId="0000000A">
      <w:pPr>
        <w:numPr>
          <w:ilvl w:val="0"/>
          <w:numId w:val="2"/>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Fabless Manufacturing Model: NVIDIA focuses on chip design while outsourcing fabrication to partners like TSMC and Samsung.</w:t>
      </w:r>
    </w:p>
    <w:p w:rsidR="00000000" w:rsidDel="00000000" w:rsidP="00000000" w:rsidRDefault="00000000" w:rsidRPr="00000000" w14:paraId="0000000B">
      <w:pPr>
        <w:numPr>
          <w:ilvl w:val="0"/>
          <w:numId w:val="2"/>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 Strategic Supplier Relationships: Long-term collaborations ensure quality, capacity, and continuity of supply.</w:t>
      </w:r>
    </w:p>
    <w:p w:rsidR="00000000" w:rsidDel="00000000" w:rsidP="00000000" w:rsidRDefault="00000000" w:rsidRPr="00000000" w14:paraId="0000000C">
      <w:pPr>
        <w:numPr>
          <w:ilvl w:val="0"/>
          <w:numId w:val="2"/>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 AI-Driven Forecasting: Predictive analytics powered by AI helps forecast demand fluctuations for GPUs and data center components.</w:t>
      </w:r>
    </w:p>
    <w:p w:rsidR="00000000" w:rsidDel="00000000" w:rsidP="00000000" w:rsidRDefault="00000000" w:rsidRPr="00000000" w14:paraId="0000000D">
      <w:pPr>
        <w:numPr>
          <w:ilvl w:val="0"/>
          <w:numId w:val="2"/>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Resilient Logistics Network: Partnerships with global logistics providers (like DHL and FedEx) allow flexible movement of components and finished products.</w:t>
      </w:r>
    </w:p>
    <w:p w:rsidR="00000000" w:rsidDel="00000000" w:rsidP="00000000" w:rsidRDefault="00000000" w:rsidRPr="00000000" w14:paraId="0000000E">
      <w:pPr>
        <w:numPr>
          <w:ilvl w:val="0"/>
          <w:numId w:val="2"/>
        </w:numPr>
        <w:ind w:left="720" w:hanging="360"/>
        <w:rPr>
          <w:rFonts w:ascii="Arial" w:cs="Arial" w:eastAsia="Arial" w:hAnsi="Arial"/>
          <w:u w:val="none"/>
        </w:rPr>
      </w:pPr>
      <w:r w:rsidDel="00000000" w:rsidR="00000000" w:rsidRPr="00000000">
        <w:rPr>
          <w:rFonts w:ascii="Arial" w:cs="Arial" w:eastAsia="Arial" w:hAnsi="Arial"/>
          <w:rtl w:val="0"/>
        </w:rPr>
        <w:t xml:space="preserve">Centralized Procurement System: NVIDIA uses digital procurement tools to monitor supplier performance, compliance, and risk exposure.</w:t>
      </w:r>
    </w:p>
    <w:p w:rsidR="00000000" w:rsidDel="00000000" w:rsidP="00000000" w:rsidRDefault="00000000" w:rsidRPr="00000000" w14:paraId="0000000F">
      <w:pPr>
        <w:ind w:left="72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4762500" cy="25908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762500" cy="2590800"/>
                    </a:xfrm>
                    <a:prstGeom prst="rect"/>
                    <a:ln/>
                  </pic:spPr>
                </pic:pic>
              </a:graphicData>
            </a:graphic>
          </wp:inline>
        </w:drawing>
      </w:r>
      <w:r w:rsidDel="00000000" w:rsidR="00000000" w:rsidRPr="00000000">
        <w:rPr>
          <w:rFonts w:ascii="Arial" w:cs="Arial" w:eastAsia="Arial" w:hAnsi="Arial"/>
          <w:rtl w:val="0"/>
        </w:rPr>
        <w:br w:type="textWrapping"/>
      </w:r>
    </w:p>
    <w:p w:rsidR="00000000" w:rsidDel="00000000" w:rsidP="00000000" w:rsidRDefault="00000000" w:rsidRPr="00000000" w14:paraId="00000010">
      <w:pPr>
        <w:pStyle w:val="Heading2"/>
        <w:rPr>
          <w:rFonts w:ascii="Arial" w:cs="Arial" w:eastAsia="Arial" w:hAnsi="Arial"/>
          <w:color w:val="000000"/>
          <w:sz w:val="32"/>
          <w:szCs w:val="32"/>
        </w:rPr>
      </w:pPr>
      <w:r w:rsidDel="00000000" w:rsidR="00000000" w:rsidRPr="00000000">
        <w:rPr>
          <w:rFonts w:ascii="Arial" w:cs="Arial" w:eastAsia="Arial" w:hAnsi="Arial"/>
          <w:color w:val="000000"/>
          <w:sz w:val="32"/>
          <w:szCs w:val="32"/>
          <w:rtl w:val="0"/>
        </w:rPr>
        <w:t xml:space="preserve">2. Managing Inventory Amid High Demand Variability</w:t>
      </w:r>
    </w:p>
    <w:p w:rsidR="00000000" w:rsidDel="00000000" w:rsidP="00000000" w:rsidRDefault="00000000" w:rsidRPr="00000000" w14:paraId="00000011">
      <w:pPr>
        <w:rPr>
          <w:rFonts w:ascii="Arial" w:cs="Arial" w:eastAsia="Arial" w:hAnsi="Arial"/>
        </w:rPr>
      </w:pPr>
      <w:r w:rsidDel="00000000" w:rsidR="00000000" w:rsidRPr="00000000">
        <w:rPr>
          <w:rFonts w:ascii="Arial" w:cs="Arial" w:eastAsia="Arial" w:hAnsi="Arial"/>
          <w:rtl w:val="0"/>
        </w:rPr>
        <w:t xml:space="preserve">NVIDIA experiences extreme demand swings due to gaming, AI, and data center market trends. To maintain optimal inventory levels</w:t>
      </w:r>
    </w:p>
    <w:p w:rsidR="00000000" w:rsidDel="00000000" w:rsidP="00000000" w:rsidRDefault="00000000" w:rsidRPr="00000000" w14:paraId="00000012">
      <w:pPr>
        <w:numPr>
          <w:ilvl w:val="0"/>
          <w:numId w:val="3"/>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Collaborative Planning with Partners: Close coordination with OEMs and distributors ensures accurate demand signals.</w:t>
      </w:r>
    </w:p>
    <w:p w:rsidR="00000000" w:rsidDel="00000000" w:rsidP="00000000" w:rsidRDefault="00000000" w:rsidRPr="00000000" w14:paraId="00000013">
      <w:pPr>
        <w:numPr>
          <w:ilvl w:val="0"/>
          <w:numId w:val="3"/>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Buffer Stock Strategy: Critical components like GPU cores and memory modules are stocked strategically to absorb demand surges.</w:t>
      </w:r>
    </w:p>
    <w:p w:rsidR="00000000" w:rsidDel="00000000" w:rsidP="00000000" w:rsidRDefault="00000000" w:rsidRPr="00000000" w14:paraId="00000014">
      <w:pPr>
        <w:numPr>
          <w:ilvl w:val="0"/>
          <w:numId w:val="3"/>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Just-In-Time (JIT) with Flexibility: Although JIT minimizes holding costs, NVIDIA incorporates flexible contracts with suppliers to ramp up production quickly.</w:t>
      </w:r>
    </w:p>
    <w:p w:rsidR="00000000" w:rsidDel="00000000" w:rsidP="00000000" w:rsidRDefault="00000000" w:rsidRPr="00000000" w14:paraId="00000015">
      <w:pPr>
        <w:numPr>
          <w:ilvl w:val="0"/>
          <w:numId w:val="3"/>
        </w:numPr>
        <w:ind w:left="720" w:hanging="360"/>
        <w:rPr>
          <w:rFonts w:ascii="Arial" w:cs="Arial" w:eastAsia="Arial" w:hAnsi="Arial"/>
          <w:u w:val="none"/>
        </w:rPr>
      </w:pPr>
      <w:r w:rsidDel="00000000" w:rsidR="00000000" w:rsidRPr="00000000">
        <w:rPr>
          <w:rFonts w:ascii="Arial" w:cs="Arial" w:eastAsia="Arial" w:hAnsi="Arial"/>
          <w:rtl w:val="0"/>
        </w:rPr>
        <w:t xml:space="preserve"> Use of Predictive Analytics: Machine learning models analyze real-time sales and industry trends to adjust procurement dynamically.</w:t>
        <w:br w:type="textWrapping"/>
      </w:r>
      <w:r w:rsidDel="00000000" w:rsidR="00000000" w:rsidRPr="00000000">
        <w:rPr>
          <w:rtl w:val="0"/>
        </w:rPr>
      </w:r>
    </w:p>
    <w:p w:rsidR="00000000" w:rsidDel="00000000" w:rsidP="00000000" w:rsidRDefault="00000000" w:rsidRPr="00000000" w14:paraId="00000016">
      <w:pPr>
        <w:pStyle w:val="Heading2"/>
        <w:rPr>
          <w:rFonts w:ascii="Arial" w:cs="Arial" w:eastAsia="Arial" w:hAnsi="Arial"/>
          <w:color w:val="000000"/>
          <w:sz w:val="32"/>
          <w:szCs w:val="32"/>
        </w:rPr>
      </w:pPr>
      <w:r w:rsidDel="00000000" w:rsidR="00000000" w:rsidRPr="00000000">
        <w:rPr>
          <w:rFonts w:ascii="Arial" w:cs="Arial" w:eastAsia="Arial" w:hAnsi="Arial"/>
          <w:color w:val="000000"/>
          <w:sz w:val="32"/>
          <w:szCs w:val="32"/>
          <w:rtl w:val="0"/>
        </w:rPr>
        <w:t xml:space="preserve">3. Bullwhip Effect &amp; Potential Supply Chain Risks</w:t>
      </w:r>
    </w:p>
    <w:p w:rsidR="00000000" w:rsidDel="00000000" w:rsidP="00000000" w:rsidRDefault="00000000" w:rsidRPr="00000000" w14:paraId="00000017">
      <w:pPr>
        <w:rPr>
          <w:rFonts w:ascii="Arial" w:cs="Arial" w:eastAsia="Arial" w:hAnsi="Arial"/>
        </w:rPr>
      </w:pPr>
      <w:r w:rsidDel="00000000" w:rsidR="00000000" w:rsidRPr="00000000">
        <w:rPr>
          <w:rFonts w:ascii="Arial" w:cs="Arial" w:eastAsia="Arial" w:hAnsi="Arial"/>
          <w:rtl w:val="0"/>
        </w:rPr>
        <w:t xml:space="preserve">The bullwhip effect where small changes in consumer demand amplify upstream—poses several risks for NVIDIA</w:t>
      </w:r>
    </w:p>
    <w:p w:rsidR="00000000" w:rsidDel="00000000" w:rsidP="00000000" w:rsidRDefault="00000000" w:rsidRPr="00000000" w14:paraId="00000018">
      <w:pPr>
        <w:numPr>
          <w:ilvl w:val="0"/>
          <w:numId w:val="1"/>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Demand Amplification: Sudden surges in gaming or AI hardware orders can cause overproduction or shortages.</w:t>
      </w:r>
    </w:p>
    <w:p w:rsidR="00000000" w:rsidDel="00000000" w:rsidP="00000000" w:rsidRDefault="00000000" w:rsidRPr="00000000" w14:paraId="00000019">
      <w:pPr>
        <w:numPr>
          <w:ilvl w:val="0"/>
          <w:numId w:val="1"/>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Supplier Overload: Foundries like TSMC may struggle to meet increased wafer demand, causing delays.</w:t>
        <w:br w:type="textWrapping"/>
      </w:r>
    </w:p>
    <w:p w:rsidR="00000000" w:rsidDel="00000000" w:rsidP="00000000" w:rsidRDefault="00000000" w:rsidRPr="00000000" w14:paraId="0000001A">
      <w:pPr>
        <w:numPr>
          <w:ilvl w:val="0"/>
          <w:numId w:val="1"/>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 Inventory Imbalance: Excess stock of older GPU models may accumulate when demand shifts to next-gen products.</w:t>
      </w:r>
    </w:p>
    <w:p w:rsidR="00000000" w:rsidDel="00000000" w:rsidP="00000000" w:rsidRDefault="00000000" w:rsidRPr="00000000" w14:paraId="0000001B">
      <w:pPr>
        <w:numPr>
          <w:ilvl w:val="0"/>
          <w:numId w:val="1"/>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 Geopolitical &amp; Supply Risks: Dependence on semiconductor manufacturing in Taiwan and South Korea exposes NVIDIA to geopolitical and natural disaster risks.</w:t>
        <w:br w:type="textWrapping"/>
      </w:r>
    </w:p>
    <w:p w:rsidR="00000000" w:rsidDel="00000000" w:rsidP="00000000" w:rsidRDefault="00000000" w:rsidRPr="00000000" w14:paraId="0000001C">
      <w:pPr>
        <w:numPr>
          <w:ilvl w:val="0"/>
          <w:numId w:val="1"/>
        </w:numPr>
        <w:ind w:left="720" w:hanging="360"/>
        <w:rPr>
          <w:rFonts w:ascii="Arial" w:cs="Arial" w:eastAsia="Arial" w:hAnsi="Arial"/>
          <w:u w:val="none"/>
        </w:rPr>
      </w:pPr>
      <w:r w:rsidDel="00000000" w:rsidR="00000000" w:rsidRPr="00000000">
        <w:rPr>
          <w:rFonts w:ascii="Arial" w:cs="Arial" w:eastAsia="Arial" w:hAnsi="Arial"/>
          <w:rtl w:val="0"/>
        </w:rPr>
        <w:t xml:space="preserve">Transportation Disruptions: Global shipping constraints can delay component deliveries, amplifying the bullwhip effect further.</w:t>
      </w:r>
    </w:p>
    <w:p w:rsidR="00000000" w:rsidDel="00000000" w:rsidP="00000000" w:rsidRDefault="00000000" w:rsidRPr="00000000" w14:paraId="0000001D">
      <w:pPr>
        <w:ind w:left="72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2705100" cy="1590675"/>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705100" cy="1590675"/>
                    </a:xfrm>
                    <a:prstGeom prst="rect"/>
                    <a:ln/>
                  </pic:spPr>
                </pic:pic>
              </a:graphicData>
            </a:graphic>
          </wp:inline>
        </w:drawing>
      </w:r>
      <w:r w:rsidDel="00000000" w:rsidR="00000000" w:rsidRPr="00000000">
        <w:rPr>
          <w:rFonts w:ascii="Arial" w:cs="Arial" w:eastAsia="Arial" w:hAnsi="Arial"/>
          <w:rtl w:val="0"/>
        </w:rPr>
        <w:br w:type="textWrapping"/>
      </w:r>
    </w:p>
    <w:p w:rsidR="00000000" w:rsidDel="00000000" w:rsidP="00000000" w:rsidRDefault="00000000" w:rsidRPr="00000000" w14:paraId="0000001E">
      <w:pPr>
        <w:pStyle w:val="Heading2"/>
        <w:rPr>
          <w:rFonts w:ascii="Arial" w:cs="Arial" w:eastAsia="Arial" w:hAnsi="Arial"/>
          <w:color w:val="000000"/>
          <w:sz w:val="32"/>
          <w:szCs w:val="32"/>
        </w:rPr>
      </w:pPr>
      <w:r w:rsidDel="00000000" w:rsidR="00000000" w:rsidRPr="00000000">
        <w:rPr>
          <w:rFonts w:ascii="Arial" w:cs="Arial" w:eastAsia="Arial" w:hAnsi="Arial"/>
          <w:color w:val="000000"/>
          <w:sz w:val="32"/>
          <w:szCs w:val="32"/>
          <w:rtl w:val="0"/>
        </w:rPr>
        <w:t xml:space="preserve">4. Trade-offs Between Speed, Cost, and Flexibility</w:t>
      </w:r>
    </w:p>
    <w:p w:rsidR="00000000" w:rsidDel="00000000" w:rsidP="00000000" w:rsidRDefault="00000000" w:rsidRPr="00000000" w14:paraId="0000001F">
      <w:pPr>
        <w:rPr>
          <w:rFonts w:ascii="Arial" w:cs="Arial" w:eastAsia="Arial" w:hAnsi="Arial"/>
        </w:rPr>
      </w:pPr>
      <w:r w:rsidDel="00000000" w:rsidR="00000000" w:rsidRPr="00000000">
        <w:rPr>
          <w:rFonts w:ascii="Arial" w:cs="Arial" w:eastAsia="Arial" w:hAnsi="Arial"/>
          <w:rtl w:val="0"/>
        </w:rPr>
        <w:t xml:space="preserve">NVIDIA’s supply chain faces constant trade-offs:</w:t>
      </w:r>
    </w:p>
    <w:tbl>
      <w:tblPr>
        <w:tblStyle w:val="Table1"/>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0">
            <w:pPr>
              <w:rPr>
                <w:rFonts w:ascii="Arial" w:cs="Arial" w:eastAsia="Arial" w:hAnsi="Arial"/>
              </w:rPr>
            </w:pPr>
            <w:r w:rsidDel="00000000" w:rsidR="00000000" w:rsidRPr="00000000">
              <w:rPr>
                <w:rFonts w:ascii="Arial" w:cs="Arial" w:eastAsia="Arial" w:hAnsi="Arial"/>
                <w:rtl w:val="0"/>
              </w:rPr>
              <w:t xml:space="preserve">Aspect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1">
            <w:pPr>
              <w:rPr>
                <w:rFonts w:ascii="Arial" w:cs="Arial" w:eastAsia="Arial" w:hAnsi="Arial"/>
              </w:rPr>
            </w:pPr>
            <w:r w:rsidDel="00000000" w:rsidR="00000000" w:rsidRPr="00000000">
              <w:rPr>
                <w:rFonts w:ascii="Arial" w:cs="Arial" w:eastAsia="Arial" w:hAnsi="Arial"/>
                <w:rtl w:val="0"/>
              </w:rPr>
              <w:t xml:space="preserve">Trade-off</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2">
            <w:pPr>
              <w:rPr>
                <w:rFonts w:ascii="Arial" w:cs="Arial" w:eastAsia="Arial" w:hAnsi="Arial"/>
              </w:rPr>
            </w:pPr>
            <w:r w:rsidDel="00000000" w:rsidR="00000000" w:rsidRPr="00000000">
              <w:rPr>
                <w:rFonts w:ascii="Arial" w:cs="Arial" w:eastAsia="Arial" w:hAnsi="Arial"/>
                <w:rtl w:val="0"/>
              </w:rPr>
              <w:t xml:space="preserve">Example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3">
            <w:pPr>
              <w:rPr>
                <w:rFonts w:ascii="Arial" w:cs="Arial" w:eastAsia="Arial" w:hAnsi="Arial"/>
              </w:rPr>
            </w:pPr>
            <w:r w:rsidDel="00000000" w:rsidR="00000000" w:rsidRPr="00000000">
              <w:rPr>
                <w:rFonts w:ascii="Arial" w:cs="Arial" w:eastAsia="Arial" w:hAnsi="Arial"/>
                <w:rtl w:val="0"/>
              </w:rPr>
              <w:t xml:space="preserve">Speed vs. Cost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4">
            <w:pPr>
              <w:rPr>
                <w:rFonts w:ascii="Arial" w:cs="Arial" w:eastAsia="Arial" w:hAnsi="Arial"/>
              </w:rPr>
            </w:pPr>
            <w:r w:rsidDel="00000000" w:rsidR="00000000" w:rsidRPr="00000000">
              <w:rPr>
                <w:rFonts w:ascii="Arial" w:cs="Arial" w:eastAsia="Arial" w:hAnsi="Arial"/>
                <w:rtl w:val="0"/>
              </w:rPr>
              <w:t xml:space="preserve">Faster sourcing from premium suppliers increases cost.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5">
            <w:pPr>
              <w:rPr>
                <w:rFonts w:ascii="Arial" w:cs="Arial" w:eastAsia="Arial" w:hAnsi="Arial"/>
              </w:rPr>
            </w:pPr>
            <w:r w:rsidDel="00000000" w:rsidR="00000000" w:rsidRPr="00000000">
              <w:rPr>
                <w:rFonts w:ascii="Arial" w:cs="Arial" w:eastAsia="Arial" w:hAnsi="Arial"/>
                <w:rtl w:val="0"/>
              </w:rPr>
              <w:t xml:space="preserve">Paying TSMC priority fees for advanced nodes.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6">
            <w:pPr>
              <w:rPr>
                <w:rFonts w:ascii="Arial" w:cs="Arial" w:eastAsia="Arial" w:hAnsi="Arial"/>
              </w:rPr>
            </w:pPr>
            <w:r w:rsidDel="00000000" w:rsidR="00000000" w:rsidRPr="00000000">
              <w:rPr>
                <w:rFonts w:ascii="Arial" w:cs="Arial" w:eastAsia="Arial" w:hAnsi="Arial"/>
                <w:rtl w:val="0"/>
              </w:rPr>
              <w:t xml:space="preserve">Cost vs. Flexibility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7">
            <w:pPr>
              <w:rPr>
                <w:rFonts w:ascii="Arial" w:cs="Arial" w:eastAsia="Arial" w:hAnsi="Arial"/>
              </w:rPr>
            </w:pPr>
            <w:r w:rsidDel="00000000" w:rsidR="00000000" w:rsidRPr="00000000">
              <w:rPr>
                <w:rFonts w:ascii="Arial" w:cs="Arial" w:eastAsia="Arial" w:hAnsi="Arial"/>
                <w:rtl w:val="0"/>
              </w:rPr>
              <w:t xml:space="preserve">Flexible supplier contracts reduce risk but increase procurement cost.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8">
            <w:pPr>
              <w:rPr>
                <w:rFonts w:ascii="Arial" w:cs="Arial" w:eastAsia="Arial" w:hAnsi="Arial"/>
              </w:rPr>
            </w:pPr>
            <w:r w:rsidDel="00000000" w:rsidR="00000000" w:rsidRPr="00000000">
              <w:rPr>
                <w:rFonts w:ascii="Arial" w:cs="Arial" w:eastAsia="Arial" w:hAnsi="Arial"/>
                <w:rtl w:val="0"/>
              </w:rPr>
              <w:t xml:space="preserve">Maintaining multiple vendors for memory chips.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9">
            <w:pPr>
              <w:rPr>
                <w:rFonts w:ascii="Arial" w:cs="Arial" w:eastAsia="Arial" w:hAnsi="Arial"/>
              </w:rPr>
            </w:pPr>
            <w:r w:rsidDel="00000000" w:rsidR="00000000" w:rsidRPr="00000000">
              <w:rPr>
                <w:rFonts w:ascii="Arial" w:cs="Arial" w:eastAsia="Arial" w:hAnsi="Arial"/>
                <w:rtl w:val="0"/>
              </w:rPr>
              <w:t xml:space="preserve">Speed vs. Flexibility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A">
            <w:pPr>
              <w:rPr>
                <w:rFonts w:ascii="Arial" w:cs="Arial" w:eastAsia="Arial" w:hAnsi="Arial"/>
              </w:rPr>
            </w:pPr>
            <w:r w:rsidDel="00000000" w:rsidR="00000000" w:rsidRPr="00000000">
              <w:rPr>
                <w:rFonts w:ascii="Arial" w:cs="Arial" w:eastAsia="Arial" w:hAnsi="Arial"/>
                <w:rtl w:val="0"/>
              </w:rPr>
              <w:t xml:space="preserve">Fast-moving product launches limit design customization.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B">
            <w:pPr>
              <w:rPr>
                <w:rFonts w:ascii="Arial" w:cs="Arial" w:eastAsia="Arial" w:hAnsi="Arial"/>
              </w:rPr>
            </w:pPr>
            <w:r w:rsidDel="00000000" w:rsidR="00000000" w:rsidRPr="00000000">
              <w:rPr>
                <w:rFonts w:ascii="Arial" w:cs="Arial" w:eastAsia="Arial" w:hAnsi="Arial"/>
                <w:rtl w:val="0"/>
              </w:rPr>
              <w:t xml:space="preserve">Rapid RTX GPU rollouts reduce ability to fine-tune yields.</w:t>
            </w:r>
          </w:p>
        </w:tc>
      </w:tr>
    </w:tbl>
    <w:p w:rsidR="00000000" w:rsidDel="00000000" w:rsidP="00000000" w:rsidRDefault="00000000" w:rsidRPr="00000000" w14:paraId="0000002C">
      <w:pPr>
        <w:rPr>
          <w:rFonts w:ascii="Arial" w:cs="Arial" w:eastAsia="Arial" w:hAnsi="Arial"/>
          <w:sz w:val="32"/>
          <w:szCs w:val="32"/>
        </w:rPr>
      </w:pPr>
      <w:r w:rsidDel="00000000" w:rsidR="00000000" w:rsidRPr="00000000">
        <w:rPr>
          <w:rFonts w:ascii="Arial" w:cs="Arial" w:eastAsia="Arial" w:hAnsi="Arial"/>
          <w:rtl w:val="0"/>
        </w:rPr>
        <w:t xml:space="preserve">To balance these, NVIDIA uses strategic supplier segmentation and dual-sourcing where possible.</w:t>
        <w:br w:type="textWrapping"/>
      </w:r>
      <w:r w:rsidDel="00000000" w:rsidR="00000000" w:rsidRPr="00000000">
        <w:rPr>
          <w:rtl w:val="0"/>
        </w:rPr>
      </w:r>
    </w:p>
    <w:p w:rsidR="00000000" w:rsidDel="00000000" w:rsidP="00000000" w:rsidRDefault="00000000" w:rsidRPr="00000000" w14:paraId="0000002D">
      <w:pPr>
        <w:pStyle w:val="Heading2"/>
        <w:rPr>
          <w:rFonts w:ascii="Arial" w:cs="Arial" w:eastAsia="Arial" w:hAnsi="Arial"/>
          <w:color w:val="000000"/>
          <w:sz w:val="32"/>
          <w:szCs w:val="32"/>
        </w:rPr>
      </w:pPr>
      <w:r w:rsidDel="00000000" w:rsidR="00000000" w:rsidRPr="00000000">
        <w:rPr>
          <w:rFonts w:ascii="Arial" w:cs="Arial" w:eastAsia="Arial" w:hAnsi="Arial"/>
          <w:color w:val="000000"/>
          <w:sz w:val="32"/>
          <w:szCs w:val="32"/>
          <w:rtl w:val="0"/>
        </w:rPr>
        <w:t xml:space="preserve">5. Suggested Improvements for Sustainable &amp; Competitive Sourcing</w:t>
      </w:r>
    </w:p>
    <w:p w:rsidR="00000000" w:rsidDel="00000000" w:rsidP="00000000" w:rsidRDefault="00000000" w:rsidRPr="00000000" w14:paraId="0000002E">
      <w:pPr>
        <w:rPr>
          <w:rFonts w:ascii="Arial" w:cs="Arial" w:eastAsia="Arial" w:hAnsi="Arial"/>
        </w:rPr>
      </w:pPr>
      <w:r w:rsidDel="00000000" w:rsidR="00000000" w:rsidRPr="00000000">
        <w:rPr>
          <w:rFonts w:ascii="Arial" w:cs="Arial" w:eastAsia="Arial" w:hAnsi="Arial"/>
          <w:rtl w:val="0"/>
        </w:rPr>
        <w:t xml:space="preserve">To enhance sustainability without losing competitiveness:</w:t>
        <w:br w:type="textWrapping"/>
        <w:t xml:space="preserve">- Localized Sourcing: Partner with regional chip assembly and packaging facilities to reduce logistics emissions and geopolitical exposure.</w:t>
        <w:br w:type="textWrapping"/>
        <w:t xml:space="preserve">- Green Procurement: Encourage suppliers to adopt renewable energy (TSMC already committed to 100% renewable by 2040).</w:t>
        <w:br w:type="textWrapping"/>
        <w:t xml:space="preserve">- Circular Supply Chain: Reuse and recycle defective chips and returned hardware to minimize electronic waste.</w:t>
        <w:br w:type="textWrapping"/>
        <w:t xml:space="preserve">- Blockchain Traceability: Implement blockchain for transparent tracking of materials and ethical sourcing.</w:t>
        <w:br w:type="textWrapping"/>
        <w:t xml:space="preserve">- Supplier Diversification: Expand supplier base to include emerging fabs in the US and Europe (e.g., Intel Foundry Services) to reduce over-reliance on Asia.</w:t>
        <w:br w:type="textWrapping"/>
      </w:r>
    </w:p>
    <w:p w:rsidR="00000000" w:rsidDel="00000000" w:rsidP="00000000" w:rsidRDefault="00000000" w:rsidRPr="00000000" w14:paraId="0000002F">
      <w:pPr>
        <w:rPr>
          <w:rFonts w:ascii="Arial" w:cs="Arial" w:eastAsia="Arial" w:hAnsi="Arial"/>
        </w:rPr>
      </w:pPr>
      <w:r w:rsidDel="00000000" w:rsidR="00000000" w:rsidRPr="00000000">
        <w:rPr>
          <w:rtl w:val="0"/>
        </w:rPr>
      </w:r>
    </w:p>
    <w:p w:rsidR="00000000" w:rsidDel="00000000" w:rsidP="00000000" w:rsidRDefault="00000000" w:rsidRPr="00000000" w14:paraId="00000030">
      <w:pPr>
        <w:rPr>
          <w:rFonts w:ascii="Arial" w:cs="Arial" w:eastAsia="Arial" w:hAnsi="Arial"/>
        </w:rPr>
      </w:pPr>
      <w:r w:rsidDel="00000000" w:rsidR="00000000" w:rsidRPr="00000000">
        <w:rPr>
          <w:rtl w:val="0"/>
        </w:rPr>
      </w:r>
    </w:p>
    <w:p w:rsidR="00000000" w:rsidDel="00000000" w:rsidP="00000000" w:rsidRDefault="00000000" w:rsidRPr="00000000" w14:paraId="00000031">
      <w:pPr>
        <w:rPr>
          <w:rFonts w:ascii="Arial" w:cs="Arial" w:eastAsia="Arial" w:hAnsi="Arial"/>
        </w:rPr>
      </w:pPr>
      <w:r w:rsidDel="00000000" w:rsidR="00000000" w:rsidRPr="00000000">
        <w:rPr>
          <w:rtl w:val="0"/>
        </w:rPr>
      </w:r>
    </w:p>
    <w:p w:rsidR="00000000" w:rsidDel="00000000" w:rsidP="00000000" w:rsidRDefault="00000000" w:rsidRPr="00000000" w14:paraId="00000032">
      <w:pPr>
        <w:rPr>
          <w:rFonts w:ascii="Arial" w:cs="Arial" w:eastAsia="Arial" w:hAnsi="Arial"/>
        </w:rPr>
      </w:pPr>
      <w:r w:rsidDel="00000000" w:rsidR="00000000" w:rsidRPr="00000000">
        <w:rPr>
          <w:rtl w:val="0"/>
        </w:rPr>
      </w:r>
    </w:p>
    <w:p w:rsidR="00000000" w:rsidDel="00000000" w:rsidP="00000000" w:rsidRDefault="00000000" w:rsidRPr="00000000" w14:paraId="00000033">
      <w:pPr>
        <w:pStyle w:val="Heading2"/>
        <w:rPr>
          <w:rFonts w:ascii="Arial" w:cs="Arial" w:eastAsia="Arial" w:hAnsi="Arial"/>
          <w:color w:val="000000"/>
          <w:sz w:val="32"/>
          <w:szCs w:val="32"/>
        </w:rPr>
      </w:pPr>
      <w:r w:rsidDel="00000000" w:rsidR="00000000" w:rsidRPr="00000000">
        <w:rPr>
          <w:rFonts w:ascii="Arial" w:cs="Arial" w:eastAsia="Arial" w:hAnsi="Arial"/>
          <w:color w:val="000000"/>
          <w:sz w:val="32"/>
          <w:szCs w:val="32"/>
          <w:rtl w:val="0"/>
        </w:rPr>
        <w:t xml:space="preserve">6. Functional &amp; Cross-Functional Drivers in Action</w:t>
      </w:r>
    </w:p>
    <w:p w:rsidR="00000000" w:rsidDel="00000000" w:rsidP="00000000" w:rsidRDefault="00000000" w:rsidRPr="00000000" w14:paraId="00000034">
      <w:pPr>
        <w:rPr>
          <w:rFonts w:ascii="Arial" w:cs="Arial" w:eastAsia="Arial" w:hAnsi="Arial"/>
          <w:b w:val="1"/>
        </w:rPr>
      </w:pPr>
      <w:r w:rsidDel="00000000" w:rsidR="00000000" w:rsidRPr="00000000">
        <w:rPr>
          <w:rFonts w:ascii="Arial" w:cs="Arial" w:eastAsia="Arial" w:hAnsi="Arial"/>
          <w:b w:val="1"/>
          <w:rtl w:val="0"/>
        </w:rPr>
        <w:t xml:space="preserve">Functional Drivers:</w:t>
      </w:r>
    </w:p>
    <w:tbl>
      <w:tblPr>
        <w:tblStyle w:val="Table2"/>
        <w:tblW w:w="8640.0" w:type="dxa"/>
        <w:jc w:val="left"/>
        <w:tblInd w:w="-115.0" w:type="dxa"/>
        <w:tblLayout w:type="fixed"/>
        <w:tblLook w:val="0400"/>
      </w:tblPr>
      <w:tblGrid>
        <w:gridCol w:w="4320"/>
        <w:gridCol w:w="4320"/>
        <w:tblGridChange w:id="0">
          <w:tblGrid>
            <w:gridCol w:w="4320"/>
            <w:gridCol w:w="432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5">
            <w:pPr>
              <w:rPr>
                <w:rFonts w:ascii="Arial" w:cs="Arial" w:eastAsia="Arial" w:hAnsi="Arial"/>
              </w:rPr>
            </w:pPr>
            <w:r w:rsidDel="00000000" w:rsidR="00000000" w:rsidRPr="00000000">
              <w:rPr>
                <w:rFonts w:ascii="Arial" w:cs="Arial" w:eastAsia="Arial" w:hAnsi="Arial"/>
                <w:rtl w:val="0"/>
              </w:rPr>
              <w:t xml:space="preserve">Functional Drivers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6">
            <w:pPr>
              <w:rPr>
                <w:rFonts w:ascii="Arial" w:cs="Arial" w:eastAsia="Arial" w:hAnsi="Arial"/>
              </w:rPr>
            </w:pPr>
            <w:r w:rsidDel="00000000" w:rsidR="00000000" w:rsidRPr="00000000">
              <w:rPr>
                <w:rFonts w:ascii="Arial" w:cs="Arial" w:eastAsia="Arial" w:hAnsi="Arial"/>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7">
            <w:pPr>
              <w:rPr>
                <w:rFonts w:ascii="Arial" w:cs="Arial" w:eastAsia="Arial" w:hAnsi="Arial"/>
              </w:rPr>
            </w:pPr>
            <w:r w:rsidDel="00000000" w:rsidR="00000000" w:rsidRPr="00000000">
              <w:rPr>
                <w:rFonts w:ascii="Arial" w:cs="Arial" w:eastAsia="Arial" w:hAnsi="Arial"/>
                <w:rtl w:val="0"/>
              </w:rPr>
              <w:t xml:space="preserve">Facilities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8">
            <w:pPr>
              <w:rPr>
                <w:rFonts w:ascii="Arial" w:cs="Arial" w:eastAsia="Arial" w:hAnsi="Arial"/>
              </w:rPr>
            </w:pPr>
            <w:r w:rsidDel="00000000" w:rsidR="00000000" w:rsidRPr="00000000">
              <w:rPr>
                <w:rFonts w:ascii="Arial" w:cs="Arial" w:eastAsia="Arial" w:hAnsi="Arial"/>
                <w:rtl w:val="0"/>
              </w:rPr>
              <w:t xml:space="preserve">Global network of contract manufacturers and assembly partners.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9">
            <w:pPr>
              <w:rPr>
                <w:rFonts w:ascii="Arial" w:cs="Arial" w:eastAsia="Arial" w:hAnsi="Arial"/>
              </w:rPr>
            </w:pPr>
            <w:r w:rsidDel="00000000" w:rsidR="00000000" w:rsidRPr="00000000">
              <w:rPr>
                <w:rFonts w:ascii="Arial" w:cs="Arial" w:eastAsia="Arial" w:hAnsi="Arial"/>
                <w:rtl w:val="0"/>
              </w:rPr>
              <w:t xml:space="preserve">Inventory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A">
            <w:pPr>
              <w:rPr>
                <w:rFonts w:ascii="Arial" w:cs="Arial" w:eastAsia="Arial" w:hAnsi="Arial"/>
              </w:rPr>
            </w:pPr>
            <w:r w:rsidDel="00000000" w:rsidR="00000000" w:rsidRPr="00000000">
              <w:rPr>
                <w:rFonts w:ascii="Arial" w:cs="Arial" w:eastAsia="Arial" w:hAnsi="Arial"/>
                <w:rtl w:val="0"/>
              </w:rPr>
              <w:t xml:space="preserve">Optimized through predictive AI systems and flexible contracts.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B">
            <w:pPr>
              <w:rPr>
                <w:rFonts w:ascii="Arial" w:cs="Arial" w:eastAsia="Arial" w:hAnsi="Arial"/>
              </w:rPr>
            </w:pPr>
            <w:r w:rsidDel="00000000" w:rsidR="00000000" w:rsidRPr="00000000">
              <w:rPr>
                <w:rFonts w:ascii="Arial" w:cs="Arial" w:eastAsia="Arial" w:hAnsi="Arial"/>
                <w:rtl w:val="0"/>
              </w:rPr>
              <w:t xml:space="preserve">Transportation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C">
            <w:pPr>
              <w:rPr>
                <w:rFonts w:ascii="Arial" w:cs="Arial" w:eastAsia="Arial" w:hAnsi="Arial"/>
              </w:rPr>
            </w:pPr>
            <w:r w:rsidDel="00000000" w:rsidR="00000000" w:rsidRPr="00000000">
              <w:rPr>
                <w:rFonts w:ascii="Arial" w:cs="Arial" w:eastAsia="Arial" w:hAnsi="Arial"/>
                <w:rtl w:val="0"/>
              </w:rPr>
              <w:t xml:space="preserve">Managed via global logistics partners with real-time tracking.</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D">
            <w:pPr>
              <w:rPr>
                <w:rFonts w:ascii="Arial" w:cs="Arial" w:eastAsia="Arial" w:hAnsi="Arial"/>
              </w:rPr>
            </w:pPr>
            <w:r w:rsidDel="00000000" w:rsidR="00000000" w:rsidRPr="00000000">
              <w:rPr>
                <w:rFonts w:ascii="Arial" w:cs="Arial" w:eastAsia="Arial" w:hAnsi="Arial"/>
                <w:rtl w:val="0"/>
              </w:rPr>
              <w:t xml:space="preserve">Information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E">
            <w:pPr>
              <w:rPr>
                <w:rFonts w:ascii="Arial" w:cs="Arial" w:eastAsia="Arial" w:hAnsi="Arial"/>
              </w:rPr>
            </w:pPr>
            <w:r w:rsidDel="00000000" w:rsidR="00000000" w:rsidRPr="00000000">
              <w:rPr>
                <w:rFonts w:ascii="Arial" w:cs="Arial" w:eastAsia="Arial" w:hAnsi="Arial"/>
                <w:rtl w:val="0"/>
              </w:rPr>
              <w:t xml:space="preserve">AI-powered analytics and ERP systems for end-to-end visibility.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F">
            <w:pPr>
              <w:rPr>
                <w:rFonts w:ascii="Arial" w:cs="Arial" w:eastAsia="Arial" w:hAnsi="Arial"/>
              </w:rPr>
            </w:pPr>
            <w:r w:rsidDel="00000000" w:rsidR="00000000" w:rsidRPr="00000000">
              <w:rPr>
                <w:rFonts w:ascii="Arial" w:cs="Arial" w:eastAsia="Arial" w:hAnsi="Arial"/>
                <w:rtl w:val="0"/>
              </w:rPr>
              <w:t xml:space="preserve">Sourcing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0">
            <w:pPr>
              <w:rPr>
                <w:rFonts w:ascii="Arial" w:cs="Arial" w:eastAsia="Arial" w:hAnsi="Arial"/>
              </w:rPr>
            </w:pPr>
            <w:r w:rsidDel="00000000" w:rsidR="00000000" w:rsidRPr="00000000">
              <w:rPr>
                <w:rFonts w:ascii="Arial" w:cs="Arial" w:eastAsia="Arial" w:hAnsi="Arial"/>
                <w:rtl w:val="0"/>
              </w:rPr>
              <w:t xml:space="preserve">Strategic, multi-tiered partnerships with semiconductor and component suppliers.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1">
            <w:pPr>
              <w:rPr>
                <w:rFonts w:ascii="Arial" w:cs="Arial" w:eastAsia="Arial" w:hAnsi="Arial"/>
              </w:rPr>
            </w:pPr>
            <w:r w:rsidDel="00000000" w:rsidR="00000000" w:rsidRPr="00000000">
              <w:rPr>
                <w:rFonts w:ascii="Arial" w:cs="Arial" w:eastAsia="Arial" w:hAnsi="Arial"/>
                <w:rtl w:val="0"/>
              </w:rPr>
              <w:t xml:space="preserve">Pricing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2">
            <w:pPr>
              <w:rPr>
                <w:rFonts w:ascii="Arial" w:cs="Arial" w:eastAsia="Arial" w:hAnsi="Arial"/>
              </w:rPr>
            </w:pPr>
            <w:r w:rsidDel="00000000" w:rsidR="00000000" w:rsidRPr="00000000">
              <w:rPr>
                <w:rFonts w:ascii="Arial" w:cs="Arial" w:eastAsia="Arial" w:hAnsi="Arial"/>
                <w:rtl w:val="0"/>
              </w:rPr>
              <w:t xml:space="preserve">Dynamic pricing strategies for GPUs based on market trends and availability.</w:t>
            </w:r>
          </w:p>
        </w:tc>
      </w:tr>
    </w:tbl>
    <w:p w:rsidR="00000000" w:rsidDel="00000000" w:rsidP="00000000" w:rsidRDefault="00000000" w:rsidRPr="00000000" w14:paraId="00000043">
      <w:pPr>
        <w:rPr>
          <w:rFonts w:ascii="Arial" w:cs="Arial" w:eastAsia="Arial" w:hAnsi="Arial"/>
          <w:b w:val="1"/>
        </w:rPr>
      </w:pPr>
      <w:r w:rsidDel="00000000" w:rsidR="00000000" w:rsidRPr="00000000">
        <w:rPr>
          <w:rFonts w:ascii="Arial" w:cs="Arial" w:eastAsia="Arial" w:hAnsi="Arial"/>
          <w:rtl w:val="0"/>
        </w:rPr>
        <w:br w:type="textWrapping"/>
      </w:r>
      <w:r w:rsidDel="00000000" w:rsidR="00000000" w:rsidRPr="00000000">
        <w:rPr>
          <w:rFonts w:ascii="Arial" w:cs="Arial" w:eastAsia="Arial" w:hAnsi="Arial"/>
          <w:b w:val="1"/>
          <w:rtl w:val="0"/>
        </w:rPr>
        <w:t xml:space="preserve">Cross-Functional Drivers:</w:t>
      </w:r>
    </w:p>
    <w:tbl>
      <w:tblPr>
        <w:tblStyle w:val="Table3"/>
        <w:tblW w:w="8640.0" w:type="dxa"/>
        <w:jc w:val="left"/>
        <w:tblInd w:w="-115.0" w:type="dxa"/>
        <w:tblLayout w:type="fixed"/>
        <w:tblLook w:val="0400"/>
      </w:tblPr>
      <w:tblGrid>
        <w:gridCol w:w="4320"/>
        <w:gridCol w:w="4320"/>
        <w:tblGridChange w:id="0">
          <w:tblGrid>
            <w:gridCol w:w="4320"/>
            <w:gridCol w:w="432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4">
            <w:pPr>
              <w:rPr>
                <w:rFonts w:ascii="Arial" w:cs="Arial" w:eastAsia="Arial" w:hAnsi="Arial"/>
              </w:rPr>
            </w:pPr>
            <w:r w:rsidDel="00000000" w:rsidR="00000000" w:rsidRPr="00000000">
              <w:rPr>
                <w:rFonts w:ascii="Arial" w:cs="Arial" w:eastAsia="Arial" w:hAnsi="Arial"/>
                <w:rtl w:val="0"/>
              </w:rPr>
              <w:t xml:space="preserve">Cross-Functional Drivers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5">
            <w:pPr>
              <w:rPr>
                <w:rFonts w:ascii="Arial" w:cs="Arial" w:eastAsia="Arial" w:hAnsi="Arial"/>
              </w:rPr>
            </w:pPr>
            <w:r w:rsidDel="00000000" w:rsidR="00000000" w:rsidRPr="00000000">
              <w:rPr>
                <w:rFonts w:ascii="Arial" w:cs="Arial" w:eastAsia="Arial" w:hAnsi="Arial"/>
                <w:rtl w:val="0"/>
              </w:rPr>
              <w:t xml:space="preserve">Role in SCM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6">
            <w:pPr>
              <w:rPr>
                <w:rFonts w:ascii="Arial" w:cs="Arial" w:eastAsia="Arial" w:hAnsi="Arial"/>
              </w:rPr>
            </w:pPr>
            <w:r w:rsidDel="00000000" w:rsidR="00000000" w:rsidRPr="00000000">
              <w:rPr>
                <w:rFonts w:ascii="Arial" w:cs="Arial" w:eastAsia="Arial" w:hAnsi="Arial"/>
                <w:rtl w:val="0"/>
              </w:rPr>
              <w:t xml:space="preserve">Technology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7">
            <w:pPr>
              <w:rPr>
                <w:rFonts w:ascii="Arial" w:cs="Arial" w:eastAsia="Arial" w:hAnsi="Arial"/>
              </w:rPr>
            </w:pPr>
            <w:r w:rsidDel="00000000" w:rsidR="00000000" w:rsidRPr="00000000">
              <w:rPr>
                <w:rFonts w:ascii="Arial" w:cs="Arial" w:eastAsia="Arial" w:hAnsi="Arial"/>
                <w:rtl w:val="0"/>
              </w:rPr>
              <w:t xml:space="preserve">AI, IoT, and digital twins for forecasting and supply chain simulation.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8">
            <w:pPr>
              <w:rPr>
                <w:rFonts w:ascii="Arial" w:cs="Arial" w:eastAsia="Arial" w:hAnsi="Arial"/>
              </w:rPr>
            </w:pPr>
            <w:r w:rsidDel="00000000" w:rsidR="00000000" w:rsidRPr="00000000">
              <w:rPr>
                <w:rFonts w:ascii="Arial" w:cs="Arial" w:eastAsia="Arial" w:hAnsi="Arial"/>
                <w:rtl w:val="0"/>
              </w:rPr>
              <w:t xml:space="preserve">Sustainability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9">
            <w:pPr>
              <w:rPr>
                <w:rFonts w:ascii="Arial" w:cs="Arial" w:eastAsia="Arial" w:hAnsi="Arial"/>
              </w:rPr>
            </w:pPr>
            <w:r w:rsidDel="00000000" w:rsidR="00000000" w:rsidRPr="00000000">
              <w:rPr>
                <w:rFonts w:ascii="Arial" w:cs="Arial" w:eastAsia="Arial" w:hAnsi="Arial"/>
                <w:rtl w:val="0"/>
              </w:rPr>
              <w:t xml:space="preserve">Green supply initiatives and carbon-reduction goals.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A">
            <w:pPr>
              <w:rPr>
                <w:rFonts w:ascii="Arial" w:cs="Arial" w:eastAsia="Arial" w:hAnsi="Arial"/>
              </w:rPr>
            </w:pPr>
            <w:r w:rsidDel="00000000" w:rsidR="00000000" w:rsidRPr="00000000">
              <w:rPr>
                <w:rFonts w:ascii="Arial" w:cs="Arial" w:eastAsia="Arial" w:hAnsi="Arial"/>
                <w:rtl w:val="0"/>
              </w:rPr>
              <w:t xml:space="preserve">Risk Management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B">
            <w:pPr>
              <w:rPr>
                <w:rFonts w:ascii="Arial" w:cs="Arial" w:eastAsia="Arial" w:hAnsi="Arial"/>
              </w:rPr>
            </w:pPr>
            <w:r w:rsidDel="00000000" w:rsidR="00000000" w:rsidRPr="00000000">
              <w:rPr>
                <w:rFonts w:ascii="Arial" w:cs="Arial" w:eastAsia="Arial" w:hAnsi="Arial"/>
                <w:rtl w:val="0"/>
              </w:rPr>
              <w:t xml:space="preserve">Diversified sourcing, insurance, and scenario planning.</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C">
            <w:pPr>
              <w:rPr>
                <w:rFonts w:ascii="Arial" w:cs="Arial" w:eastAsia="Arial" w:hAnsi="Arial"/>
              </w:rPr>
            </w:pPr>
            <w:r w:rsidDel="00000000" w:rsidR="00000000" w:rsidRPr="00000000">
              <w:rPr>
                <w:rFonts w:ascii="Arial" w:cs="Arial" w:eastAsia="Arial" w:hAnsi="Arial"/>
                <w:rtl w:val="0"/>
              </w:rPr>
              <w:t xml:space="preserve">Collaboration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D">
            <w:pPr>
              <w:rPr>
                <w:rFonts w:ascii="Arial" w:cs="Arial" w:eastAsia="Arial" w:hAnsi="Arial"/>
              </w:rPr>
            </w:pPr>
            <w:r w:rsidDel="00000000" w:rsidR="00000000" w:rsidRPr="00000000">
              <w:rPr>
                <w:rFonts w:ascii="Arial" w:cs="Arial" w:eastAsia="Arial" w:hAnsi="Arial"/>
                <w:rtl w:val="0"/>
              </w:rPr>
              <w:t xml:space="preserve">Strong partnerships with suppliers, logistics firms, and OEMs.</w:t>
            </w:r>
          </w:p>
        </w:tc>
      </w:tr>
    </w:tbl>
    <w:p w:rsidR="00000000" w:rsidDel="00000000" w:rsidP="00000000" w:rsidRDefault="00000000" w:rsidRPr="00000000" w14:paraId="0000004E">
      <w:pPr>
        <w:pStyle w:val="Heading2"/>
        <w:rPr>
          <w:rFonts w:ascii="Arial" w:cs="Arial" w:eastAsia="Arial" w:hAnsi="Arial"/>
          <w:color w:val="000000"/>
          <w:sz w:val="32"/>
          <w:szCs w:val="32"/>
        </w:rPr>
      </w:pPr>
      <w:r w:rsidDel="00000000" w:rsidR="00000000" w:rsidRPr="00000000">
        <w:rPr>
          <w:rFonts w:ascii="Arial" w:cs="Arial" w:eastAsia="Arial" w:hAnsi="Arial"/>
          <w:color w:val="000000"/>
          <w:sz w:val="32"/>
          <w:szCs w:val="32"/>
          <w:rtl w:val="0"/>
        </w:rPr>
        <w:t xml:space="preserve">Summary</w:t>
      </w:r>
    </w:p>
    <w:p w:rsidR="00000000" w:rsidDel="00000000" w:rsidP="00000000" w:rsidRDefault="00000000" w:rsidRPr="00000000" w14:paraId="0000004F">
      <w:pPr>
        <w:rPr>
          <w:rFonts w:ascii="Arial" w:cs="Arial" w:eastAsia="Arial" w:hAnsi="Arial"/>
        </w:rPr>
      </w:pPr>
      <w:r w:rsidDel="00000000" w:rsidR="00000000" w:rsidRPr="00000000">
        <w:rPr>
          <w:rFonts w:ascii="Arial" w:cs="Arial" w:eastAsia="Arial" w:hAnsi="Arial"/>
          <w:rtl w:val="0"/>
        </w:rPr>
        <w:t xml:space="preserve">NVIDIA’s global sourcing and risk management model thrives on strategic partnerships, advanced analytics, and operational agility. While it successfully manages volatility in the semiconductor market, future sustainability will depend on geographical diversification, digital transparency, and circular economy adoption.</w:t>
        <w:br w:type="textWrapping"/>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