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" w:right="0" w:firstLine="0"/>
        <w:jc w:val="center"/>
        <w:rPr>
          <w:rFonts w:ascii="Calibri" w:cs="Calibri" w:eastAsia="Calibri" w:hAnsi="Calibri"/>
          <w:b w:val="1"/>
          <w:color w:val="1f497d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44"/>
          <w:szCs w:val="44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44"/>
          <w:szCs w:val="44"/>
          <w:u w:val="none"/>
          <w:shd w:fill="auto" w:val="clear"/>
          <w:vertAlign w:val="baseline"/>
          <w:rtl w:val="0"/>
        </w:rPr>
        <w:t xml:space="preserve">Penetration Testing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report document hereby describes the proceedings and results of a Black Box security assessment conducted against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Week 10 Labs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report hereby lists the findings and corresponding best practice mitigation actions and recommendations.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the assessment was to uncover vulnerabilities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10 Labs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provide a final security assessment report comprising vulnerabilities, remediation strategy and recommendation guidelines to help mitigate the identified vulnerabilities and risks during the activity.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defines the scope and boundaries of the project.</w:t>
      </w:r>
    </w:p>
    <w:tbl>
      <w:tblPr>
        <w:tblStyle w:val="Table1"/>
        <w:tblW w:w="8915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000"/>
      </w:tblPr>
      <w:tblGrid>
        <w:gridCol w:w="1751"/>
        <w:gridCol w:w="7164"/>
        <w:tblGridChange w:id="0">
          <w:tblGrid>
            <w:gridCol w:w="1751"/>
            <w:gridCol w:w="7164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Name</w:t>
            </w:r>
          </w:p>
        </w:tc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2f7fd" w:val="clear"/>
              <w:spacing w:after="100" w:before="0" w:lineRule="auto"/>
              <w:ind w:left="0" w:firstLine="0"/>
              <w:jc w:val="left"/>
              <w:rPr>
                <w:color w:val="1155cc"/>
                <w:sz w:val="23"/>
                <w:szCs w:val="23"/>
              </w:rPr>
            </w:pPr>
            <w:bookmarkStart w:colFirst="0" w:colLast="0" w:name="_o18se1qhrltm" w:id="2"/>
            <w:bookmarkEnd w:id="2"/>
            <w:r w:rsidDel="00000000" w:rsidR="00000000" w:rsidRPr="00000000">
              <w:rPr>
                <w:color w:val="2b2b2b"/>
                <w:sz w:val="22"/>
                <w:szCs w:val="22"/>
                <w:rtl w:val="0"/>
              </w:rPr>
              <w:t xml:space="preserve">Lab 1-CAPTURE THE FLAG(CTF)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hanging="142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1t3h5sf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3.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Outlined is a Black Box Application Security assessment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10 Labs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2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ub-labs: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12 Sub-labs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142" w:hanging="14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7.0" w:type="dxa"/>
        <w:jc w:val="left"/>
        <w:tblInd w:w="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1"/>
        <w:gridCol w:w="3083"/>
        <w:gridCol w:w="3083"/>
        <w:tblGridChange w:id="0">
          <w:tblGrid>
            <w:gridCol w:w="3081"/>
            <w:gridCol w:w="3083"/>
            <w:gridCol w:w="3083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79646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  <w:tab/>
        <w:t xml:space="preserve">Number of Sub-labs with hard difficulty level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0"/>
          <w:szCs w:val="20"/>
          <w:rtl w:val="0"/>
        </w:rPr>
        <w:t xml:space="preserve">Medium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  <w:tab/>
        <w:t xml:space="preserve">Number of Sub-labs with Medium difficulty level</w:t>
      </w:r>
    </w:p>
    <w:p w:rsidR="00000000" w:rsidDel="00000000" w:rsidP="00000000" w:rsidRDefault="00000000" w:rsidRPr="00000000" w14:paraId="00000023">
      <w:pPr>
        <w:spacing w:after="200" w:line="276" w:lineRule="auto"/>
        <w:rPr>
          <w:color w:val="1f497d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-</w:t>
        <w:tab/>
        <w:t xml:space="preserve">Number of Sub-labs with Easy difficulty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lineRule="auto"/>
        <w:ind w:left="0" w:firstLine="0"/>
        <w:rPr>
          <w:color w:val="1155cc"/>
          <w:sz w:val="42"/>
          <w:szCs w:val="42"/>
        </w:rPr>
      </w:pPr>
      <w:r w:rsidDel="00000000" w:rsidR="00000000" w:rsidRPr="00000000">
        <w:rPr>
          <w:color w:val="1f497d"/>
          <w:rtl w:val="0"/>
        </w:rPr>
        <w:t xml:space="preserve">1.</w:t>
      </w:r>
      <w:r w:rsidDel="00000000" w:rsidR="00000000" w:rsidRPr="00000000">
        <w:rPr>
          <w:color w:val="4f81bd"/>
          <w:sz w:val="38"/>
          <w:szCs w:val="38"/>
          <w:rtl w:val="0"/>
        </w:rPr>
        <w:t xml:space="preserve"> </w:t>
      </w:r>
      <w:r w:rsidDel="00000000" w:rsidR="00000000" w:rsidRPr="00000000">
        <w:rPr>
          <w:color w:val="1155cc"/>
          <w:highlight w:val="white"/>
          <w:rtl w:val="0"/>
        </w:rPr>
        <w:t xml:space="preserve">Capture The Flag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Rule="auto"/>
        <w:ind w:left="0" w:firstLine="0"/>
        <w:rPr>
          <w:rFonts w:ascii="Arial" w:cs="Arial" w:eastAsia="Arial" w:hAnsi="Arial"/>
          <w:color w:val="1155cc"/>
          <w:sz w:val="29"/>
          <w:szCs w:val="29"/>
        </w:rPr>
      </w:pPr>
      <w:r w:rsidDel="00000000" w:rsidR="00000000" w:rsidRPr="00000000">
        <w:rPr>
          <w:color w:val="1f497d"/>
          <w:rtl w:val="0"/>
        </w:rPr>
        <w:t xml:space="preserve">1.1.</w:t>
      </w:r>
      <w:r w:rsidDel="00000000" w:rsidR="00000000" w:rsidRPr="00000000">
        <w:rPr>
          <w:color w:val="1f497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9"/>
          <w:szCs w:val="29"/>
          <w:rtl w:val="0"/>
        </w:rPr>
        <w:t xml:space="preserve">Capture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6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665"/>
        <w:gridCol w:w="4725"/>
        <w:tblGridChange w:id="0">
          <w:tblGrid>
            <w:gridCol w:w="4665"/>
            <w:gridCol w:w="4725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spacing w:after="80" w:before="28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Capture The 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57150</wp:posOffset>
                      </wp:positionV>
                      <wp:extent cx="1014413" cy="1905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547170" y="3716183"/>
                                <a:ext cx="1597660" cy="12763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C000"/>
                              </a:solidFill>
                              <a:ln cap="flat" cmpd="sng" w="9525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57150</wp:posOffset>
                      </wp:positionV>
                      <wp:extent cx="1014413" cy="19050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14413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 Browser,Burp Suite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f2f2f2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f2f2f2" w:space="0" w:sz="8" w:val="single"/>
              <w:left w:color="f2f2f2" w:space="0" w:sz="8" w:val="single"/>
              <w:bottom w:color="f2f2f2" w:space="0" w:sz="8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f2f2f2" w:space="0" w:sz="8" w:val="single"/>
              <w:left w:color="4f81bd" w:space="0" w:sz="8" w:val="single"/>
              <w:bottom w:color="f2f2f2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f2f2f2" w:space="0" w:sz="8" w:val="single"/>
              <w:left w:color="f2f2f2" w:space="0" w:sz="8" w:val="single"/>
              <w:bottom w:color="f2f2f2" w:space="0" w:sz="8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f2f2f2"/>
                <w:sz w:val="4"/>
                <w:szCs w:val="4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f2f2f2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spacing w:after="0" w:lineRule="auto"/>
        <w:ind w:left="0"/>
        <w:rPr>
          <w:color w:val="1f497d"/>
        </w:rPr>
      </w:pPr>
      <w:bookmarkStart w:colFirst="0" w:colLast="0" w:name="_dimwqzjj3jmi" w:id="4"/>
      <w:bookmarkEnd w:id="4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jc w:val="both"/>
        <w:rPr>
          <w:rFonts w:ascii="Calibri" w:cs="Calibri" w:eastAsia="Calibri" w:hAnsi="Calibri"/>
        </w:rPr>
      </w:pPr>
      <w:bookmarkStart w:colFirst="0" w:colLast="0" w:name="_2qtzkh68wa2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lineRule="auto"/>
        <w:ind w:left="0"/>
        <w:rPr>
          <w:color w:val="1f497d"/>
        </w:rPr>
      </w:pPr>
      <w:bookmarkStart w:colFirst="0" w:colLast="0" w:name="_5x7l5aea9hh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lineRule="auto"/>
        <w:ind w:left="0"/>
        <w:rPr>
          <w:color w:val="1f497d"/>
        </w:rPr>
      </w:pPr>
      <w:bookmarkStart w:colFirst="0" w:colLast="0" w:name="_d14v7d6hn1o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648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428625</wp:posOffset>
          </wp:positionH>
          <wp:positionV relativeFrom="paragraph">
            <wp:posOffset>700281</wp:posOffset>
          </wp:positionV>
          <wp:extent cx="6276975" cy="313372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-928" l="0" r="-2091" t="-928"/>
                  <a:stretch>
                    <a:fillRect/>
                  </a:stretch>
                </pic:blipFill>
                <pic:spPr>
                  <a:xfrm>
                    <a:off x="0" y="0"/>
                    <a:ext cx="6276975" cy="3133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200025</wp:posOffset>
          </wp:positionH>
          <wp:positionV relativeFrom="paragraph">
            <wp:posOffset>80133070</wp:posOffset>
          </wp:positionV>
          <wp:extent cx="5734050" cy="3243263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8211" l="-4485" r="4485" t="-8211"/>
                  <a:stretch>
                    <a:fillRect/>
                  </a:stretch>
                </pic:blipFill>
                <pic:spPr>
                  <a:xfrm>
                    <a:off x="0" y="0"/>
                    <a:ext cx="5734050" cy="324326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Style w:val="Heading1"/>
      <w:keepNext w:val="0"/>
      <w:spacing w:after="240" w:before="0" w:lineRule="auto"/>
      <w:ind w:left="0"/>
      <w:jc w:val="both"/>
      <w:rPr>
        <w:rFonts w:ascii="Calibri" w:cs="Calibri" w:eastAsia="Calibri" w:hAnsi="Calibri"/>
      </w:rPr>
    </w:pPr>
    <w:bookmarkStart w:colFirst="0" w:colLast="0" w:name="_3i8jc4j0rnjb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after="240" w:lineRule="auto"/>
      <w:jc w:val="both"/>
      <w:rPr>
        <w:rFonts w:ascii="Calibri" w:cs="Calibri" w:eastAsia="Calibri" w:hAnsi="Calibri"/>
      </w:rPr>
    </w:pPr>
    <w:bookmarkStart w:colFirst="0" w:colLast="0" w:name="_rs6isdnw2527" w:id="8"/>
    <w:bookmarkEnd w:id="8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92" w:hanging="432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