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32A13"/>
          <w:sz w:val="64"/>
        </w:rPr>
        <w:t>CARTIS</w:t>
      </w:r>
    </w:p>
    <w:p>
      <w:pPr>
        <w:spacing w:after="400"/>
      </w:pPr>
      <w:r>
        <w:rPr>
          <w:rFonts w:ascii="Arial" w:hAnsi="Arial"/>
          <w:b/>
          <w:color w:val="7EC151"/>
          <w:sz w:val="28"/>
        </w:rPr>
        <w:t>Autonomous AI Financial Twin &amp; Merchant Operating System</w:t>
      </w:r>
    </w:p>
    <w:p>
      <w:pPr>
        <w:spacing w:after="400"/>
        <w:pBdr>
          <w:bottom w:val="single" w:sz="18" w:space="1" w:color="7EC151"/>
        </w:pBdr>
      </w:pPr>
    </w:p>
    <w:p>
      <w:pPr>
        <w:keepNext/>
        <w:spacing w:before="360" w:after="160"/>
      </w:pPr>
      <w:r>
        <w:rPr>
          <w:rFonts w:ascii="Arial" w:hAnsi="Arial"/>
          <w:b/>
          <w:color w:val="132A13"/>
          <w:sz w:val="36"/>
        </w:rPr>
        <w:t>1. Executive Summary &amp; Vision</w:t>
      </w:r>
    </w:p>
    <w:p>
      <w:pPr>
        <w:spacing w:after="120" w:line="276" w:lineRule="auto"/>
      </w:pPr>
      <w:r>
        <w:rPr>
          <w:rFonts w:ascii="Arial" w:hAnsi="Arial"/>
          <w:color w:val="1E293B"/>
          <w:sz w:val="21"/>
        </w:rPr>
        <w:t>Cartis is an intelligent, next-generation financial operating platform engineered to revolutionize personal wealth management and merchant financial operations. By unifying real-time open banking data via the Reserve Bank of India (RBI) Account Aggregator network with an autonomous AI Financial Twin, Cartis provides unparalleled clarity, proactive money coaching, and automated operational cashflow intelligence.</w:t>
      </w:r>
    </w:p>
    <w:tbl>
      <w:tblPr>
        <w:tblW w:type="auto" w:w="0"/>
        <w:jc w:val="center"/>
        <w:tblLayout w:type="fixed"/>
        <w:tblLook w:firstColumn="1" w:firstRow="1" w:lastColumn="0" w:lastRow="0" w:noHBand="0" w:noVBand="1" w:val="04A0"/>
      </w:tblPr>
      <w:tblGrid>
        <w:gridCol w:w="9360"/>
      </w:tblGrid>
      <w:tr>
        <w:tc>
          <w:tcPr>
            <w:tcW w:type="dxa" w:w="9360"/>
            <w:shd w:fill="F1F9EE"/>
            <w:tcMar>
              <w:top w:w="180" w:type="dxa"/>
              <w:bottom w:w="180" w:type="dxa"/>
              <w:left w:w="240" w:type="dxa"/>
              <w:right w:w="240" w:type="dxa"/>
            </w:tcMar>
            <w:tcBorders>
              <w:left w:val="single" w:sz="24" w:space="0" w:color="7EC151"/>
              <w:top w:val="none"/>
              <w:right w:val="none"/>
              <w:bottom w:val="none"/>
            </w:tcBorders>
          </w:tcPr>
          <w:p>
            <w:pPr>
              <w:spacing w:after="80"/>
            </w:pPr>
            <w:r>
              <w:rPr>
                <w:rFonts w:ascii="Arial" w:hAnsi="Arial"/>
                <w:b/>
                <w:color w:val="132A13"/>
                <w:sz w:val="22"/>
              </w:rPr>
              <w:t>Mission Statement</w:t>
            </w:r>
          </w:p>
          <w:p>
            <w:pPr>
              <w:spacing w:after="0" w:line="276" w:lineRule="auto"/>
            </w:pPr>
            <w:r>
              <w:rPr>
                <w:rFonts w:ascii="Arial" w:hAnsi="Arial"/>
                <w:color w:val="1E293B"/>
                <w:sz w:val="20"/>
              </w:rPr>
              <w:t>To empower everyday consumers and growing merchants with an intelligent AI partner that eliminates financial friction, curbs impulse spending, optimizes liquidity, and drives maximum capital growth effortlessly.</w:t>
            </w:r>
          </w:p>
        </w:tc>
      </w:tr>
    </w:tbl>
    <w:p>
      <w:pPr>
        <w:spacing w:after="120"/>
      </w:pPr>
    </w:p>
    <w:p>
      <w:pPr>
        <w:keepNext/>
        <w:spacing w:before="360" w:after="160"/>
      </w:pPr>
      <w:r>
        <w:rPr>
          <w:rFonts w:ascii="Arial" w:hAnsi="Arial"/>
          <w:b/>
          <w:color w:val="132A13"/>
          <w:sz w:val="36"/>
        </w:rPr>
        <w:t>2. Core Platform Capabilities</w:t>
      </w:r>
    </w:p>
    <w:p>
      <w:pPr>
        <w:keepNext/>
        <w:spacing w:before="280" w:after="120"/>
      </w:pPr>
      <w:r>
        <w:rPr>
          <w:rFonts w:ascii="Arial" w:hAnsi="Arial"/>
          <w:b/>
          <w:color w:val="7EC151"/>
          <w:sz w:val="26"/>
        </w:rPr>
        <w:t>A. Consumer Personal Finance Suite</w:t>
      </w:r>
    </w:p>
    <w:p>
      <w:pPr>
        <w:pStyle w:val="ListBullet"/>
        <w:spacing w:after="80" w:line="276" w:lineRule="auto"/>
      </w:pPr>
      <w:r>
        <w:rPr>
          <w:rFonts w:ascii="Arial" w:hAnsi="Arial"/>
          <w:b/>
          <w:color w:val="132A13"/>
          <w:sz w:val="21"/>
        </w:rPr>
        <w:t xml:space="preserve">Autonomous AI Financial Twin &amp; Coach: </w:t>
      </w:r>
      <w:r>
        <w:rPr>
          <w:rFonts w:ascii="Arial" w:hAnsi="Arial"/>
          <w:color w:val="1E293B"/>
          <w:sz w:val="21"/>
        </w:rPr>
        <w:t>Interactive multi-turn AI assistant trained to analyze recurring bills, net liquidity, and savings targets. Delivers precise purchase advice (Buy, Wait, Skip) before impulse buying.</w:t>
      </w:r>
    </w:p>
    <w:p>
      <w:pPr>
        <w:pStyle w:val="ListBullet"/>
        <w:spacing w:after="80" w:line="276" w:lineRule="auto"/>
      </w:pPr>
      <w:r>
        <w:rPr>
          <w:rFonts w:ascii="Arial" w:hAnsi="Arial"/>
          <w:b/>
          <w:color w:val="132A13"/>
          <w:sz w:val="21"/>
        </w:rPr>
        <w:t xml:space="preserve">Unified Wallet &amp; Live Liquidity: </w:t>
      </w:r>
      <w:r>
        <w:rPr>
          <w:rFonts w:ascii="Arial" w:hAnsi="Arial"/>
          <w:color w:val="1E293B"/>
          <w:sz w:val="21"/>
        </w:rPr>
        <w:t>Consolidates all bank accounts, credit tabs, and liquid savings into a single real-time dashboard with automatic background synchronization.</w:t>
      </w:r>
    </w:p>
    <w:p>
      <w:pPr>
        <w:pStyle w:val="ListBullet"/>
        <w:spacing w:after="80" w:line="276" w:lineRule="auto"/>
      </w:pPr>
      <w:r>
        <w:rPr>
          <w:rFonts w:ascii="Arial" w:hAnsi="Arial"/>
          <w:b/>
          <w:color w:val="132A13"/>
          <w:sz w:val="21"/>
        </w:rPr>
        <w:t xml:space="preserve">Dynamic Budgeting &amp; Tab Pace: </w:t>
      </w:r>
      <w:r>
        <w:rPr>
          <w:rFonts w:ascii="Arial" w:hAnsi="Arial"/>
          <w:color w:val="1E293B"/>
          <w:sz w:val="21"/>
        </w:rPr>
        <w:t>Monitors spending velocity across 30-day rolling windows with AI-computed recommended monthly spending caps and category breakdowns.</w:t>
      </w:r>
    </w:p>
    <w:p>
      <w:pPr>
        <w:pStyle w:val="ListBullet"/>
        <w:spacing w:after="80" w:line="276" w:lineRule="auto"/>
      </w:pPr>
      <w:r>
        <w:rPr>
          <w:rFonts w:ascii="Arial" w:hAnsi="Arial"/>
          <w:b/>
          <w:color w:val="132A13"/>
          <w:sz w:val="21"/>
        </w:rPr>
        <w:t xml:space="preserve">Multi-Asset Portfolio Tracker: </w:t>
      </w:r>
      <w:r>
        <w:rPr>
          <w:rFonts w:ascii="Arial" w:hAnsi="Arial"/>
          <w:color w:val="1E293B"/>
          <w:sz w:val="21"/>
        </w:rPr>
        <w:t>Provides aggregated valuation, total returns, and percentage yield tracking across Mutual Fund SIPs, Indian Equities, Sovereign Gold Bonds (SGB), FDs, and Cash.</w:t>
      </w:r>
    </w:p>
    <w:p>
      <w:pPr>
        <w:pStyle w:val="ListBullet"/>
        <w:spacing w:after="80" w:line="276" w:lineRule="auto"/>
      </w:pPr>
      <w:r>
        <w:rPr>
          <w:rFonts w:ascii="Arial" w:hAnsi="Arial"/>
          <w:b/>
          <w:color w:val="132A13"/>
          <w:sz w:val="21"/>
        </w:rPr>
        <w:t xml:space="preserve">Goal Safety Net Tracker: </w:t>
      </w:r>
      <w:r>
        <w:rPr>
          <w:rFonts w:ascii="Arial" w:hAnsi="Arial"/>
          <w:color w:val="1E293B"/>
          <w:sz w:val="21"/>
        </w:rPr>
        <w:t>Interactive tracking for emergency safety funds, house down payments, index fund accumulation, and retirement planning.</w:t>
      </w:r>
    </w:p>
    <w:p>
      <w:pPr>
        <w:pStyle w:val="ListBullet"/>
        <w:spacing w:after="80" w:line="276" w:lineRule="auto"/>
      </w:pPr>
      <w:r>
        <w:rPr>
          <w:rFonts w:ascii="Arial" w:hAnsi="Arial"/>
          <w:b/>
          <w:color w:val="132A13"/>
          <w:sz w:val="21"/>
        </w:rPr>
        <w:t xml:space="preserve">Impulse Savings Defense: </w:t>
      </w:r>
      <w:r>
        <w:rPr>
          <w:rFonts w:ascii="Arial" w:hAnsi="Arial"/>
          <w:color w:val="1E293B"/>
          <w:sz w:val="21"/>
        </w:rPr>
        <w:t>Quantifies total money saved by following coach advice to skip unnecessary purchases or wait for sales, turning impulse hesitation into direct wealth accumulation.</w:t>
      </w:r>
    </w:p>
    <w:p>
      <w:pPr>
        <w:keepNext/>
        <w:spacing w:before="280" w:after="120"/>
      </w:pPr>
      <w:r>
        <w:rPr>
          <w:rFonts w:ascii="Arial" w:hAnsi="Arial"/>
          <w:b/>
          <w:color w:val="7EC151"/>
          <w:sz w:val="26"/>
        </w:rPr>
        <w:t>B. Merchant &amp; Business Operating System</w:t>
      </w:r>
    </w:p>
    <w:p>
      <w:pPr>
        <w:pStyle w:val="ListBullet"/>
        <w:spacing w:after="80" w:line="276" w:lineRule="auto"/>
      </w:pPr>
      <w:r>
        <w:rPr>
          <w:rFonts w:ascii="Arial" w:hAnsi="Arial"/>
          <w:b/>
          <w:color w:val="132A13"/>
          <w:sz w:val="21"/>
        </w:rPr>
        <w:t xml:space="preserve">Merchant Command Center: </w:t>
      </w:r>
      <w:r>
        <w:rPr>
          <w:rFonts w:ascii="Arial" w:hAnsi="Arial"/>
          <w:color w:val="1E293B"/>
          <w:sz w:val="21"/>
        </w:rPr>
        <w:t>Executive dashboard tracking monthly revenue velocity, operational expenditure, net profit margins, and liquid cash on hand.</w:t>
      </w:r>
    </w:p>
    <w:p>
      <w:pPr>
        <w:pStyle w:val="ListBullet"/>
        <w:spacing w:after="80" w:line="276" w:lineRule="auto"/>
      </w:pPr>
      <w:r>
        <w:rPr>
          <w:rFonts w:ascii="Arial" w:hAnsi="Arial"/>
          <w:b/>
          <w:color w:val="132A13"/>
          <w:sz w:val="21"/>
        </w:rPr>
        <w:t xml:space="preserve">Cashflow Velocity &amp; PnL Insights: </w:t>
      </w:r>
      <w:r>
        <w:rPr>
          <w:rFonts w:ascii="Arial" w:hAnsi="Arial"/>
          <w:color w:val="1E293B"/>
          <w:sz w:val="21"/>
        </w:rPr>
        <w:t>6-month income vs. expense analytics with automated calculation of average monthly net surplus reserves.</w:t>
      </w:r>
    </w:p>
    <w:p>
      <w:pPr>
        <w:pStyle w:val="ListBullet"/>
        <w:spacing w:after="80" w:line="276" w:lineRule="auto"/>
      </w:pPr>
      <w:r>
        <w:rPr>
          <w:rFonts w:ascii="Arial" w:hAnsi="Arial"/>
          <w:b/>
          <w:color w:val="132A13"/>
          <w:sz w:val="21"/>
        </w:rPr>
        <w:t xml:space="preserve">Smart Inventory &amp; Reorder System: </w:t>
      </w:r>
      <w:r>
        <w:rPr>
          <w:rFonts w:ascii="Arial" w:hAnsi="Arial"/>
          <w:color w:val="1E293B"/>
          <w:sz w:val="21"/>
        </w:rPr>
        <w:t>Real-time stock monitoring with automated reorder-level alerts, unit cost tracking, and inventory turnover efficiency metrics.</w:t>
      </w:r>
    </w:p>
    <w:p>
      <w:pPr>
        <w:pStyle w:val="ListBullet"/>
        <w:spacing w:after="80" w:line="276" w:lineRule="auto"/>
      </w:pPr>
      <w:r>
        <w:rPr>
          <w:rFonts w:ascii="Arial" w:hAnsi="Arial"/>
          <w:b/>
          <w:color w:val="132A13"/>
          <w:sz w:val="21"/>
        </w:rPr>
        <w:t xml:space="preserve">Tax &amp; Compliance Projections: </w:t>
      </w:r>
      <w:r>
        <w:rPr>
          <w:rFonts w:ascii="Arial" w:hAnsi="Arial"/>
          <w:color w:val="1E293B"/>
          <w:sz w:val="21"/>
        </w:rPr>
        <w:t>Automated quarterly GST and income tax estimations tailored for Indian businesses and sole proprietorships.</w:t>
      </w:r>
    </w:p>
    <w:p>
      <w:pPr>
        <w:keepNext/>
        <w:spacing w:before="360" w:after="160"/>
      </w:pPr>
      <w:r>
        <w:rPr>
          <w:rFonts w:ascii="Arial" w:hAnsi="Arial"/>
          <w:b/>
          <w:color w:val="132A13"/>
          <w:sz w:val="36"/>
        </w:rPr>
        <w:t>3. Cutting-Edge Architecture &amp; Security</w:t>
      </w:r>
    </w:p>
    <w:p>
      <w:pPr>
        <w:spacing w:after="120" w:line="276" w:lineRule="auto"/>
      </w:pPr>
      <w:r>
        <w:rPr>
          <w:rFonts w:ascii="Arial" w:hAnsi="Arial"/>
          <w:color w:val="1E293B"/>
          <w:sz w:val="21"/>
        </w:rPr>
        <w:t>Cartis is built on a high-throughput, modern micro-frontend and serverless microservices stack designed for ultra-fast response times, military-grade security, and robust scalability:</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32A13"/>
            <w:tcMar>
              <w:top w:w="120" w:type="dxa"/>
              <w:bottom w:w="120" w:type="dxa"/>
              <w:left w:w="150" w:type="dxa"/>
              <w:right w:w="150" w:type="dxa"/>
            </w:tcMar>
          </w:tcPr>
          <w:p>
            <w:r>
              <w:rPr>
                <w:rFonts w:ascii="Arial" w:hAnsi="Arial"/>
                <w:b/>
                <w:color w:val="FFFFFF"/>
                <w:sz w:val="20"/>
              </w:rPr>
              <w:t>Layer</w:t>
            </w:r>
          </w:p>
        </w:tc>
        <w:tc>
          <w:tcPr>
            <w:tcW w:type="dxa" w:w="3168"/>
            <w:shd w:fill="132A13"/>
            <w:tcMar>
              <w:top w:w="120" w:type="dxa"/>
              <w:bottom w:w="120" w:type="dxa"/>
              <w:left w:w="150" w:type="dxa"/>
              <w:right w:w="150" w:type="dxa"/>
            </w:tcMar>
          </w:tcPr>
          <w:p>
            <w:r>
              <w:rPr>
                <w:rFonts w:ascii="Arial" w:hAnsi="Arial"/>
                <w:b/>
                <w:color w:val="FFFFFF"/>
                <w:sz w:val="20"/>
              </w:rPr>
              <w:t>Technology / Stack</w:t>
            </w:r>
          </w:p>
        </w:tc>
        <w:tc>
          <w:tcPr>
            <w:tcW w:type="dxa" w:w="3600"/>
            <w:shd w:fill="132A13"/>
            <w:tcMar>
              <w:top w:w="120" w:type="dxa"/>
              <w:bottom w:w="120" w:type="dxa"/>
              <w:left w:w="150" w:type="dxa"/>
              <w:right w:w="150" w:type="dxa"/>
            </w:tcMar>
          </w:tcPr>
          <w:p>
            <w:r>
              <w:rPr>
                <w:rFonts w:ascii="Arial" w:hAnsi="Arial"/>
                <w:b/>
                <w:color w:val="FFFFFF"/>
                <w:sz w:val="20"/>
              </w:rPr>
              <w:t>Core Responsibility</w:t>
            </w:r>
          </w:p>
        </w:tc>
      </w:tr>
      <w:tr>
        <w:tc>
          <w:tcPr>
            <w:tcW w:type="dxa" w:w="2592"/>
            <w:shd w:fill="F8FAFC"/>
            <w:tcMar>
              <w:top w:w="100" w:type="dxa"/>
              <w:bottom w:w="100" w:type="dxa"/>
              <w:left w:w="150" w:type="dxa"/>
              <w:right w:w="150" w:type="dxa"/>
            </w:tcMar>
          </w:tcPr>
          <w:p>
            <w:r>
              <w:rPr>
                <w:rFonts w:ascii="Arial" w:hAnsi="Arial"/>
                <w:color w:val="1E293B"/>
                <w:sz w:val="19"/>
              </w:rPr>
              <w:t>Frontend UI</w:t>
            </w:r>
          </w:p>
        </w:tc>
        <w:tc>
          <w:tcPr>
            <w:tcW w:type="dxa" w:w="3168"/>
            <w:shd w:fill="F8FAFC"/>
            <w:tcMar>
              <w:top w:w="100" w:type="dxa"/>
              <w:bottom w:w="100" w:type="dxa"/>
              <w:left w:w="150" w:type="dxa"/>
              <w:right w:w="150" w:type="dxa"/>
            </w:tcMar>
          </w:tcPr>
          <w:p>
            <w:r>
              <w:rPr>
                <w:rFonts w:ascii="Arial" w:hAnsi="Arial"/>
                <w:color w:val="1E293B"/>
                <w:sz w:val="19"/>
              </w:rPr>
              <w:t>Next.js 16 (Turbopack), TailwindCSS, Lucide, Recharts</w:t>
            </w:r>
          </w:p>
        </w:tc>
        <w:tc>
          <w:tcPr>
            <w:tcW w:type="dxa" w:w="3600"/>
            <w:shd w:fill="F8FAFC"/>
            <w:tcMar>
              <w:top w:w="100" w:type="dxa"/>
              <w:bottom w:w="100" w:type="dxa"/>
              <w:left w:w="150" w:type="dxa"/>
              <w:right w:w="150" w:type="dxa"/>
            </w:tcMar>
          </w:tcPr>
          <w:p>
            <w:r>
              <w:rPr>
                <w:rFonts w:ascii="Arial" w:hAnsi="Arial"/>
                <w:color w:val="1E293B"/>
                <w:sz w:val="19"/>
              </w:rPr>
              <w:t>Responsive, high-density dashboard UI with server-rendered speed and fluid smooth scrolling.</w:t>
            </w:r>
          </w:p>
        </w:tc>
      </w:tr>
      <w:tr>
        <w:tc>
          <w:tcPr>
            <w:tcW w:type="dxa" w:w="2592"/>
            <w:shd w:fill="FFFFFF"/>
            <w:tcMar>
              <w:top w:w="100" w:type="dxa"/>
              <w:bottom w:w="100" w:type="dxa"/>
              <w:left w:w="150" w:type="dxa"/>
              <w:right w:w="150" w:type="dxa"/>
            </w:tcMar>
          </w:tcPr>
          <w:p>
            <w:r>
              <w:rPr>
                <w:rFonts w:ascii="Arial" w:hAnsi="Arial"/>
                <w:color w:val="1E293B"/>
                <w:sz w:val="19"/>
              </w:rPr>
              <w:t>Edge Gateway</w:t>
            </w:r>
          </w:p>
        </w:tc>
        <w:tc>
          <w:tcPr>
            <w:tcW w:type="dxa" w:w="3168"/>
            <w:shd w:fill="FFFFFF"/>
            <w:tcMar>
              <w:top w:w="100" w:type="dxa"/>
              <w:bottom w:w="100" w:type="dxa"/>
              <w:left w:w="150" w:type="dxa"/>
              <w:right w:w="150" w:type="dxa"/>
            </w:tcMar>
          </w:tcPr>
          <w:p>
            <w:r>
              <w:rPr>
                <w:rFonts w:ascii="Arial" w:hAnsi="Arial"/>
                <w:color w:val="1E293B"/>
                <w:sz w:val="19"/>
              </w:rPr>
              <w:t>Cloudflare Workers, Hono framework, KV Session Store</w:t>
            </w:r>
          </w:p>
        </w:tc>
        <w:tc>
          <w:tcPr>
            <w:tcW w:type="dxa" w:w="3600"/>
            <w:shd w:fill="FFFFFF"/>
            <w:tcMar>
              <w:top w:w="100" w:type="dxa"/>
              <w:bottom w:w="100" w:type="dxa"/>
              <w:left w:w="150" w:type="dxa"/>
              <w:right w:w="150" w:type="dxa"/>
            </w:tcMar>
          </w:tcPr>
          <w:p>
            <w:r>
              <w:rPr>
                <w:rFonts w:ascii="Arial" w:hAnsi="Arial"/>
                <w:color w:val="1E293B"/>
                <w:sz w:val="19"/>
              </w:rPr>
              <w:t>Global edge routing, OAuth state verification, session rotation, and instant response streaming.</w:t>
            </w:r>
          </w:p>
        </w:tc>
      </w:tr>
      <w:tr>
        <w:tc>
          <w:tcPr>
            <w:tcW w:type="dxa" w:w="2592"/>
            <w:shd w:fill="F8FAFC"/>
            <w:tcMar>
              <w:top w:w="100" w:type="dxa"/>
              <w:bottom w:w="100" w:type="dxa"/>
              <w:left w:w="150" w:type="dxa"/>
              <w:right w:w="150" w:type="dxa"/>
            </w:tcMar>
          </w:tcPr>
          <w:p>
            <w:r>
              <w:rPr>
                <w:rFonts w:ascii="Arial" w:hAnsi="Arial"/>
                <w:color w:val="1E293B"/>
                <w:sz w:val="19"/>
              </w:rPr>
              <w:t>Core API Backend</w:t>
            </w:r>
          </w:p>
        </w:tc>
        <w:tc>
          <w:tcPr>
            <w:tcW w:type="dxa" w:w="3168"/>
            <w:shd w:fill="F8FAFC"/>
            <w:tcMar>
              <w:top w:w="100" w:type="dxa"/>
              <w:bottom w:w="100" w:type="dxa"/>
              <w:left w:w="150" w:type="dxa"/>
              <w:right w:w="150" w:type="dxa"/>
            </w:tcMar>
          </w:tcPr>
          <w:p>
            <w:r>
              <w:rPr>
                <w:rFonts w:ascii="Arial" w:hAnsi="Arial"/>
                <w:color w:val="1E293B"/>
                <w:sz w:val="19"/>
              </w:rPr>
              <w:t>Rust (Actix-web), GraphQL, PostgreSQL / SQLite</w:t>
            </w:r>
          </w:p>
        </w:tc>
        <w:tc>
          <w:tcPr>
            <w:tcW w:type="dxa" w:w="3600"/>
            <w:shd w:fill="F8FAFC"/>
            <w:tcMar>
              <w:top w:w="100" w:type="dxa"/>
              <w:bottom w:w="100" w:type="dxa"/>
              <w:left w:w="150" w:type="dxa"/>
              <w:right w:w="150" w:type="dxa"/>
            </w:tcMar>
          </w:tcPr>
          <w:p>
            <w:r>
              <w:rPr>
                <w:rFonts w:ascii="Arial" w:hAnsi="Arial"/>
                <w:color w:val="1E293B"/>
                <w:sz w:val="19"/>
              </w:rPr>
              <w:t>Ultra-fast execution of financial math, GraphQL query handling, and secure database persistence.</w:t>
            </w:r>
          </w:p>
        </w:tc>
      </w:tr>
    </w:tbl>
    <w:p>
      <w:pPr>
        <w:spacing w:after="200"/>
      </w:pPr>
    </w:p>
    <w:p>
      <w:pPr>
        <w:keepNext/>
        <w:spacing w:before="360" w:after="160"/>
      </w:pPr>
      <w:r>
        <w:rPr>
          <w:rFonts w:ascii="Arial" w:hAnsi="Arial"/>
          <w:b/>
          <w:color w:val="132A13"/>
          <w:sz w:val="36"/>
        </w:rPr>
        <w:t>4. Superior User Experience &amp; Design Philosophy</w:t>
      </w:r>
    </w:p>
    <w:p>
      <w:pPr>
        <w:pStyle w:val="ListBullet"/>
        <w:spacing w:after="80" w:line="276" w:lineRule="auto"/>
      </w:pPr>
      <w:r>
        <w:rPr>
          <w:rFonts w:ascii="Arial" w:hAnsi="Arial"/>
          <w:b/>
          <w:color w:val="132A13"/>
          <w:sz w:val="21"/>
        </w:rPr>
        <w:t xml:space="preserve">Color Hunt Inspired Aesthetic: </w:t>
      </w:r>
      <w:r>
        <w:rPr>
          <w:rFonts w:ascii="Arial" w:hAnsi="Arial"/>
          <w:color w:val="1E293B"/>
          <w:sz w:val="21"/>
        </w:rPr>
        <w:t>Crafted with a soothing, eco-luxury color palette (#132A13 forest green, #7EC151 vibrant leaf green, #B2D959 lime highlight, and #FDFEF7 soft warm paper background) that removes financial anxiety.</w:t>
      </w:r>
    </w:p>
    <w:p>
      <w:pPr>
        <w:pStyle w:val="ListBullet"/>
        <w:spacing w:after="80" w:line="276" w:lineRule="auto"/>
      </w:pPr>
      <w:r>
        <w:rPr>
          <w:rFonts w:ascii="Arial" w:hAnsi="Arial"/>
          <w:b/>
          <w:color w:val="132A13"/>
          <w:sz w:val="21"/>
        </w:rPr>
        <w:t xml:space="preserve">Zero-Friction Onboarding: </w:t>
      </w:r>
      <w:r>
        <w:rPr>
          <w:rFonts w:ascii="Arial" w:hAnsi="Arial"/>
          <w:color w:val="1E293B"/>
          <w:sz w:val="21"/>
        </w:rPr>
        <w:t>One-click Google OAuth authentication with intelligent self-verifying state signatures and zero manual data entry required.</w:t>
      </w:r>
    </w:p>
    <w:p>
      <w:pPr>
        <w:pStyle w:val="ListBullet"/>
        <w:spacing w:after="80" w:line="276" w:lineRule="auto"/>
      </w:pPr>
      <w:r>
        <w:rPr>
          <w:rFonts w:ascii="Arial" w:hAnsi="Arial"/>
          <w:b/>
          <w:color w:val="132A13"/>
          <w:sz w:val="21"/>
        </w:rPr>
        <w:t xml:space="preserve">Live Hydration Guard: </w:t>
      </w:r>
      <w:r>
        <w:rPr>
          <w:rFonts w:ascii="Arial" w:hAnsi="Arial"/>
          <w:color w:val="1E293B"/>
          <w:sz w:val="21"/>
        </w:rPr>
        <w:t>Robust client-server hydration synchronization preventing layout layout flashes or extension-induced SSR errors.</w:t>
      </w:r>
    </w:p>
    <w:p>
      <w:pPr>
        <w:keepNext/>
        <w:spacing w:before="360" w:after="160"/>
      </w:pPr>
      <w:r>
        <w:rPr>
          <w:rFonts w:ascii="Arial" w:hAnsi="Arial"/>
          <w:b/>
          <w:color w:val="132A13"/>
          <w:sz w:val="36"/>
        </w:rPr>
        <w:t>5. Growth Trajectory &amp; Future Horizons</w:t>
      </w:r>
    </w:p>
    <w:p>
      <w:pPr>
        <w:spacing w:after="120" w:line="276" w:lineRule="auto"/>
      </w:pPr>
      <w:r>
        <w:rPr>
          <w:rFonts w:ascii="Arial" w:hAnsi="Arial"/>
          <w:color w:val="1E293B"/>
          <w:sz w:val="21"/>
        </w:rPr>
        <w:t>As Cartis continues to evolve, upcoming milestones include expanding AI predictive cashflow modeling, automated tax-saving investment recommendations, multi-currency international business support, and direct UPI payment reconciliation.</w:t>
      </w:r>
    </w:p>
    <w:p>
      <w:pPr>
        <w:spacing w:before="600"/>
        <w:jc w:val="center"/>
      </w:pPr>
      <w:r>
        <w:rPr>
          <w:rFonts w:ascii="Arial" w:hAnsi="Arial"/>
          <w:i/>
          <w:color w:val="64748B"/>
          <w:sz w:val="20"/>
        </w:rPr>
        <w:t>Cartis — Intelligent Autonomous Finance for Everyone.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