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Optum Insight</w:t>
      </w:r>
    </w:p>
    <w:p>
      <w:pPr>
        <w:spacing w:after="60"/>
      </w:pPr>
      <w:r>
        <w:rPr>
          <w:color w:val="404040"/>
          <w:sz w:val="26"/>
          <w:szCs w:val="26"/>
        </w:rPr>
        <w:t xml:space="preserve">Business model, data integration, products, AI and how a competitor could replicate it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19"/>
          <w:szCs w:val="19"/>
        </w:rPr>
        <w:t xml:space="preserve">Supplement to the Optum deep dive  |  October 2, 2026</w:t>
      </w:r>
    </w:p>
    <w:p>
      <w:pPr>
        <w:spacing w:after="140" w:line="288"/>
      </w:pPr>
      <w:r>
        <w:t xml:space="preserve">Optum Insight collects data as a by-product of running healthcare's transactions, then resells it as software, outsourced services, data licences and consulting. This supplement is a shorter expansion built from targeted searches of company filings, Optum product pages and trade press; it is not a full rewrite of the earlier report.</w:t>
      </w:r>
    </w:p>
    <w:p>
      <w:pPr>
        <w:pStyle w:val="Heading1"/>
      </w:pPr>
      <w:r>
        <w:t xml:space="preserve">How it makes money</w:t>
      </w:r>
    </w:p>
    <w:p>
      <w:pPr>
        <w:spacing w:after="140" w:line="288"/>
      </w:pPr>
      <w:r>
        <w:t xml:space="preserve">UnitedHealth does not disclose revenue by product line, and the pricing column below reflects standard industry practice, not company disclosure.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500"/>
        <w:gridCol w:w="19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sold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pricing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Buyer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Claims network (Change Healthcare)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Routing claims, eligibility checks and payments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 transaction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Providers, payers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Revenue cycle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Coding and billing software; fully outsourced billing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Subscription, or multi-year managed-services fee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Health systems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Payment integrity, risk and quality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Finding overpaid claims; risk-score and quality analytics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Share of savings, or per member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Health plans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 licensing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De-identified claims and clinical datasets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Annual licence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Drug and device makers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Government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Medicaid technology and analytics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Long-term contracts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Consulting and research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Advisory Board memberships, Optum Advisory projects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Membership and project fees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Mostly health systems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Optum Financial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Health savings accounts, payments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Account fees, interest on balances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Employers, consumers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t xml:space="preserve">UnitedHealth names the four major lines as revenue cycle for providers; risk, quality and payment integrity for payers; real-world evidence for life sciences; and data and technology services for government agencies. The backlog figure counts signed contracts plus anticipated renewals based on past customer behavior, so it is partly a forecast. In 2025, technology services grew while business services volumes fell.</w:t>
      </w:r>
    </w:p>
    <w:p>
      <w:pPr>
        <w:pStyle w:val="Heading1"/>
      </w:pPr>
      <w:r>
        <w:t xml:space="preserve">How the data is integrated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Transaction data:</w:t>
      </w:r>
      <w:r>
        <w:t xml:space="preserve"> Before the acquisition, Change Healthcare's clearinghouse connected 5,500 hospitals and 900,000 physicians with 2,400 insurers, and held claims data on 211 million patients back to 2012.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Claims data:</w:t>
      </w:r>
      <w:r>
        <w:t xml:space="preserve"> The Clinformatics dataset is built from adjudicated claims of large commercial and Medicare Advantage plans, and covers medical claims, pharmacy claims and lab results.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Linked claims and clinical data:</w:t>
      </w:r>
      <w:r>
        <w:t xml:space="preserve"> Market Clarity joins records from health systems and physician practices to claims from a large national payer and third-party payers. Optum's current page cites over 197 million patient lives, 20,000 mapped clinical variables and 150-plus payers; an older page says 82 million.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Linking method:</w:t>
      </w:r>
      <w:r>
        <w:t xml:space="preserve"> Optum uses unique identifiers to build validated, linked patient histories, and extracts information from clinical notes with language processing.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De-identification:</w:t>
      </w:r>
      <w:r>
        <w:t xml:space="preserve"> The data is statistically de-identified under HIPAA's expert determination method before sale.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Real-time layer:</w:t>
      </w:r>
      <w:r>
        <w:t xml:space="preserve"> Optum Real has payers digitize the eligibility, claims and payment rules locked in contracts and guidelines, and providers query them through APIs.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Firewall:</w:t>
      </w:r>
      <w:r>
        <w:t xml:space="preserve"> The Justice Department argued UnitedHealth would mine rivals' claims data. The judge accepted that Optum is separate from the insurer and has policies protecting sensitive data.</w:t>
      </w:r>
    </w:p>
    <w:p>
      <w:pPr>
        <w:pStyle w:val="Heading1"/>
      </w:pPr>
      <w:r>
        <w:t xml:space="preserve">Products and upsell paths</w:t>
      </w:r>
    </w:p>
    <w:p>
      <w:pPr>
        <w:spacing w:after="140" w:line="288"/>
      </w:pPr>
      <w:r>
        <w:t xml:space="preserve">The upsell sequences are an interpretation of how the products fit together, not a company-published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60"/>
        <w:gridCol w:w="39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Buyer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upsell path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Health systems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Integrity One (AI coding), Digital Auth Complete (prior authorization), Optum Real APIs, Crimson AI (operating-room scheduling), clearinghouse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Research membership → advisory project → point software → platform → outsourced billing and 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Health plans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Payment integrity, risk and quality analytics, InterQual Auth Accelerator, Optum Real, Value Connect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Claims connectivity → claim checks → payment integrity → real-time authorization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Life sciences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Clinformatics, Market Clarity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 licence → custom studies → consulting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Medicaid data and technology management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Analytics → systems → managed operations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Employers and consumers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Optum Bank accounts, Alegeus platform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Accounts → payments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AI capabilities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Optum Real:</w:t>
      </w:r>
      <w:r>
        <w:t xml:space="preserve"> Launched in late 2025 with UnitedHealthcare as the first payer and Allina Health piloting radiology and cardiology claims. A Google collaboration aims to move eligibility, benefit, authorization and claim-status questions from phone calls to real-time digital access.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Prior authorization:</w:t>
      </w:r>
      <w:r>
        <w:t xml:space="preserve"> Digital Auth Complete, built with Humata Health, connects with more than 250 payer systems. The Optum Real authorization product has processed about half a million authorizations and saved 69,000 administrative hours for external clients.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Integrity One:</w:t>
      </w:r>
      <w:r>
        <w:t xml:space="preserve"> It offers fully or partially autonomous coding, and a pilot showed a coding productivity gain above 20%.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Value Connect:</w:t>
      </w:r>
      <w:r>
        <w:t xml:space="preserve"> It runs more than 1,600 models to flag patients needing intervention. Optum claims large savings but did not say how many customers the figures are based on.</w:t>
      </w:r>
    </w:p>
    <w:p>
      <w:pPr>
        <w:spacing w:after="140" w:line="288"/>
      </w:pPr>
      <w:r>
        <w:t xml:space="preserve">These metrics are self-reported. Independent KLAS reviews of Optum's older coding software were mixed, with customers citing downtime and extra charges for upgrades.</w:t>
      </w:r>
    </w:p>
    <w:p>
      <w:pPr>
        <w:pStyle w:val="Heading1"/>
      </w:pPr>
      <w:r>
        <w:t xml:space="preserve">Who buys it</w:t>
      </w:r>
    </w:p>
    <w:p>
      <w:pPr>
        <w:spacing w:after="140" w:line="288"/>
      </w:pPr>
      <w:r>
        <w:t xml:space="preserve">UnitedHealthcare is the largest customer, at about two-thirds of revenue per the earlier report. Externally, Optum targets care providers, health plans, governments and life sciences companies. Its coding customers are larger organizations, not small or mid-sized ones.</w:t>
      </w:r>
    </w:p>
    <w:p>
      <w:pPr>
        <w:spacing w:after="140" w:line="288"/>
      </w:pPr>
      <w:r>
        <w:t xml:space="preserve">The main objection is trust. After the 2024 Change Healthcare hack, rivals Waystar, Availity and Inovalon signed longer-term contracts with customers who had switched, and providers began using multiple vendors.</w:t>
      </w:r>
    </w:p>
    <w:p>
      <w:pPr>
        <w:pStyle w:val="Heading1"/>
      </w:pPr>
      <w:r>
        <w:t xml:space="preserve">How a competitor could build something similar</w:t>
      </w:r>
    </w:p>
    <w:p>
      <w:pPr>
        <w:spacing w:after="140" w:line="288"/>
      </w:pPr>
      <w:r>
        <w:t xml:space="preserve">The competitor names and capability assessments in this section are analysis, not sourced from the searches behind the sections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60"/>
        <w:gridCol w:w="27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takes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AI coding and authorization tools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Language models, coding rules, clinical criteria, EHR integration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Easiest; several startups already sell these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Payment integrity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Claims history and a rules library; contingency pricing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Moderate; established independents exist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Linked data products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 partnerships, patient-matching tokens, certified de-identification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Moderate; several aggregators already claim comparable scale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Transaction network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Connections to thousands of payers and providers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Hard to build; partner with an existing clearinghouse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Outsourced operations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Staff, long contracts, guaranteed savings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Slow; needs a consulting front door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CVS:</w:t>
      </w:r>
      <w:r>
        <w:t xml:space="preserve"> It has Aetna and Caremark claims plus home-visit data, but no clearinghouse or hospital billing business. It would need to buy or partner for both.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Highmark:</w:t>
      </w:r>
      <w:r>
        <w:t xml:space="preserve"> It has the closest structural copy: a payer platform (enGen), a hospital system to test products in, and a consultancy (Lumevity). It lacks national data scale.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Humana:</w:t>
      </w:r>
      <w:r>
        <w:t xml:space="preserve"> It has deep data on seniors but little outside Medicare.</w:t>
      </w:r>
    </w:p>
    <w:p>
      <w:pPr>
        <w:spacing w:after="140" w:line="288"/>
      </w:pPr>
      <w:r>
        <w:t xml:space="preserve">The strongest opening is neutrality: sell the same tools without being owned by the insurer on the other side of the table. A federal rule requiring payers to offer standard prior-authorization interfaces by 2027 also lowers Optum's connectivity advantage. That detail comes from background knowledge and should be verified.</w:t>
      </w:r>
    </w:p>
    <w:p>
      <w:pPr>
        <w:pStyle w:val="Heading1"/>
      </w:pPr>
      <w:r>
        <w:t xml:space="preserve">Sources and caveats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Company material: UnitedHealth Group 10-K and earnings releases, Optum product pages and press releases.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Trade and legal press: Becker's, Fierce Healthcare, Healthcare Dive, Healthcare Finance News, Reuters, KLAS summaries, and law-firm analyses of the Change Healthcare antitrust ruling.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Figures are as of Q2 2026 or earlier; Q3 2026 results had not been published at the time of writing.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Descriptive analysis only; not investment advice.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Optum Insight supplement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2026-10-02T13:12:50.092Z</dcterms:created>
  <dcterms:modified xsi:type="dcterms:W3CDTF">2026-10-02T13:12:50.101Z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