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</w:pPr>
      <w:r>
        <w:rPr>
          <w:b/>
          <w:bCs/>
          <w:color w:val="1F2430"/>
          <w:sz w:val="42"/>
          <w:szCs w:val="42"/>
        </w:rPr>
        <w:t xml:space="preserve">Database Flexibility in Frappe</w:t>
      </w:r>
    </w:p>
    <w:p>
      <w:pPr>
        <w:spacing w:after="190"/>
      </w:pPr>
      <w:r>
        <w:rPr>
          <w:b/>
          <w:bCs/>
          <w:color w:val="5B3EE8"/>
          <w:sz w:val="25"/>
          <w:szCs w:val="25"/>
        </w:rPr>
        <w:t xml:space="preserve">Feasibility &amp; Implementation Mechanism</w:t>
      </w:r>
    </w:p>
    <w:p>
      <w:pPr>
        <w:pBdr>
          <w:bottom w:val="single" w:color="D9D5F5" w:sz="6"/>
        </w:pBdr>
        <w:spacing w:after="190"/>
      </w:pPr>
    </w:p>
    <w:p>
      <w:pPr>
        <w:spacing w:after="40"/>
      </w:pPr>
      <w:r>
        <w:rPr>
          <w:b/>
          <w:bCs/>
          <w:color w:val="5A6270"/>
          <w:sz w:val="19"/>
          <w:szCs w:val="19"/>
        </w:rPr>
        <w:t xml:space="preserve">ClickUp task: </w:t>
      </w:r>
      <w:r>
        <w:rPr>
          <w:color w:val="5A6270"/>
          <w:sz w:val="19"/>
          <w:szCs w:val="19"/>
        </w:rPr>
        <w:t xml:space="preserve">Database flexibility in Frappe (86d46ay07)</w:t>
      </w:r>
    </w:p>
    <w:p>
      <w:pPr>
        <w:spacing w:after="40"/>
      </w:pPr>
      <w:r>
        <w:rPr>
          <w:b/>
          <w:bCs/>
          <w:color w:val="5A6270"/>
          <w:sz w:val="19"/>
          <w:szCs w:val="19"/>
        </w:rPr>
        <w:t xml:space="preserve">Driver: </w:t>
      </w:r>
      <w:r>
        <w:rPr>
          <w:color w:val="5A6270"/>
          <w:sz w:val="19"/>
          <w:szCs w:val="19"/>
        </w:rPr>
        <w:t xml:space="preserve">Client requirement (PLM) — build deferred, feasibility required now</w:t>
      </w:r>
    </w:p>
    <w:p>
      <w:pPr>
        <w:spacing w:after="40"/>
      </w:pPr>
      <w:r>
        <w:rPr>
          <w:b/>
          <w:bCs/>
          <w:color w:val="5A6270"/>
          <w:sz w:val="19"/>
          <w:szCs w:val="19"/>
        </w:rPr>
        <w:t xml:space="preserve">Date: </w:t>
      </w:r>
      <w:r>
        <w:rPr>
          <w:color w:val="5A6270"/>
          <w:sz w:val="19"/>
          <w:szCs w:val="19"/>
        </w:rPr>
        <w:t xml:space="preserve">September 2, 2026</w:t>
      </w:r>
    </w:p>
    <w:p>
      <w:pPr>
        <w:spacing w:after="40"/>
      </w:pPr>
      <w:r>
        <w:rPr>
          <w:b/>
          <w:bCs/>
          <w:color w:val="5A6270"/>
          <w:sz w:val="19"/>
          <w:szCs w:val="19"/>
        </w:rPr>
        <w:t xml:space="preserve">Deliverable: </w:t>
      </w:r>
      <w:r>
        <w:rPr>
          <w:color w:val="5A6270"/>
          <w:sz w:val="19"/>
          <w:szCs w:val="19"/>
        </w:rPr>
        <w:t xml:space="preserve">Proven routing mechanism + reference adapter</w:t>
      </w:r>
    </w:p>
    <w:p>
      <w:pPr>
        <w:spacing w:after="190"/>
      </w:pPr>
    </w:p>
    <w:p>
      <w:pPr>
        <w:pStyle w:val="Heading1"/>
        <w:spacing w:after="160" w:before="320"/>
      </w:pPr>
      <w:r>
        <w:t xml:space="preserve">1. Where Frappe Already Is</w:t>
      </w:r>
    </w:p>
    <w:p>
      <w:pPr>
        <w:spacing w:after="150"/>
      </w:pPr>
      <w:r>
        <w:t xml:space="preserve">Frappe's storage layer is more pluggable than it first appears. Four adapters ship today — MariaDB, Postgres, SQLite and DuckDB — all implementing one Database base class contract covering reads, writes, counts, escaping and transactions. That contract is the specification any new backend has to satisfy; it does not have to be invented.</w:t>
      </w:r>
    </w:p>
    <w:p>
      <w:pPr>
        <w:spacing w:after="150"/>
      </w:pPr>
      <w:r>
        <w:t xml:space="preserve">Two caveats found in the code. Backend selection is dispatched through scattered conditionals on the configured database type rather than a registry, so adding a backend today means finding every branch — worth fixing first regardless of direction. And four subsystems assume a single SQL database more deeply than plain reads and writes do: permission enforcement (which injects SQL conditions), user-authored SQL reports, the cross-DocType search index, and schema migration. Those four are the real cost of this work, not create/read/update/delete.</w:t>
      </w:r>
    </w:p>
    <w:p>
      <w:pPr>
        <w:pStyle w:val="Heading1"/>
        <w:spacing w:after="160" w:before="320"/>
      </w:pPr>
      <w:r>
        <w:t xml:space="preserve">2. The Mechanism</w:t>
      </w:r>
    </w:p>
    <w:p>
      <w:pPr>
        <w:spacing w:after="150"/>
      </w:pPr>
      <w:r>
        <w:t xml:space="preserve">Frappe exposes a controller override hook that lets a separate app supply its own controller class for a specific DocType, intercepting the persistence methods. That is the whole basis of the approach, and it is what keeps this out of a framework fork: core is untouched, so upstream releases keep merging cleanly.</w:t>
      </w:r>
    </w:p>
    <w:p>
      <w:pPr>
        <w:spacing w:after="150"/>
      </w:pPr>
      <w:r>
        <w:rPr>
          <w:b/>
          <w:bCs/>
        </w:rPr>
        <w:t xml:space="preserve">Per-DocType routing. </w:t>
      </w:r>
      <w:r>
        <w:t xml:space="preserve">A registry maps DocType to backend, read from site configuration rather than hardcoded. Any DocType not in the registry uses the default relational path unchanged — which will be the overwhelming majority, and is why the blast radius stays small.</w:t>
      </w:r>
    </w:p>
    <w:p>
      <w:pPr>
        <w:spacing w:after="150"/>
      </w:pPr>
      <w:r>
        <w:rPr>
          <w:b/>
          <w:bCs/>
        </w:rPr>
        <w:t xml:space="preserve">The adapter contract. </w:t>
      </w:r>
      <w:r>
        <w:t xml:space="preserve">Each backend implements the same narrow interface — insert, load, update, delete, list-with-filters, count — modelled on the existing Database base class. A backend that cannot honour an operation says so explicitly instead of failing quietly (§8).</w:t>
      </w:r>
    </w:p>
    <w:p>
      <w:pPr>
        <w:spacing w:after="150"/>
      </w:pPr>
      <w:r>
        <w:rPr>
          <w:b/>
          <w:bCs/>
        </w:rPr>
        <w:t xml:space="preserve">Cross-store references. </w:t>
      </w:r>
      <w:r>
        <w:t xml:space="preserve">This is the hard part and the part the requirement actually turns on. When a relationally-stored DocType links to one stored elsewhere, the join cannot happen inside a single query. It is resolved above the storage layer: fetch identifiers on one side, fetch records on the other, assemble the result so the caller sees one coherent document. Callers do not know a boundary was crossed.</w:t>
      </w:r>
    </w:p>
    <w:p>
      <w:pPr>
        <w:spacing w:after="150"/>
      </w:pPr>
      <w:r>
        <w:rPr>
          <w:b/>
          <w:bCs/>
        </w:rPr>
        <w:t xml:space="preserve">Consistency. </w:t>
      </w:r>
      <w:r>
        <w:t xml:space="preserve">Writes spanning two stores are not atomic and cannot be made so by wrapping them in optimism. The relational row is the existence record, written first; the secondary store is written second; a reconciliation job repairs partial failures. This is a property of the design, not a defect to be hidden — and it needs the client's explicit sign-off, because 'behaves as one database' cannot mean full ACID across two engines.</w:t>
      </w:r>
    </w:p>
    <w:p>
      <w:pPr>
        <w:spacing w:after="150"/>
      </w:pPr>
      <w:r>
        <w:rPr>
          <w:b/>
          <w:bCs/>
        </w:rPr>
        <w:t xml:space="preserve">Feature boundaries. </w:t>
      </w:r>
      <w:r>
        <w:t xml:space="preserve">User-authored SQL reports cannot run against a non-SQL-backed DocType. The correct behaviour is an explicit, clearly-worded limitation surfaced in the interface, never a silent empty result (§8). Permission filtering and search indexing each need a purpose-built implementation for such a DocType.</w:t>
      </w:r>
    </w:p>
    <w:p>
      <w:pPr>
        <w:pStyle w:val="Heading1"/>
        <w:spacing w:after="160" w:before="320"/>
      </w:pPr>
      <w:r>
        <w:t xml:space="preserve">3. Options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3366"/>
        <w:gridCol w:w="2475"/>
        <w:gridCol w:w="2673"/>
      </w:tblGrid>
      <w:tr>
        <w:trPr>
          <w:tblHeader/>
        </w:trPr>
        <w:tc>
          <w:tcPr>
            <w:tcW w:type="dxa" w:w="1386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3366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2475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Pros</w:t>
            </w:r>
          </w:p>
        </w:tc>
        <w:tc>
          <w:tcPr>
            <w:tcW w:type="dxa" w:w="2673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</w:t>
            </w:r>
          </w:p>
        </w:tc>
      </w:tr>
      <w:tr>
        <w:tc>
          <w:tcPr>
            <w:tcW w:type="dxa" w:w="13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 — JSON column in the existing store</w:t>
            </w:r>
          </w:p>
        </w:tc>
        <w:tc>
          <w:tcPr>
            <w:tcW w:type="dxa" w:w="33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Variable attributes held in a JSON/JSONB column on the existing table.</w:t>
            </w:r>
          </w:p>
        </w:tc>
        <w:tc>
          <w:tcPr>
            <w:tcW w:type="dxa" w:w="2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 cross-store problem at all. Comfortably handles the write volumes discussed (thousands per minute) at ordinary document sizes.</w:t>
            </w:r>
          </w:p>
        </w:tc>
        <w:tc>
          <w:tcPr>
            <w:tcW w:type="dxa" w:w="26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Delivers schema flexibility, not a different engine. Costly only with large documents at very high write rates.</w:t>
            </w:r>
          </w:p>
        </w:tc>
      </w:tr>
      <w:tr>
        <w:tc>
          <w:tcPr>
            <w:tcW w:type="dxa" w:w="1386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 — Per-DocType polyglot persistence</w:t>
            </w:r>
          </w:p>
        </w:tc>
        <w:tc>
          <w:tcPr>
            <w:tcW w:type="dxa" w:w="3366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Specific DocTypes routed to specific engines through controller overrides, with cross-store reference resolution.</w:t>
            </w:r>
          </w:p>
        </w:tc>
        <w:tc>
          <w:tcPr>
            <w:tcW w:type="dxa" w:w="2475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Delivers the literal requirement; each DocType can sit on the engine that suits its access pattern.</w:t>
            </w:r>
          </w:p>
        </w:tc>
        <w:tc>
          <w:tcPr>
            <w:tcW w:type="dxa" w:w="2673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Router, adapter, resolver and reconciliation to build and maintain; several framework features need bespoke handling per routed DocType.</w:t>
            </w:r>
          </w:p>
        </w:tc>
      </w:tr>
      <w:tr>
        <w:tc>
          <w:tcPr>
            <w:tcW w:type="dxa" w:w="13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 — Fully swappable core</w:t>
            </w:r>
          </w:p>
        </w:tc>
        <w:tc>
          <w:tcPr>
            <w:tcW w:type="dxa" w:w="33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Every DocType portable to any engine with full feature parity.</w:t>
            </w:r>
          </w:p>
        </w:tc>
        <w:tc>
          <w:tcPr>
            <w:tcW w:type="dxa" w:w="2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Satisfies the most expansive reading of the requirement.</w:t>
            </w:r>
          </w:p>
        </w:tc>
        <w:tc>
          <w:tcPr>
            <w:tcW w:type="dxa" w:w="26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An open-ended rewrite of the model and query layers, permanently diverging from upstream. Not recommended.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establish which specific data actually needs non-relational storage, and why, before building Option B. If the underlying need is schema flexibility at moderate write volume, Option A delivers it at a fraction of the cost — and that determination is a conversation, not a spike. If the need is a genuinely different access pattern, scope Option B to that data rather than to 'any DocType, any store'.</w:t>
      </w:r>
    </w:p>
    <w:p>
      <w:pPr>
        <w:pStyle w:val="Heading1"/>
        <w:spacing w:after="160" w:before="320"/>
      </w:pPr>
      <w:r>
        <w:t xml:space="preserve">4. Plan</w:t>
      </w:r>
    </w:p>
    <w:p>
      <w:pPr>
        <w:spacing w:after="150"/>
      </w:pPr>
      <w:r>
        <w:t xml:space="preserve">This runs alongside the Clockapp build week rather than blocking it, and produces a reference implementation the wider team can extend later.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"/>
        <w:gridCol w:w="4554"/>
        <w:gridCol w:w="1584"/>
        <w:gridCol w:w="792"/>
        <w:gridCol w:w="2277"/>
      </w:tblGrid>
      <w:tr>
        <w:trPr>
          <w:tblHeader/>
        </w:trPr>
        <w:tc>
          <w:tcPr>
            <w:tcW w:type="dxa" w:w="693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54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584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792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277"/>
            <w:shd w:fill="5B3EE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D1</w:t>
            </w:r>
          </w:p>
        </w:tc>
        <w:tc>
          <w:tcPr>
            <w:tcW w:type="dxa" w:w="4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Replace scattered backend dispatch with a registry</w:t>
            </w:r>
          </w:p>
        </w:tc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0.5</w:t>
            </w:r>
          </w:p>
        </w:tc>
        <w:tc>
          <w:tcPr>
            <w:tcW w:type="dxa" w:w="2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93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D2</w:t>
            </w:r>
          </w:p>
        </w:tc>
        <w:tc>
          <w:tcPr>
            <w:tcW w:type="dxa" w:w="455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Formalise the adapter contract from the existing base class</w:t>
            </w:r>
          </w:p>
        </w:tc>
        <w:tc>
          <w:tcPr>
            <w:tcW w:type="dxa" w:w="158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0.5</w:t>
            </w:r>
          </w:p>
        </w:tc>
        <w:tc>
          <w:tcPr>
            <w:tcW w:type="dxa" w:w="2277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D1</w:t>
            </w:r>
          </w:p>
        </w:tc>
      </w:tr>
      <w:tr>
        <w:tc>
          <w:tcPr>
            <w:tcW w:type="dxa" w:w="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D3</w:t>
            </w:r>
          </w:p>
        </w:tc>
        <w:tc>
          <w:tcPr>
            <w:tcW w:type="dxa" w:w="4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Reference adapter for one non-relational engine: create, read, update, delete, list</w:t>
            </w:r>
          </w:p>
        </w:tc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2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D2</w:t>
            </w:r>
          </w:p>
        </w:tc>
      </w:tr>
      <w:tr>
        <w:tc>
          <w:tcPr>
            <w:tcW w:type="dxa" w:w="693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D4</w:t>
            </w:r>
          </w:p>
        </w:tc>
        <w:tc>
          <w:tcPr>
            <w:tcW w:type="dxa" w:w="455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Cross-store reference resolution for reads and filtered lists</w:t>
            </w:r>
          </w:p>
        </w:tc>
        <w:tc>
          <w:tcPr>
            <w:tcW w:type="dxa" w:w="158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2277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D3</w:t>
            </w:r>
          </w:p>
        </w:tc>
      </w:tr>
      <w:tr>
        <w:tc>
          <w:tcPr>
            <w:tcW w:type="dxa" w:w="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D5</w:t>
            </w:r>
          </w:p>
        </w:tc>
        <w:tc>
          <w:tcPr>
            <w:tcW w:type="dxa" w:w="4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Consistency strategy: write ordering plus reconciliation job</w:t>
            </w:r>
          </w:p>
        </w:tc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D4</w:t>
            </w:r>
          </w:p>
        </w:tc>
      </w:tr>
      <w:tr>
        <w:tc>
          <w:tcPr>
            <w:tcW w:type="dxa" w:w="693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D6</w:t>
            </w:r>
          </w:p>
        </w:tc>
        <w:tc>
          <w:tcPr>
            <w:tcW w:type="dxa" w:w="455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Boundary handling: permissions, search indexing, explicit report limitation</w:t>
            </w:r>
          </w:p>
        </w:tc>
        <w:tc>
          <w:tcPr>
            <w:tcW w:type="dxa" w:w="158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Team</w:t>
            </w:r>
          </w:p>
        </w:tc>
        <w:tc>
          <w:tcPr>
            <w:tcW w:type="dxa" w:w="792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2277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D4</w:t>
            </w:r>
          </w:p>
        </w:tc>
      </w:tr>
      <w:tr>
        <w:tc>
          <w:tcPr>
            <w:tcW w:type="dxa" w:w="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D7</w:t>
            </w:r>
          </w:p>
        </w:tc>
        <w:tc>
          <w:tcPr>
            <w:tcW w:type="dxa" w:w="4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Migration mechanism for the routed backend</w:t>
            </w:r>
          </w:p>
        </w:tc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Team</w:t>
            </w:r>
          </w:p>
        </w:tc>
        <w:tc>
          <w:tcPr>
            <w:tcW w:type="dxa" w:w="7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D3</w:t>
            </w:r>
          </w:p>
        </w:tc>
      </w:tr>
      <w:tr>
        <w:tc>
          <w:tcPr>
            <w:tcW w:type="dxa" w:w="693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D8</w:t>
            </w:r>
          </w:p>
        </w:tc>
        <w:tc>
          <w:tcPr>
            <w:tcW w:type="dxa" w:w="455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Tests: correctness, cross-store joins, failure-mode consistency, permissions</w:t>
            </w:r>
          </w:p>
        </w:tc>
        <w:tc>
          <w:tcPr>
            <w:tcW w:type="dxa" w:w="1584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Team</w:t>
            </w:r>
          </w:p>
        </w:tc>
        <w:tc>
          <w:tcPr>
            <w:tcW w:type="dxa" w:w="792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2277"/>
            <w:shd w:fill="F2F0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D5</w:t>
            </w:r>
          </w:p>
        </w:tc>
      </w:tr>
      <w:tr>
        <w:tc>
          <w:tcPr>
            <w:tcW w:type="dxa" w:w="6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D9</w:t>
            </w:r>
          </w:p>
        </w:tc>
        <w:tc>
          <w:tcPr>
            <w:tcW w:type="dxa" w:w="4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Developer guide: how to route a DocType to another backend</w:t>
            </w:r>
          </w:p>
        </w:tc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Arch</w:t>
            </w:r>
          </w:p>
        </w:tc>
        <w:tc>
          <w:tcPr>
            <w:tcW w:type="dxa" w:w="7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0.5</w:t>
            </w:r>
          </w:p>
        </w:tc>
        <w:tc>
          <w:tcPr>
            <w:tcW w:type="dxa" w:w="2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D6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b/>
          <w:bCs/>
        </w:rPr>
        <w:t xml:space="preserve">Sequence: </w:t>
      </w:r>
      <w:r>
        <w:t xml:space="preserve">D1–D5 (architecture, Sep 7–11) prove the mechanism end to end on one DocType. D6–D9 follow once the client has named the data this is for; without that, everything past D5 is building for a hypothesis.</w:t>
      </w:r>
    </w:p>
    <w:p>
      <w:pPr>
        <w:pStyle w:val="Heading1"/>
        <w:spacing w:after="160" w:before="320"/>
      </w:pPr>
      <w:r>
        <w:t xml:space="preserve">5. Feasibility Summary</w:t>
      </w:r>
    </w:p>
    <w:p>
      <w:pPr>
        <w:spacing w:after="150"/>
      </w:pPr>
      <w:r>
        <w:t xml:space="preserve">Mechanically, this is feasible and the framework cooperates with it: the adapter contract exists, the controller override hook exists, and no fork is required. The genuine costs are cross-store reference resolution, the loss of atomic writes across engines, and per-DocType reimplementation of permission filtering and search for anything routed off the relational store. Those are all bounded and known — they are only unbounded if the goal is stated as 'any DocType on any engine with full feature parity', which is the option this document recommends against.</w:t>
      </w:r>
    </w:p>
    <w:p>
      <w:pPr>
        <w:spacing w:after="400"/>
      </w:pPr>
    </w:p>
    <w:p>
      <w:r>
        <w:rPr>
          <w:i/>
          <w:iCs/>
          <w:color w:val="5A6270"/>
          <w:sz w:val="17"/>
          <w:szCs w:val="17"/>
        </w:rPr>
        <w:t xml:space="preserve">Database flexibility — feasibility and mechanism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2026-09-02T09:13:48.454Z</dcterms:created>
  <dcterms:modified xsi:type="dcterms:W3CDTF">2026-09-02T09:13:48.454Z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