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Business Analyst Platform</w:t>
        <w:br/>
        <w:t>Volume 2 – Engineering Design Specification (EDS)</w:t>
      </w:r>
    </w:p>
    <w:p>
      <w:pPr>
        <w:jc w:val="center"/>
      </w:pPr>
      <w:r>
        <w:rPr>
          <w:b/>
        </w:rPr>
        <w:t>Chapter 5 – Data Architecture &amp; Database Design</w:t>
        <w:br/>
      </w:r>
      <w:r>
        <w:t>Draft v1.0</w:t>
      </w:r>
    </w:p>
    <w:p>
      <w:pPr>
        <w:pStyle w:val="Heading1"/>
      </w:pPr>
      <w:r>
        <w:t>1. Objective</w:t>
      </w:r>
    </w:p>
    <w:p>
      <w:r>
        <w:t>This chapter defines how business data, analytical metadata, conversations, reports and AI-generated insights are stored. The architecture separates raw datasets from processed analytical artifacts to improve scalability, traceability and future extensibility.</w:t>
      </w:r>
    </w:p>
    <w:p>
      <w:pPr>
        <w:pStyle w:val="Heading1"/>
      </w:pPr>
      <w:r>
        <w:t>2. Storage Strategy</w:t>
      </w:r>
    </w:p>
    <w:tbl>
      <w:tblPr>
        <w:tblStyle w:val="TableGrid"/>
        <w:tblW w:type="auto" w:w="0"/>
        <w:tblLook w:firstColumn="1" w:firstRow="1" w:lastColumn="0" w:lastRow="0" w:noHBand="0" w:noVBand="1" w:val="04A0"/>
      </w:tblPr>
      <w:tblGrid>
        <w:gridCol w:w="2880"/>
        <w:gridCol w:w="2880"/>
        <w:gridCol w:w="2880"/>
      </w:tblGrid>
      <w:tr>
        <w:tc>
          <w:tcPr>
            <w:tcW w:type="dxa" w:w="2880"/>
          </w:tcPr>
          <w:p>
            <w:r>
              <w:t>Storage Layer</w:t>
            </w:r>
          </w:p>
        </w:tc>
        <w:tc>
          <w:tcPr>
            <w:tcW w:type="dxa" w:w="2880"/>
          </w:tcPr>
          <w:p>
            <w:r>
              <w:t>Technology</w:t>
            </w:r>
          </w:p>
        </w:tc>
        <w:tc>
          <w:tcPr>
            <w:tcW w:type="dxa" w:w="2880"/>
          </w:tcPr>
          <w:p>
            <w:r>
              <w:t>Purpose</w:t>
            </w:r>
          </w:p>
        </w:tc>
      </w:tr>
      <w:tr>
        <w:tc>
          <w:tcPr>
            <w:tcW w:type="dxa" w:w="2880"/>
          </w:tcPr>
          <w:p>
            <w:r>
              <w:t>Relational Database</w:t>
            </w:r>
          </w:p>
        </w:tc>
        <w:tc>
          <w:tcPr>
            <w:tcW w:type="dxa" w:w="2880"/>
          </w:tcPr>
          <w:p>
            <w:r>
              <w:t>PostgreSQL</w:t>
            </w:r>
          </w:p>
        </w:tc>
        <w:tc>
          <w:tcPr>
            <w:tcW w:type="dxa" w:w="2880"/>
          </w:tcPr>
          <w:p>
            <w:r>
              <w:t>Users, workspaces, metadata, insights</w:t>
            </w:r>
          </w:p>
        </w:tc>
      </w:tr>
      <w:tr>
        <w:tc>
          <w:tcPr>
            <w:tcW w:type="dxa" w:w="2880"/>
          </w:tcPr>
          <w:p>
            <w:r>
              <w:t>Object Storage</w:t>
            </w:r>
          </w:p>
        </w:tc>
        <w:tc>
          <w:tcPr>
            <w:tcW w:type="dxa" w:w="2880"/>
          </w:tcPr>
          <w:p>
            <w:r>
              <w:t>Local/S3 compatible</w:t>
            </w:r>
          </w:p>
        </w:tc>
        <w:tc>
          <w:tcPr>
            <w:tcW w:type="dxa" w:w="2880"/>
          </w:tcPr>
          <w:p>
            <w:r>
              <w:t>Raw CSV/XLSX files and exports</w:t>
            </w:r>
          </w:p>
        </w:tc>
      </w:tr>
      <w:tr>
        <w:tc>
          <w:tcPr>
            <w:tcW w:type="dxa" w:w="2880"/>
          </w:tcPr>
          <w:p>
            <w:r>
              <w:t>Cache</w:t>
            </w:r>
          </w:p>
        </w:tc>
        <w:tc>
          <w:tcPr>
            <w:tcW w:type="dxa" w:w="2880"/>
          </w:tcPr>
          <w:p>
            <w:r>
              <w:t>Redis</w:t>
            </w:r>
          </w:p>
        </w:tc>
        <w:tc>
          <w:tcPr>
            <w:tcW w:type="dxa" w:w="2880"/>
          </w:tcPr>
          <w:p>
            <w:r>
              <w:t>Sessions, chat context, temporary analytics</w:t>
            </w:r>
          </w:p>
        </w:tc>
      </w:tr>
      <w:tr>
        <w:tc>
          <w:tcPr>
            <w:tcW w:type="dxa" w:w="2880"/>
          </w:tcPr>
          <w:p>
            <w:r>
              <w:t>Logs</w:t>
            </w:r>
          </w:p>
        </w:tc>
        <w:tc>
          <w:tcPr>
            <w:tcW w:type="dxa" w:w="2880"/>
          </w:tcPr>
          <w:p>
            <w:r>
              <w:t>Structured log store</w:t>
            </w:r>
          </w:p>
        </w:tc>
        <w:tc>
          <w:tcPr>
            <w:tcW w:type="dxa" w:w="2880"/>
          </w:tcPr>
          <w:p>
            <w:r>
              <w:t>Audit trail and diagnostics</w:t>
            </w:r>
          </w:p>
        </w:tc>
      </w:tr>
    </w:tbl>
    <w:p>
      <w:pPr>
        <w:pStyle w:val="Heading1"/>
      </w:pPr>
      <w:r>
        <w:t>3. Core Entities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w:t>
            </w:r>
          </w:p>
        </w:tc>
      </w:tr>
      <w:tr>
        <w:tc>
          <w:tcPr>
            <w:tcW w:type="dxa" w:w="4320"/>
          </w:tcPr>
          <w:p>
            <w:r>
              <w:t>User</w:t>
            </w:r>
          </w:p>
        </w:tc>
        <w:tc>
          <w:tcPr>
            <w:tcW w:type="dxa" w:w="4320"/>
          </w:tcPr>
          <w:p>
            <w:r>
              <w:t>Owns workspaces and permissions</w:t>
            </w:r>
          </w:p>
        </w:tc>
      </w:tr>
      <w:tr>
        <w:tc>
          <w:tcPr>
            <w:tcW w:type="dxa" w:w="4320"/>
          </w:tcPr>
          <w:p>
            <w:r>
              <w:t>Workspace</w:t>
            </w:r>
          </w:p>
        </w:tc>
        <w:tc>
          <w:tcPr>
            <w:tcW w:type="dxa" w:w="4320"/>
          </w:tcPr>
          <w:p>
            <w:r>
              <w:t>Logical project containing one or more datasets</w:t>
            </w:r>
          </w:p>
        </w:tc>
      </w:tr>
      <w:tr>
        <w:tc>
          <w:tcPr>
            <w:tcW w:type="dxa" w:w="4320"/>
          </w:tcPr>
          <w:p>
            <w:r>
              <w:t>Dataset</w:t>
            </w:r>
          </w:p>
        </w:tc>
        <w:tc>
          <w:tcPr>
            <w:tcW w:type="dxa" w:w="4320"/>
          </w:tcPr>
          <w:p>
            <w:r>
              <w:t>Uploaded business file</w:t>
            </w:r>
          </w:p>
        </w:tc>
      </w:tr>
      <w:tr>
        <w:tc>
          <w:tcPr>
            <w:tcW w:type="dxa" w:w="4320"/>
          </w:tcPr>
          <w:p>
            <w:r>
              <w:t>DatasetProfile</w:t>
            </w:r>
          </w:p>
        </w:tc>
        <w:tc>
          <w:tcPr>
            <w:tcW w:type="dxa" w:w="4320"/>
          </w:tcPr>
          <w:p>
            <w:r>
              <w:t>Schema, statistics, data quality</w:t>
            </w:r>
          </w:p>
        </w:tc>
      </w:tr>
      <w:tr>
        <w:tc>
          <w:tcPr>
            <w:tcW w:type="dxa" w:w="4320"/>
          </w:tcPr>
          <w:p>
            <w:r>
              <w:t>Insight</w:t>
            </w:r>
          </w:p>
        </w:tc>
        <w:tc>
          <w:tcPr>
            <w:tcW w:type="dxa" w:w="4320"/>
          </w:tcPr>
          <w:p>
            <w:r>
              <w:t>Evidence-backed analytical finding</w:t>
            </w:r>
          </w:p>
        </w:tc>
      </w:tr>
      <w:tr>
        <w:tc>
          <w:tcPr>
            <w:tcW w:type="dxa" w:w="4320"/>
          </w:tcPr>
          <w:p>
            <w:r>
              <w:t>Recommendation</w:t>
            </w:r>
          </w:p>
        </w:tc>
        <w:tc>
          <w:tcPr>
            <w:tcW w:type="dxa" w:w="4320"/>
          </w:tcPr>
          <w:p>
            <w:r>
              <w:t>Action generated from insights</w:t>
            </w:r>
          </w:p>
        </w:tc>
      </w:tr>
      <w:tr>
        <w:tc>
          <w:tcPr>
            <w:tcW w:type="dxa" w:w="4320"/>
          </w:tcPr>
          <w:p>
            <w:r>
              <w:t>Conversation</w:t>
            </w:r>
          </w:p>
        </w:tc>
        <w:tc>
          <w:tcPr>
            <w:tcW w:type="dxa" w:w="4320"/>
          </w:tcPr>
          <w:p>
            <w:r>
              <w:t>Chat session linked to workspace</w:t>
            </w:r>
          </w:p>
        </w:tc>
      </w:tr>
      <w:tr>
        <w:tc>
          <w:tcPr>
            <w:tcW w:type="dxa" w:w="4320"/>
          </w:tcPr>
          <w:p>
            <w:r>
              <w:t>Report</w:t>
            </w:r>
          </w:p>
        </w:tc>
        <w:tc>
          <w:tcPr>
            <w:tcW w:type="dxa" w:w="4320"/>
          </w:tcPr>
          <w:p>
            <w:r>
              <w:t>Exported executive summary</w:t>
            </w:r>
          </w:p>
        </w:tc>
      </w:tr>
    </w:tbl>
    <w:p>
      <w:pPr>
        <w:pStyle w:val="Heading1"/>
      </w:pPr>
      <w:r>
        <w:t>4. Logical Relationships</w:t>
      </w:r>
    </w:p>
    <w:p>
      <w:r>
        <w:t>User</w:t>
        <w:br/>
        <w:t xml:space="preserve"> └── Workspace</w:t>
        <w:br/>
        <w:t xml:space="preserve">      ├── Dataset</w:t>
        <w:br/>
        <w:t xml:space="preserve">      │     ├── DatasetProfile</w:t>
        <w:br/>
        <w:t xml:space="preserve">      │     ├── KPISet</w:t>
        <w:br/>
        <w:t xml:space="preserve">      │     ├── Chart</w:t>
        <w:br/>
        <w:t xml:space="preserve">      │     ├── Insight</w:t>
        <w:br/>
        <w:t xml:space="preserve">      │     └── Recommendation</w:t>
        <w:br/>
        <w:t xml:space="preserve">      ├── Conversation</w:t>
        <w:br/>
        <w:t xml:space="preserve">      └── Report</w:t>
        <w:br/>
      </w:r>
    </w:p>
    <w:p>
      <w:pPr>
        <w:pStyle w:val="Heading1"/>
      </w:pPr>
      <w:r>
        <w:t>5. Table Design Guidelines</w:t>
      </w:r>
    </w:p>
    <w:p>
      <w:pPr>
        <w:pStyle w:val="ListBullet"/>
      </w:pPr>
      <w:r>
        <w:t>Use UUID primary keys for externally exposed entities.</w:t>
      </w:r>
    </w:p>
    <w:p>
      <w:pPr>
        <w:pStyle w:val="ListBullet"/>
      </w:pPr>
      <w:r>
        <w:t>Include created_at and updated_at timestamps.</w:t>
      </w:r>
    </w:p>
    <w:p>
      <w:pPr>
        <w:pStyle w:val="ListBullet"/>
      </w:pPr>
      <w:r>
        <w:t>Support soft deletion where business recovery is important.</w:t>
      </w:r>
    </w:p>
    <w:p>
      <w:pPr>
        <w:pStyle w:val="ListBullet"/>
      </w:pPr>
      <w:r>
        <w:t>Store analytical artifacts separately from raw uploads.</w:t>
      </w:r>
    </w:p>
    <w:p>
      <w:pPr>
        <w:pStyle w:val="ListBullet"/>
      </w:pPr>
      <w:r>
        <w:t>Maintain foreign key integrity between workspaces and assets.</w:t>
      </w:r>
    </w:p>
    <w:p>
      <w:pPr>
        <w:pStyle w:val="Heading1"/>
      </w:pPr>
      <w:r>
        <w:t>6. Indexing Strategy</w:t>
      </w:r>
    </w:p>
    <w:p>
      <w:pPr>
        <w:pStyle w:val="ListBullet"/>
      </w:pPr>
      <w:r>
        <w:t>Index workspace_id on analytical tables.</w:t>
      </w:r>
    </w:p>
    <w:p>
      <w:pPr>
        <w:pStyle w:val="ListBullet"/>
      </w:pPr>
      <w:r>
        <w:t>Index dataset_id for KPI, insight and chart lookups.</w:t>
      </w:r>
    </w:p>
    <w:p>
      <w:pPr>
        <w:pStyle w:val="ListBullet"/>
      </w:pPr>
      <w:r>
        <w:t>Full-text index on conversation messages (future).</w:t>
      </w:r>
    </w:p>
    <w:p>
      <w:pPr>
        <w:pStyle w:val="ListBullet"/>
      </w:pPr>
      <w:r>
        <w:t>Composite indexes for common dashboard queries.</w:t>
      </w:r>
    </w:p>
    <w:p>
      <w:pPr>
        <w:pStyle w:val="Heading1"/>
      </w:pPr>
      <w:r>
        <w:t>7. Versioning &amp; Metadata</w:t>
      </w:r>
    </w:p>
    <w:p>
      <w:r>
        <w:t>Each uploaded dataset receives a unique version identifier. Profiles, KPIs and insights are linked to the dataset version to ensure reproducibility. Re-uploading a modified file creates a new version rather than overwriting historical analysis.</w:t>
      </w:r>
    </w:p>
    <w:p>
      <w:pPr>
        <w:pStyle w:val="Heading1"/>
      </w:pPr>
      <w:r>
        <w:t>8. Backup &amp; Recovery</w:t>
      </w:r>
    </w:p>
    <w:p>
      <w:r>
        <w:t>Metadata should be backed up through scheduled PostgreSQL backups. Raw datasets and exported reports should be replicated through object storage policies. Recovery procedures must preserve referential integrity between metadata and files.</w:t>
      </w:r>
    </w:p>
    <w:p>
      <w:pPr>
        <w:pStyle w:val="Heading1"/>
      </w:pPr>
      <w:r>
        <w:t>9. Data Lifecycle</w:t>
      </w:r>
    </w:p>
    <w:p>
      <w:r>
        <w:t>Upload → Registration → Profiling → Analytics → Insight Generation → Reporting → Archive → Retention/Deletion.</w:t>
        <w:br/>
        <w:t>Retention policies should be configurable to support enterprise governance requirements.</w:t>
      </w:r>
    </w:p>
    <w:p>
      <w:pPr>
        <w:pStyle w:val="Heading1"/>
      </w:pPr>
      <w:r>
        <w:t>10. Transition to Chapter 6</w:t>
      </w:r>
    </w:p>
    <w:p>
      <w:r>
        <w:t>Chapter 6 will define the REST API specification, request/response contracts, authentication model, error codes and service interfaces used by the frontend and backend.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