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Business Analyst Platform</w:t>
        <w:br/>
        <w:t>Volume 2 – Engineering Design Specification (EDS)</w:t>
      </w:r>
    </w:p>
    <w:p>
      <w:pPr>
        <w:jc w:val="center"/>
      </w:pPr>
      <w:r>
        <w:rPr>
          <w:b/>
        </w:rPr>
        <w:t>Chapter 9 – Architecture Decision Records (ADR) &amp; Engineering Governance</w:t>
        <w:br/>
      </w:r>
      <w:r>
        <w:t>Draft v1.0</w:t>
      </w:r>
    </w:p>
    <w:p>
      <w:pPr>
        <w:pStyle w:val="Heading1"/>
      </w:pPr>
      <w:r>
        <w:t>1. Objective</w:t>
      </w:r>
    </w:p>
    <w:p>
      <w:r>
        <w:t>This chapter documents the key architectural decisions behind the platform. Every major technology and design choice is recorded with its rationale, alternatives considered, consequences and future review criteria.</w:t>
      </w:r>
    </w:p>
    <w:p>
      <w:pPr>
        <w:pStyle w:val="Heading1"/>
      </w:pPr>
      <w:r>
        <w:t>2. ADR Process</w:t>
      </w:r>
    </w:p>
    <w:p>
      <w:r>
        <w:t>Each Architecture Decision Record (ADR) follows a consistent structure: Decision ID, Status, Context, Decision, Alternatives Considered, Consequences, Risks, and Review Trigger.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ADR</w:t>
            </w:r>
          </w:p>
        </w:tc>
        <w:tc>
          <w:tcPr>
            <w:tcW w:type="dxa" w:w="1728"/>
          </w:tcPr>
          <w:p>
            <w:r>
              <w:t>Decision</w:t>
            </w:r>
          </w:p>
        </w:tc>
        <w:tc>
          <w:tcPr>
            <w:tcW w:type="dxa" w:w="1728"/>
          </w:tcPr>
          <w:p>
            <w:r>
              <w:t>Alternatives</w:t>
            </w:r>
          </w:p>
        </w:tc>
        <w:tc>
          <w:tcPr>
            <w:tcW w:type="dxa" w:w="1728"/>
          </w:tcPr>
          <w:p>
            <w:r>
              <w:t>Reason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</w:tr>
      <w:tr>
        <w:tc>
          <w:tcPr>
            <w:tcW w:type="dxa" w:w="1728"/>
          </w:tcPr>
          <w:p>
            <w:r>
              <w:t>ADR-001</w:t>
            </w:r>
          </w:p>
        </w:tc>
        <w:tc>
          <w:tcPr>
            <w:tcW w:type="dxa" w:w="1728"/>
          </w:tcPr>
          <w:p>
            <w:r>
              <w:t>FastAPI</w:t>
            </w:r>
          </w:p>
        </w:tc>
        <w:tc>
          <w:tcPr>
            <w:tcW w:type="dxa" w:w="1728"/>
          </w:tcPr>
          <w:p>
            <w:r>
              <w:t>Django, Flask</w:t>
            </w:r>
          </w:p>
        </w:tc>
        <w:tc>
          <w:tcPr>
            <w:tcW w:type="dxa" w:w="1728"/>
          </w:tcPr>
          <w:p>
            <w:r>
              <w:t>High-performance Python APIs with automatic OpenAPI generation.</w:t>
            </w:r>
          </w:p>
        </w:tc>
        <w:tc>
          <w:tcPr>
            <w:tcW w:type="dxa" w:w="1728"/>
          </w:tcPr>
          <w:p>
            <w:r>
              <w:t>Strong async support and data-science ecosystem alignment.</w:t>
            </w:r>
          </w:p>
        </w:tc>
      </w:tr>
      <w:tr>
        <w:tc>
          <w:tcPr>
            <w:tcW w:type="dxa" w:w="1728"/>
          </w:tcPr>
          <w:p>
            <w:r>
              <w:t>ADR-002</w:t>
            </w:r>
          </w:p>
        </w:tc>
        <w:tc>
          <w:tcPr>
            <w:tcW w:type="dxa" w:w="1728"/>
          </w:tcPr>
          <w:p>
            <w:r>
              <w:t>PostgreSQL</w:t>
            </w:r>
          </w:p>
        </w:tc>
        <w:tc>
          <w:tcPr>
            <w:tcW w:type="dxa" w:w="1728"/>
          </w:tcPr>
          <w:p>
            <w:r>
              <w:t>MongoDB</w:t>
            </w:r>
          </w:p>
        </w:tc>
        <w:tc>
          <w:tcPr>
            <w:tcW w:type="dxa" w:w="1728"/>
          </w:tcPr>
          <w:p>
            <w:r>
              <w:t>Relational metadata and transactional consistency.</w:t>
            </w:r>
          </w:p>
        </w:tc>
        <w:tc>
          <w:tcPr>
            <w:tcW w:type="dxa" w:w="1728"/>
          </w:tcPr>
          <w:p>
            <w:r>
              <w:t>Better support for structured business entities and joins.</w:t>
            </w:r>
          </w:p>
        </w:tc>
      </w:tr>
      <w:tr>
        <w:tc>
          <w:tcPr>
            <w:tcW w:type="dxa" w:w="1728"/>
          </w:tcPr>
          <w:p>
            <w:r>
              <w:t>ADR-003</w:t>
            </w:r>
          </w:p>
        </w:tc>
        <w:tc>
          <w:tcPr>
            <w:tcW w:type="dxa" w:w="1728"/>
          </w:tcPr>
          <w:p>
            <w:r>
              <w:t>Next.js</w:t>
            </w:r>
          </w:p>
        </w:tc>
        <w:tc>
          <w:tcPr>
            <w:tcW w:type="dxa" w:w="1728"/>
          </w:tcPr>
          <w:p>
            <w:r>
              <w:t>Vite SPA</w:t>
            </w:r>
          </w:p>
        </w:tc>
        <w:tc>
          <w:tcPr>
            <w:tcW w:type="dxa" w:w="1728"/>
          </w:tcPr>
          <w:p>
            <w:r>
              <w:t>Enterprise frontend with routing and SSR.</w:t>
            </w:r>
          </w:p>
        </w:tc>
        <w:tc>
          <w:tcPr>
            <w:tcW w:type="dxa" w:w="1728"/>
          </w:tcPr>
          <w:p>
            <w:r>
              <w:t>Better scalability and application structure.</w:t>
            </w:r>
          </w:p>
        </w:tc>
      </w:tr>
      <w:tr>
        <w:tc>
          <w:tcPr>
            <w:tcW w:type="dxa" w:w="1728"/>
          </w:tcPr>
          <w:p>
            <w:r>
              <w:t>ADR-004</w:t>
            </w:r>
          </w:p>
        </w:tc>
        <w:tc>
          <w:tcPr>
            <w:tcW w:type="dxa" w:w="1728"/>
          </w:tcPr>
          <w:p>
            <w:r>
              <w:t>Deterministic Analytics First</w:t>
            </w:r>
          </w:p>
        </w:tc>
        <w:tc>
          <w:tcPr>
            <w:tcW w:type="dxa" w:w="1728"/>
          </w:tcPr>
          <w:p>
            <w:r>
              <w:t>Direct LLM over raw data</w:t>
            </w:r>
          </w:p>
        </w:tc>
        <w:tc>
          <w:tcPr>
            <w:tcW w:type="dxa" w:w="1728"/>
          </w:tcPr>
          <w:p>
            <w:r>
              <w:t>Compute KPIs before LLM reasoning.</w:t>
            </w:r>
          </w:p>
        </w:tc>
        <w:tc>
          <w:tcPr>
            <w:tcW w:type="dxa" w:w="1728"/>
          </w:tcPr>
          <w:p>
            <w:r>
              <w:t>Reduces hallucinations and improves traceability.</w:t>
            </w:r>
          </w:p>
        </w:tc>
      </w:tr>
      <w:tr>
        <w:tc>
          <w:tcPr>
            <w:tcW w:type="dxa" w:w="1728"/>
          </w:tcPr>
          <w:p>
            <w:r>
              <w:t>ADR-005</w:t>
            </w:r>
          </w:p>
        </w:tc>
        <w:tc>
          <w:tcPr>
            <w:tcW w:type="dxa" w:w="1728"/>
          </w:tcPr>
          <w:p>
            <w:r>
              <w:t>Redis Cache</w:t>
            </w:r>
          </w:p>
        </w:tc>
        <w:tc>
          <w:tcPr>
            <w:tcW w:type="dxa" w:w="1728"/>
          </w:tcPr>
          <w:p>
            <w:r>
              <w:t>Database-only caching</w:t>
            </w:r>
          </w:p>
        </w:tc>
        <w:tc>
          <w:tcPr>
            <w:tcW w:type="dxa" w:w="1728"/>
          </w:tcPr>
          <w:p>
            <w:r>
              <w:t>Session/context caching.</w:t>
            </w:r>
          </w:p>
        </w:tc>
        <w:tc>
          <w:tcPr>
            <w:tcW w:type="dxa" w:w="1728"/>
          </w:tcPr>
          <w:p>
            <w:r>
              <w:t>Lower latency for repeated requests.</w:t>
            </w:r>
          </w:p>
        </w:tc>
      </w:tr>
      <w:tr>
        <w:tc>
          <w:tcPr>
            <w:tcW w:type="dxa" w:w="1728"/>
          </w:tcPr>
          <w:p>
            <w:r>
              <w:t>ADR-006</w:t>
            </w:r>
          </w:p>
        </w:tc>
        <w:tc>
          <w:tcPr>
            <w:tcW w:type="dxa" w:w="1728"/>
          </w:tcPr>
          <w:p>
            <w:r>
              <w:t>Modular Monolith (V1)</w:t>
            </w:r>
          </w:p>
        </w:tc>
        <w:tc>
          <w:tcPr>
            <w:tcW w:type="dxa" w:w="1728"/>
          </w:tcPr>
          <w:p>
            <w:r>
              <w:t>Immediate microservices</w:t>
            </w:r>
          </w:p>
        </w:tc>
        <w:tc>
          <w:tcPr>
            <w:tcW w:type="dxa" w:w="1728"/>
          </w:tcPr>
          <w:p>
            <w:r>
              <w:t>Simple deployment while preserving service boundaries.</w:t>
            </w:r>
          </w:p>
        </w:tc>
        <w:tc>
          <w:tcPr>
            <w:tcW w:type="dxa" w:w="1728"/>
          </w:tcPr>
          <w:p>
            <w:r>
              <w:t>Lower operational complexity for MVP.</w:t>
            </w:r>
          </w:p>
        </w:tc>
      </w:tr>
    </w:tbl>
    <w:p>
      <w:pPr>
        <w:pStyle w:val="Heading1"/>
      </w:pPr>
      <w:r>
        <w:t>3. Engineering Principles</w:t>
      </w:r>
    </w:p>
    <w:p>
      <w:pPr>
        <w:pStyle w:val="ListBullet"/>
      </w:pPr>
      <w:r>
        <w:t>Prefer simplicity over premature optimization.</w:t>
      </w:r>
    </w:p>
    <w:p>
      <w:pPr>
        <w:pStyle w:val="ListBullet"/>
      </w:pPr>
      <w:r>
        <w:t>Keep business logic independent of LLM prompts.</w:t>
      </w:r>
    </w:p>
    <w:p>
      <w:pPr>
        <w:pStyle w:val="ListBullet"/>
      </w:pPr>
      <w:r>
        <w:t>Use strongly typed APIs and schemas.</w:t>
      </w:r>
    </w:p>
    <w:p>
      <w:pPr>
        <w:pStyle w:val="ListBullet"/>
      </w:pPr>
      <w:r>
        <w:t>Design for observability from day one.</w:t>
      </w:r>
    </w:p>
    <w:p>
      <w:pPr>
        <w:pStyle w:val="ListBullet"/>
      </w:pPr>
      <w:r>
        <w:t>Maintain backward compatibility for public APIs.</w:t>
      </w:r>
    </w:p>
    <w:p>
      <w:pPr>
        <w:pStyle w:val="ListBullet"/>
      </w:pPr>
      <w:r>
        <w:t>Automate testing wherever practical.</w:t>
      </w:r>
    </w:p>
    <w:p>
      <w:pPr>
        <w:pStyle w:val="Heading1"/>
      </w:pPr>
      <w:r>
        <w:t>4. Technology Evaluation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Chosen</w:t>
            </w:r>
          </w:p>
        </w:tc>
        <w:tc>
          <w:tcPr>
            <w:tcW w:type="dxa" w:w="2160"/>
          </w:tcPr>
          <w:p>
            <w:r>
              <w:t>Key Advantage</w:t>
            </w:r>
          </w:p>
        </w:tc>
        <w:tc>
          <w:tcPr>
            <w:tcW w:type="dxa" w:w="2160"/>
          </w:tcPr>
          <w:p>
            <w:r>
              <w:t>Trade-off</w:t>
            </w:r>
          </w:p>
        </w:tc>
      </w:tr>
      <w:tr>
        <w:tc>
          <w:tcPr>
            <w:tcW w:type="dxa" w:w="2160"/>
          </w:tcPr>
          <w:p>
            <w:r>
              <w:t>Backend</w:t>
            </w:r>
          </w:p>
        </w:tc>
        <w:tc>
          <w:tcPr>
            <w:tcW w:type="dxa" w:w="2160"/>
          </w:tcPr>
          <w:p>
            <w:r>
              <w:t>FastAPI</w:t>
            </w:r>
          </w:p>
        </w:tc>
        <w:tc>
          <w:tcPr>
            <w:tcW w:type="dxa" w:w="2160"/>
          </w:tcPr>
          <w:p>
            <w:r>
              <w:t>Performance</w:t>
            </w:r>
          </w:p>
        </w:tc>
        <w:tc>
          <w:tcPr>
            <w:tcW w:type="dxa" w:w="2160"/>
          </w:tcPr>
          <w:p>
            <w:r>
              <w:t>Smaller ecosystem than Django</w:t>
            </w:r>
          </w:p>
        </w:tc>
      </w:tr>
      <w:tr>
        <w:tc>
          <w:tcPr>
            <w:tcW w:type="dxa" w:w="2160"/>
          </w:tcPr>
          <w:p>
            <w:r>
              <w:t>Database</w:t>
            </w:r>
          </w:p>
        </w:tc>
        <w:tc>
          <w:tcPr>
            <w:tcW w:type="dxa" w:w="2160"/>
          </w:tcPr>
          <w:p>
            <w:r>
              <w:t>PostgreSQL</w:t>
            </w:r>
          </w:p>
        </w:tc>
        <w:tc>
          <w:tcPr>
            <w:tcW w:type="dxa" w:w="2160"/>
          </w:tcPr>
          <w:p>
            <w:r>
              <w:t>Relational integrity</w:t>
            </w:r>
          </w:p>
        </w:tc>
        <w:tc>
          <w:tcPr>
            <w:tcW w:type="dxa" w:w="2160"/>
          </w:tcPr>
          <w:p>
            <w:r>
              <w:t>Schema management</w:t>
            </w:r>
          </w:p>
        </w:tc>
      </w:tr>
      <w:tr>
        <w:tc>
          <w:tcPr>
            <w:tcW w:type="dxa" w:w="2160"/>
          </w:tcPr>
          <w:p>
            <w:r>
              <w:t>Cache</w:t>
            </w:r>
          </w:p>
        </w:tc>
        <w:tc>
          <w:tcPr>
            <w:tcW w:type="dxa" w:w="2160"/>
          </w:tcPr>
          <w:p>
            <w:r>
              <w:t>Redis</w:t>
            </w:r>
          </w:p>
        </w:tc>
        <w:tc>
          <w:tcPr>
            <w:tcW w:type="dxa" w:w="2160"/>
          </w:tcPr>
          <w:p>
            <w:r>
              <w:t>Low latency</w:t>
            </w:r>
          </w:p>
        </w:tc>
        <w:tc>
          <w:tcPr>
            <w:tcW w:type="dxa" w:w="2160"/>
          </w:tcPr>
          <w:p>
            <w:r>
              <w:t>Extra infrastructure</w:t>
            </w:r>
          </w:p>
        </w:tc>
      </w:tr>
      <w:tr>
        <w:tc>
          <w:tcPr>
            <w:tcW w:type="dxa" w:w="2160"/>
          </w:tcPr>
          <w:p>
            <w:r>
              <w:t>Charts</w:t>
            </w:r>
          </w:p>
        </w:tc>
        <w:tc>
          <w:tcPr>
            <w:tcW w:type="dxa" w:w="2160"/>
          </w:tcPr>
          <w:p>
            <w:r>
              <w:t>Plotly</w:t>
            </w:r>
          </w:p>
        </w:tc>
        <w:tc>
          <w:tcPr>
            <w:tcW w:type="dxa" w:w="2160"/>
          </w:tcPr>
          <w:p>
            <w:r>
              <w:t>Interactive</w:t>
            </w:r>
          </w:p>
        </w:tc>
        <w:tc>
          <w:tcPr>
            <w:tcW w:type="dxa" w:w="2160"/>
          </w:tcPr>
          <w:p>
            <w:r>
              <w:t>Larger bundle</w:t>
            </w:r>
          </w:p>
        </w:tc>
      </w:tr>
      <w:tr>
        <w:tc>
          <w:tcPr>
            <w:tcW w:type="dxa" w:w="2160"/>
          </w:tcPr>
          <w:p>
            <w:r>
              <w:t>UI</w:t>
            </w:r>
          </w:p>
        </w:tc>
        <w:tc>
          <w:tcPr>
            <w:tcW w:type="dxa" w:w="2160"/>
          </w:tcPr>
          <w:p>
            <w:r>
              <w:t>Next.js</w:t>
            </w:r>
          </w:p>
        </w:tc>
        <w:tc>
          <w:tcPr>
            <w:tcW w:type="dxa" w:w="2160"/>
          </w:tcPr>
          <w:p>
            <w:r>
              <w:t>Scalable architecture</w:t>
            </w:r>
          </w:p>
        </w:tc>
        <w:tc>
          <w:tcPr>
            <w:tcW w:type="dxa" w:w="2160"/>
          </w:tcPr>
          <w:p>
            <w:r>
              <w:t>SSR complexity</w:t>
            </w:r>
          </w:p>
        </w:tc>
      </w:tr>
    </w:tbl>
    <w:p>
      <w:pPr>
        <w:pStyle w:val="Heading1"/>
      </w:pPr>
      <w:r>
        <w:t>5. Governance Model</w:t>
      </w:r>
    </w:p>
    <w:p>
      <w:r>
        <w:t>Architecture changes should be proposed through new ADRs, reviewed by technical leads, validated through prototypes where appropriate, and approved before implementation. Deprecated decisions should remain documented to preserve historical context.</w:t>
      </w:r>
    </w:p>
    <w:p>
      <w:pPr>
        <w:pStyle w:val="Heading1"/>
      </w:pPr>
      <w:r>
        <w:t>6. Review Triggers</w:t>
      </w:r>
    </w:p>
    <w:p>
      <w:pPr>
        <w:pStyle w:val="ListNumber"/>
      </w:pPr>
      <w:r>
        <w:t>Major performance bottlenecks.</w:t>
      </w:r>
    </w:p>
    <w:p>
      <w:pPr>
        <w:pStyle w:val="ListNumber"/>
      </w:pPr>
      <w:r>
        <w:t>New enterprise requirements.</w:t>
      </w:r>
    </w:p>
    <w:p>
      <w:pPr>
        <w:pStyle w:val="ListNumber"/>
      </w:pPr>
      <w:r>
        <w:t>Cloud migration.</w:t>
      </w:r>
    </w:p>
    <w:p>
      <w:pPr>
        <w:pStyle w:val="ListNumber"/>
      </w:pPr>
      <w:r>
        <w:t>AI model replacement.</w:t>
      </w:r>
    </w:p>
    <w:p>
      <w:pPr>
        <w:pStyle w:val="ListNumber"/>
      </w:pPr>
      <w:r>
        <w:t>Regulatory or security changes.</w:t>
      </w:r>
    </w:p>
    <w:p>
      <w:pPr>
        <w:pStyle w:val="Heading1"/>
      </w:pPr>
      <w:r>
        <w:t>7. Technical Debt Policy</w:t>
      </w:r>
    </w:p>
    <w:p>
      <w:r>
        <w:t>Technical debt should be explicitly tracked, prioritized and linked to roadmap items. Temporary shortcuts must include documented remediation plans and target milestones.</w:t>
      </w:r>
    </w:p>
    <w:p>
      <w:pPr>
        <w:pStyle w:val="Heading1"/>
      </w:pPr>
      <w:r>
        <w:t>8. Coding Standards</w:t>
      </w:r>
    </w:p>
    <w:p>
      <w:pPr>
        <w:pStyle w:val="ListBullet"/>
      </w:pPr>
      <w:r>
        <w:t>PEP 8 for Python.</w:t>
      </w:r>
    </w:p>
    <w:p>
      <w:pPr>
        <w:pStyle w:val="ListBullet"/>
      </w:pPr>
      <w:r>
        <w:t>Type hints for public interfaces.</w:t>
      </w:r>
    </w:p>
    <w:p>
      <w:pPr>
        <w:pStyle w:val="ListBullet"/>
      </w:pPr>
      <w:r>
        <w:t>OpenAPI-first endpoint documentation.</w:t>
      </w:r>
    </w:p>
    <w:p>
      <w:pPr>
        <w:pStyle w:val="ListBullet"/>
      </w:pPr>
      <w:r>
        <w:t>Consistent logging format.</w:t>
      </w:r>
    </w:p>
    <w:p>
      <w:pPr>
        <w:pStyle w:val="ListBullet"/>
      </w:pPr>
      <w:r>
        <w:t>Unit and integration tests for critical modules.</w:t>
      </w:r>
    </w:p>
    <w:p>
      <w:pPr>
        <w:pStyle w:val="Heading1"/>
      </w:pPr>
      <w:r>
        <w:t>9. Long-Term Architecture Evolution</w:t>
      </w:r>
    </w:p>
    <w:p>
      <w:r>
        <w:t>As adoption grows, the modular monolith can gradually evolve into independently deployable services without changing public APIs. AI components may later support multiple model providers and specialized analytical agents.</w:t>
      </w:r>
    </w:p>
    <w:p>
      <w:pPr>
        <w:pStyle w:val="Heading1"/>
      </w:pPr>
      <w:r>
        <w:t>10. Transition to Chapter 10</w:t>
      </w:r>
    </w:p>
    <w:p>
      <w:r>
        <w:t>Chapter 10 consolidates the complete engineering blueprint, implementation phases, module dependency map, development checklist and AntiGravity master specification.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