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80"/>
      </w:pPr>
      <w:r>
        <w:rPr>
          <w:rFonts w:ascii="Arial" w:cs="Arial" w:eastAsia="Arial" w:hAnsi="Arial"/>
          <w:sz w:val="8"/>
          <w:szCs w:val="8"/>
        </w:rPr>
        <w:t xml:space="preserve"/>
      </w:r>
    </w:p>
    <w:p>
      <w:pPr>
        <w:shd w:fill="1F3864" w:val="clear"/>
        <w:spacing w:after="0"/>
        <w:jc w:val="left"/>
      </w:pPr>
      <w:r>
        <w:rPr>
          <w:rFonts w:ascii="Arial" w:cs="Arial" w:eastAsia="Arial" w:hAnsi="Arial"/>
          <w:b/>
          <w:bCs/>
          <w:color w:val="FFFFFF"/>
          <w:sz w:val="36"/>
          <w:szCs w:val="36"/>
        </w:rPr>
        <w:t xml:space="preserve">  Project 2 — Exchange Rate Volatility and Export Margins</w:t>
      </w:r>
    </w:p>
    <w:p>
      <w:pPr>
        <w:shd w:fill="2E75B6" w:val="clear"/>
        <w:spacing w:after="0"/>
        <w:jc w:val="left"/>
      </w:pPr>
      <w:r>
        <w:rPr>
          <w:rFonts w:ascii="Arial" w:cs="Arial" w:eastAsia="Arial" w:hAnsi="Arial"/>
          <w:color w:val="FFFFFF"/>
          <w:sz w:val="24"/>
          <w:szCs w:val="24"/>
        </w:rPr>
        <w:t xml:space="preserve">  Do-file 03: Regression Analysis and Results — Full Documentation</w:t>
      </w:r>
    </w:p>
    <w:p>
      <w:pPr>
        <w:shd w:fill="1F3864" w:val="clear"/>
        <w:spacing w:after="80"/>
      </w:pPr>
      <w:r>
        <w:rPr>
          <w:rFonts w:ascii="Arial" w:cs="Arial" w:eastAsia="Arial" w:hAnsi="Arial"/>
          <w:color w:val="D6E4F0"/>
          <w:sz w:val="19"/>
          <w:szCs w:val="19"/>
        </w:rPr>
        <w:t xml:space="preserve">  Author: Aadhitya   |   Date: June 2026   |   BRICS-Trade-Labour-Portfolio</w:t>
      </w:r>
    </w:p>
    <w:p>
      <w:pPr>
        <w:shd w:fill="2E75B6" w:val="clear"/>
        <w:spacing w:after="0"/>
      </w:pPr>
      <w:r>
        <w:rPr>
          <w:rFonts w:ascii="Arial" w:cs="Arial" w:eastAsia="Arial" w:hAnsi="Arial"/>
          <w:sz w:val="6"/>
          <w:szCs w:val="6"/>
        </w:rPr>
        <w:t xml:space="preserve"/>
      </w:r>
    </w:p>
    <w:p>
      <w:pPr>
        <w:spacing w:after="240"/>
      </w:pPr>
    </w:p>
    <w:p>
      <w:pPr>
        <w:pStyle w:val="Heading1"/>
      </w:pPr>
      <w:r>
        <w:rPr>
          <w:rFonts w:ascii="Arial" w:cs="Arial" w:eastAsia="Arial" w:hAnsi="Arial"/>
          <w:b/>
          <w:bCs/>
          <w:color w:val="1F3864"/>
          <w:sz w:val="32"/>
          <w:szCs w:val="32"/>
        </w:rPr>
        <w:t xml:space="preserve">1. Purpose and Scope</w:t>
      </w:r>
    </w:p>
    <w:p>
      <w:pPr>
        <w:spacing w:after="120" w:before="0"/>
        <w:jc w:val="left"/>
      </w:pPr>
      <w:r>
        <w:rPr>
          <w:rFonts w:ascii="Arial" w:cs="Arial" w:eastAsia="Arial" w:hAnsi="Arial"/>
          <w:b w:val="false"/>
          <w:bCs w:val="false"/>
          <w:i w:val="false"/>
          <w:iCs w:val="false"/>
          <w:color w:val="000000"/>
          <w:sz w:val="22"/>
          <w:szCs w:val="22"/>
        </w:rPr>
        <w:t xml:space="preserve">03_analysis.do is the third and final do-file in Project 2. It takes master_panel.dta as its sole input and runs all regression specifications that address the research question: does bilateral exchange rate volatility affect how much BRICS economies export to their trading partners, and whether they trade at all? The do-file produces three formatted output tables exported as CSV files to the output/ folder.</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do-file has four sections:</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1: Three primary specifications — PPML (main), log-OLS (robustness), LPM (extensive margin — infeasible)</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2: BRICS heterogeneity — country-specific volatility effects via interaction specification</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3: Russia sensitivity check — repeat primary specifications excluding Russia post-February 2022</w:t>
      </w:r>
    </w:p>
    <w:p>
      <w:pPr>
        <w:pStyle w:val="ListParagraph"/>
        <w:numPr>
          <w:ilvl w:val="0"/>
          <w:numId w:val="2"/>
        </w:numPr>
        <w:spacing w:after="80"/>
      </w:pPr>
      <w:r>
        <w:rPr>
          <w:rFonts w:ascii="Arial" w:cs="Arial" w:eastAsia="Arial" w:hAnsi="Arial"/>
          <w:b w:val="false"/>
          <w:bCs w:val="false"/>
          <w:i w:val="false"/>
          <w:iCs w:val="false"/>
          <w:sz w:val="22"/>
          <w:szCs w:val="22"/>
        </w:rPr>
        <w:t xml:space="preserve">Section 4: Export results tables to output/ using esttab</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2. File Locations</w:t>
      </w:r>
    </w:p>
    <w:p>
      <w:pPr>
        <w:pStyle w:val="Heading2"/>
      </w:pPr>
      <w:r>
        <w:rPr>
          <w:rFonts w:ascii="Arial" w:cs="Arial" w:eastAsia="Arial" w:hAnsi="Arial"/>
          <w:b/>
          <w:bCs/>
          <w:color w:val="2E75B6"/>
          <w:sz w:val="26"/>
          <w:szCs w:val="26"/>
        </w:rPr>
        <w:t xml:space="preserve">2.1  Input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4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master_panel.dta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data/</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24,579 obs — fully merged analysis dataset from 02_merge.do. 16 variables.</w:t>
            </w:r>
          </w:p>
        </w:tc>
      </w:tr>
    </w:tbl>
    <w:p>
      <w:pPr>
        <w:spacing w:after="160"/>
      </w:pPr>
    </w:p>
    <w:p>
      <w:pPr>
        <w:pStyle w:val="Heading2"/>
      </w:pPr>
      <w:r>
        <w:rPr>
          <w:rFonts w:ascii="Arial" w:cs="Arial" w:eastAsia="Arial" w:hAnsi="Arial"/>
          <w:b/>
          <w:bCs/>
          <w:color w:val="2E75B6"/>
          <w:sz w:val="26"/>
          <w:szCs w:val="26"/>
        </w:rPr>
        <w:t xml:space="preserve">2.2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Location</w:t>
            </w:r>
          </w:p>
        </w:tc>
        <w:tc>
          <w:tcPr>
            <w:tcW w:type="dxa" w:w="4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results_table.csv</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output/</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Primary results — PPML and log-OLS, full sample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sensitivity_table.csv</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output/</w:t>
            </w:r>
          </w:p>
        </w:tc>
        <w:tc>
          <w:tcPr>
            <w:tcW w:type="dxa" w:w="4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Sensitivity check — PPML and log-OLS excluding Russia 2022+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heterogeneity_table.csv</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output/</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BRICS heterogeneity — country-specific volatility interactions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03_analysis.log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log/</w:t>
            </w:r>
          </w:p>
        </w:tc>
        <w:tc>
          <w:tcPr>
            <w:tcW w:type="dxa" w:w="4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Full run log — all regression output and convergence details</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3. Econometric Framework</w:t>
      </w:r>
    </w:p>
    <w:p>
      <w:pPr>
        <w:pStyle w:val="Heading2"/>
      </w:pPr>
      <w:r>
        <w:rPr>
          <w:rFonts w:ascii="Arial" w:cs="Arial" w:eastAsia="Arial" w:hAnsi="Arial"/>
          <w:b/>
          <w:bCs/>
          <w:color w:val="2E75B6"/>
          <w:sz w:val="26"/>
          <w:szCs w:val="26"/>
        </w:rPr>
        <w:t xml:space="preserve">3.1  The Research Question and Identification Strategy</w:t>
      </w:r>
    </w:p>
    <w:p>
      <w:pPr>
        <w:spacing w:after="120" w:before="0"/>
        <w:jc w:val="left"/>
      </w:pPr>
      <w:r>
        <w:rPr>
          <w:rFonts w:ascii="Arial" w:cs="Arial" w:eastAsia="Arial" w:hAnsi="Arial"/>
          <w:b w:val="false"/>
          <w:bCs w:val="false"/>
          <w:i w:val="false"/>
          <w:iCs w:val="false"/>
          <w:color w:val="000000"/>
          <w:sz w:val="22"/>
          <w:szCs w:val="22"/>
        </w:rPr>
        <w:t xml:space="preserve">The central question is whether bilateral exchange rate volatility reduces trade — at the intensive margin (how much) and the extensive margin (whether at all). The theoretical motivation is the Helpman, Melitz and Rubinstein (2008, QJE) framework: volatility raises the variance of expected export profits, making market entry less attractive (extensive margin) and raising hedging costs for existing exporters (intensive margin).</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identifying variation is within-pair, across-year changes in bilateral exchange rate volatility, net of exporter-wide and importer-wide annual trends. Three sets of fixed effects are absorbed simultaneously:</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Fixed Effect</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Notation</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Absorbs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Pair FE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φ_ij</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time-invariant bilateral characteristics — distance, language, colonial history, contiguity, and the average level of the bilateral trade relationship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Exporter × Year FE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γ_it</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All exporter-specific time variation — multilateral resistance, GDP, price level, monetary policy stance, export promotion policies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Importer × Year FE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δ_jt</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All importer-specific time variation — multilateral resistance, GDP, import demand, trade policy, tariffs</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After absorbing these three sets of fixed effects, the coefficient on volatility is identified from the within-pair, within-exporter-year, within-importer-year variation. This is the deviation of bilateral volatility from the pair average, after removing the exporter's average volatility with all partners in that year and the importer's average volatility with all exporters in that year. This is a demanding identification requirement — the effective variation is genuinely narrow, which explains the imprecision of the results.</w:t>
      </w:r>
    </w:p>
    <w:p>
      <w:pPr>
        <w:spacing w:after="80"/>
      </w:pPr>
    </w:p>
    <w:p>
      <w:pPr>
        <w:pStyle w:val="Heading2"/>
      </w:pPr>
      <w:r>
        <w:rPr>
          <w:rFonts w:ascii="Arial" w:cs="Arial" w:eastAsia="Arial" w:hAnsi="Arial"/>
          <w:b/>
          <w:bCs/>
          <w:color w:val="2E75B6"/>
          <w:sz w:val="26"/>
          <w:szCs w:val="26"/>
        </w:rPr>
        <w:t xml:space="preserve">3.2  The Multilateral Resistance Problem</w:t>
      </w:r>
    </w:p>
    <w:p>
      <w:pPr>
        <w:spacing w:after="120" w:before="0"/>
        <w:jc w:val="left"/>
      </w:pPr>
      <w:r>
        <w:rPr>
          <w:rFonts w:ascii="Arial" w:cs="Arial" w:eastAsia="Arial" w:hAnsi="Arial"/>
          <w:b w:val="false"/>
          <w:bCs w:val="false"/>
          <w:i w:val="false"/>
          <w:iCs w:val="false"/>
          <w:color w:val="000000"/>
          <w:sz w:val="22"/>
          <w:szCs w:val="22"/>
        </w:rPr>
        <w:t xml:space="preserve">The naive gravity equation — regressing log trade on distance, GDP, and volatility — is misspecified. Anderson and van Wincoop (2003, AER) showed that bilateral trade between i and j depends not just on bilateral trade costs but on how those costs compare to each country's average trade cost with all other partners. Omitting multilateral resistance biases the volatility coefficient. The three-way fixed effects specification is the correct solution: exporter-year and importer-year FE absorb the multilateral resistance terms completely.</w:t>
      </w:r>
    </w:p>
    <w:p>
      <w:pPr>
        <w:spacing w:after="80"/>
      </w:pPr>
    </w:p>
    <w:p>
      <w:pPr>
        <w:pStyle w:val="Heading2"/>
      </w:pPr>
      <w:r>
        <w:rPr>
          <w:rFonts w:ascii="Arial" w:cs="Arial" w:eastAsia="Arial" w:hAnsi="Arial"/>
          <w:b/>
          <w:bCs/>
          <w:color w:val="2E75B6"/>
          <w:sz w:val="26"/>
          <w:szCs w:val="26"/>
        </w:rPr>
        <w:t xml:space="preserve">3.3  The Zero Trade Flow Problem</w:t>
      </w:r>
    </w:p>
    <w:p>
      <w:pPr>
        <w:spacing w:after="120" w:before="0"/>
        <w:jc w:val="left"/>
      </w:pPr>
      <w:r>
        <w:rPr>
          <w:rFonts w:ascii="Arial" w:cs="Arial" w:eastAsia="Arial" w:hAnsi="Arial"/>
          <w:b w:val="false"/>
          <w:bCs w:val="false"/>
          <w:i w:val="false"/>
          <w:iCs w:val="false"/>
          <w:color w:val="000000"/>
          <w:sz w:val="22"/>
          <w:szCs w:val="22"/>
        </w:rPr>
        <w:t xml:space="preserve">Log-linearising the gravity equation requires ln(trade), which is undefined for zero trade flows. Dropping zeros is not neutral — it conditions the sample on trade being positive, discarding exactly the observations where volatility is most likely to have suppressed trade. Santos Silva and Tenreyro (2006, ReStat) showed log-OLS is additionally inconsistent under heteroskedasticity due to Jensen's inequality. PPML is the correct estimator: it models trade levels directly, handles zeros, and is heteroskedasticity-consistent.</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In this dataset, the PPML and log-OLS specifications run on the same effective sample (N = 19,914 after singleton drops) because the 639 zero/missing trade observations all have missing trade values — PPML also requires non-missing trade to fit the Poisson likelihood. The estimators differ in functional form and heteroskedasticity treatment, not in sample coverage for this dataset. This is documented explicitly in the table notes.</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4. Section 1 — Primary Specifications</w:t>
      </w:r>
    </w:p>
    <w:p>
      <w:pPr>
        <w:pStyle w:val="Heading2"/>
      </w:pPr>
      <w:r>
        <w:rPr>
          <w:rFonts w:ascii="Arial" w:cs="Arial" w:eastAsia="Arial" w:hAnsi="Arial"/>
          <w:b/>
          <w:bCs/>
          <w:color w:val="2E75B6"/>
          <w:sz w:val="26"/>
          <w:szCs w:val="26"/>
        </w:rPr>
        <w:t xml:space="preserve">4.1  Column 1: PPML — Primary Estimator</w:t>
      </w:r>
    </w:p>
    <w:p>
      <w:pPr>
        <w:shd w:fill="F4F4F4" w:val="clear"/>
        <w:spacing w:after="60"/>
        <w:ind w:left="360"/>
      </w:pPr>
      <w:r>
        <w:rPr>
          <w:rFonts w:ascii="Courier New" w:cs="Courier New" w:eastAsia="Courier New" w:hAnsi="Courier New"/>
          <w:color w:val="1F3864"/>
          <w:sz w:val="18"/>
          <w:szCs w:val="18"/>
        </w:rPr>
        <w:t xml:space="preserve">ppmlhdfe trade volatility, absorb(pair_id exporter_year importer_year) vce(robust)</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ppmlhdfe is Correia, Guimaraes and Zylkin's (2020, Stata Journal) implementation of PPML with high-dimensional fixed effects. It uses the Frisch-Waugh-Lovell theorem via the ftools package to partial out the fixed effects efficiently, then iterates to PPML convergence. The vce(robust) option computes heteroskedasticity-robust standard errors using the sandwich estimator.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 Item</w:t>
            </w:r>
          </w:p>
        </w:tc>
        <w:tc>
          <w:tcPr>
            <w:tcW w:type="dxa" w:w="6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 / Interpretation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Observations</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19,914 (12 singletons dropped automatically)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Singletons dropped</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12 observations that are the sole observation in a fixed effect group — contribute no within-group variation and are dropped to avoid degenerate estimates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Volatility coefficient</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+0.490 (SE = 0.835, p = 0.557)</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Sign</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Positive — opposite to theoretical prior of negative 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Statistical significance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Not significant at any conventional level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95% confidence interval</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[-1.147, +2.128] — wide interval spanning both large negative and positive effects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Pseudo R²</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0.9951 — almost all variation explained by three-way fixed effects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Wald chi²(1)</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0.34, p = 0.557 — fail to reject null of no volatility 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Convergence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15 outer iterations, 64 HDFE sub-iterations</w:t>
            </w:r>
          </w:p>
        </w:tc>
      </w:tr>
    </w:tbl>
    <w:p>
      <w:pPr>
        <w:spacing w:after="120"/>
      </w:pPr>
    </w:p>
    <w:p>
      <w:pPr>
        <w:pStyle w:val="Heading2"/>
      </w:pPr>
      <w:r>
        <w:rPr>
          <w:rFonts w:ascii="Arial" w:cs="Arial" w:eastAsia="Arial" w:hAnsi="Arial"/>
          <w:b/>
          <w:bCs/>
          <w:color w:val="2E75B6"/>
          <w:sz w:val="26"/>
          <w:szCs w:val="26"/>
        </w:rPr>
        <w:t xml:space="preserve">4.2  Column 2: Log-OLS — Robustness Check</w:t>
      </w:r>
    </w:p>
    <w:p>
      <w:pPr>
        <w:shd w:fill="F4F4F4" w:val="clear"/>
        <w:spacing w:after="60"/>
        <w:ind w:left="360"/>
      </w:pPr>
      <w:r>
        <w:rPr>
          <w:rFonts w:ascii="Courier New" w:cs="Courier New" w:eastAsia="Courier New" w:hAnsi="Courier New"/>
          <w:color w:val="1F3864"/>
          <w:sz w:val="18"/>
          <w:szCs w:val="18"/>
        </w:rPr>
        <w:t xml:space="preserve">reghdfe ln_trade volatility, absorb(pair_id exporter_year importer_year) vce(robust)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 Item</w:t>
            </w:r>
          </w:p>
        </w:tc>
        <w:tc>
          <w:tcPr>
            <w:tcW w:type="dxa" w:w="6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 / Interpretation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Observations</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19,914 (same as PPML — both exclude missing trade observations)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 coefficient</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-1.823 (SE = 1.316, p = 0.166)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Sign</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Negative — consistent with theoretical prior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Statistical significance</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Not significant at conventional levels (p = 0.166)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95% confidence interval</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[-4.402, +0.756]</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Within R²</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0.0001 — volatility explains virtually none of the within-FE residual variation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Overall R²</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0.9462 — three-way FE explains 94.6% of total variation in log trade</w:t>
            </w:r>
          </w:p>
        </w:tc>
      </w:tr>
    </w:tbl>
    <w:p>
      <w:pPr>
        <w:spacing w:after="120"/>
      </w:pPr>
    </w:p>
    <w:p>
      <w:pPr>
        <w:pStyle w:val="Heading2"/>
      </w:pPr>
      <w:r>
        <w:rPr>
          <w:rFonts w:ascii="Arial" w:cs="Arial" w:eastAsia="Arial" w:hAnsi="Arial"/>
          <w:b/>
          <w:bCs/>
          <w:color w:val="2E75B6"/>
          <w:sz w:val="26"/>
          <w:szCs w:val="26"/>
        </w:rPr>
        <w:t xml:space="preserve">4.3  Column 3: LPM — Extensive Margin (Infeasible)</w:t>
      </w:r>
    </w:p>
    <w:p>
      <w:pPr>
        <w:shd w:fill="F4F4F4" w:val="clear"/>
        <w:spacing w:after="60"/>
        <w:ind w:left="360"/>
      </w:pPr>
      <w:r>
        <w:rPr>
          <w:rFonts w:ascii="Courier New" w:cs="Courier New" w:eastAsia="Courier New" w:hAnsi="Courier New"/>
          <w:color w:val="1F3864"/>
          <w:sz w:val="18"/>
          <w:szCs w:val="18"/>
        </w:rPr>
        <w:t xml:space="preserve">reghdfe trade_dummy volatility, absorb(pair_id exporter_year importer_year) vce(robust)</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LPM produced a warning: 'dependent variable trade_dummy is likely perfectly explained by the fixed effects.' The volatility coefficient was omitted entirely. Root MSE = 0.0000.</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reason: the 639 zero-trade observations in the panel are concentrated in specific pairs that never trade across the entire 23-year sample. Pair fixed effects assign each such pair its own dummy, which perfectly predicts trade_dummy == 0 for all 23 years of that pair. There is no within-pair variation in trade_dummy — no pair switches from non-trading to trading or vice versa across years. With zero within-pair variation in the dependent variable, the fixed effects absorb everything and volatility has nothing to explain.</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This is a structural limitation of the panel, not a bug in the code. Identifying the extensive margin effect requires observing pairs that enter and exit trade relationships across years — which requires either a longer panel, product-level disaggregation, or an alternative identification strategy. This is documented as a limitation in the results table notes.</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5. Section 2 — BRICS Heterogeneity</w:t>
      </w:r>
    </w:p>
    <w:p>
      <w:pPr>
        <w:pStyle w:val="Heading2"/>
      </w:pPr>
      <w:r>
        <w:rPr>
          <w:rFonts w:ascii="Arial" w:cs="Arial" w:eastAsia="Arial" w:hAnsi="Arial"/>
          <w:b/>
          <w:bCs/>
          <w:color w:val="2E75B6"/>
          <w:sz w:val="26"/>
          <w:szCs w:val="26"/>
        </w:rPr>
        <w:t xml:space="preserve">5.1  Motivation</w:t>
      </w:r>
    </w:p>
    <w:p>
      <w:pPr>
        <w:spacing w:after="120" w:before="0"/>
        <w:jc w:val="left"/>
      </w:pPr>
      <w:r>
        <w:rPr>
          <w:rFonts w:ascii="Arial" w:cs="Arial" w:eastAsia="Arial" w:hAnsi="Arial"/>
          <w:b w:val="false"/>
          <w:bCs w:val="false"/>
          <w:i w:val="false"/>
          <w:iCs w:val="false"/>
          <w:color w:val="000000"/>
          <w:sz w:val="22"/>
          <w:szCs w:val="22"/>
        </w:rPr>
        <w:t xml:space="preserve">The five BRICS exporters have structurally different exchange rate regimes. Pooling them under a single β₁ imposes the assumption that the volatility-trade relationship is identical across all five. This is unlikely given the range from China's managed crawl to Russia's post-sanctions float. The interaction specification relaxes this assumption and recovers country-specific effects.</w:t>
      </w:r>
    </w:p>
    <w:p>
      <w:pPr>
        <w:spacing w:after="80"/>
      </w:pPr>
    </w:p>
    <w:p>
      <w:pPr>
        <w:pStyle w:val="Heading2"/>
      </w:pPr>
      <w:r>
        <w:rPr>
          <w:rFonts w:ascii="Arial" w:cs="Arial" w:eastAsia="Arial" w:hAnsi="Arial"/>
          <w:b/>
          <w:bCs/>
          <w:color w:val="2E75B6"/>
          <w:sz w:val="26"/>
          <w:szCs w:val="26"/>
        </w:rPr>
        <w:t xml:space="preserve">5.2  Specification</w:t>
      </w:r>
    </w:p>
    <w:p>
      <w:pPr>
        <w:spacing w:after="120" w:before="0"/>
        <w:jc w:val="left"/>
      </w:pPr>
      <w:r>
        <w:rPr>
          <w:rFonts w:ascii="Arial" w:cs="Arial" w:eastAsia="Arial" w:hAnsi="Arial"/>
          <w:b w:val="false"/>
          <w:bCs w:val="false"/>
          <w:i w:val="false"/>
          <w:iCs w:val="false"/>
          <w:color w:val="000000"/>
          <w:sz w:val="22"/>
          <w:szCs w:val="22"/>
        </w:rPr>
        <w:t xml:space="preserve">Four interaction terms are generated — one for each BRICS country except ZAF, which is the omitted base category. ZAF is chosen as the base because South Africa has a freely floating, market-determined currency with no systematic intervention — the cleanest baseline for comparison.</w:t>
      </w:r>
    </w:p>
    <w:p>
      <w:pPr>
        <w:spacing w:after="80"/>
      </w:pPr>
    </w:p>
    <w:p>
      <w:pPr>
        <w:shd w:fill="F4F4F4" w:val="clear"/>
        <w:spacing w:after="60"/>
        <w:ind w:left="360"/>
      </w:pPr>
      <w:r>
        <w:rPr>
          <w:rFonts w:ascii="Courier New" w:cs="Courier New" w:eastAsia="Courier New" w:hAnsi="Courier New"/>
          <w:color w:val="1F3864"/>
          <w:sz w:val="18"/>
          <w:szCs w:val="18"/>
        </w:rPr>
        <w:t xml:space="preserve">gen vol_bra = volatility * (exporter == "BRA")</w:t>
      </w:r>
    </w:p>
    <w:p>
      <w:pPr>
        <w:shd w:fill="F4F4F4" w:val="clear"/>
        <w:spacing w:after="60"/>
        <w:ind w:left="360"/>
      </w:pPr>
      <w:r>
        <w:rPr>
          <w:rFonts w:ascii="Courier New" w:cs="Courier New" w:eastAsia="Courier New" w:hAnsi="Courier New"/>
          <w:color w:val="1F3864"/>
          <w:sz w:val="18"/>
          <w:szCs w:val="18"/>
        </w:rPr>
        <w:t xml:space="preserve">gen vol_chn = volatility * (exporter == "CHN")</w:t>
      </w:r>
    </w:p>
    <w:p>
      <w:pPr>
        <w:shd w:fill="F4F4F4" w:val="clear"/>
        <w:spacing w:after="60"/>
        <w:ind w:left="360"/>
      </w:pPr>
      <w:r>
        <w:rPr>
          <w:rFonts w:ascii="Courier New" w:cs="Courier New" w:eastAsia="Courier New" w:hAnsi="Courier New"/>
          <w:color w:val="1F3864"/>
          <w:sz w:val="18"/>
          <w:szCs w:val="18"/>
        </w:rPr>
        <w:t xml:space="preserve">gen vol_ind = volatility * (exporter == "IND")</w:t>
      </w:r>
    </w:p>
    <w:p>
      <w:pPr>
        <w:shd w:fill="F4F4F4" w:val="clear"/>
        <w:spacing w:after="60"/>
        <w:ind w:left="360"/>
      </w:pPr>
      <w:r>
        <w:rPr>
          <w:rFonts w:ascii="Courier New" w:cs="Courier New" w:eastAsia="Courier New" w:hAnsi="Courier New"/>
          <w:color w:val="1F3864"/>
          <w:sz w:val="18"/>
          <w:szCs w:val="18"/>
        </w:rPr>
        <w:t xml:space="preserve">gen vol_rus = volatility * (exporter == "RUS")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estimating equation is:</w:t>
      </w:r>
    </w:p>
    <w:p>
      <w:pPr>
        <w:shd w:fill="D6E4F0" w:val="clear"/>
        <w:spacing w:after="120"/>
        <w:jc w:val="center"/>
      </w:pPr>
      <w:r>
        <w:rPr>
          <w:rFonts w:ascii="Courier New" w:cs="Courier New" w:eastAsia="Courier New" w:hAnsi="Courier New"/>
          <w:b/>
          <w:bCs/>
          <w:color w:val="1F3864"/>
          <w:sz w:val="24"/>
          <w:szCs w:val="24"/>
        </w:rPr>
        <w:t xml:space="preserve">E[trade_ijt] = exp(β_BRA·vol_bra + β_CHN·vol_chn + β_IND·vol_ind + β_RUS·vol_rus + β_ZAF·volatility + φ_ij + γ_it + δ_jt)</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coefficient on volatility (β_ZAF) is the South Africa baseline effect. The coefficients on vol_xxx are the deviation from ZAF for each country. The total country-specific effect is the sum: e.g. total China effect = β_CHN + β_ZAF.</w:t>
      </w:r>
    </w:p>
    <w:p>
      <w:pPr>
        <w:spacing w:after="80"/>
      </w:pPr>
    </w:p>
    <w:p>
      <w:pPr>
        <w:pStyle w:val="Heading2"/>
      </w:pPr>
      <w:r>
        <w:rPr>
          <w:rFonts w:ascii="Arial" w:cs="Arial" w:eastAsia="Arial" w:hAnsi="Arial"/>
          <w:b/>
          <w:bCs/>
          <w:color w:val="2E75B6"/>
          <w:sz w:val="26"/>
          <w:szCs w:val="26"/>
        </w:rPr>
        <w:t xml:space="preserve">5.3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400"/>
        <w:gridCol w:w="1200"/>
        <w:gridCol w:w="1200"/>
        <w:gridCol w:w="2226"/>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Exporter</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Coefficient</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z-stat</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p-value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BRA (vs ZAF)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-0.781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0.680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0.250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Negative, not significant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CHN (vs ZAF)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-0.057</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0.072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-0.79</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0.430</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Negative, not significant</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IND (vs ZAF)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-0.046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0.103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0.659</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Negative, not significant</w:t>
            </w:r>
          </w:p>
        </w:tc>
      </w:tr>
      <w:tr>
        <w:tc>
          <w:tcPr>
            <w:tcW w:type="dxa" w:w="16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RUS (vs ZAF)</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+0.451</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0.216</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+2.09</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0.037*</w:t>
            </w:r>
          </w:p>
        </w:tc>
        <w:tc>
          <w:tcPr>
            <w:tcW w:type="dxa" w:w="222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Positive, significant at 5%</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ZAF (base)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+0.493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0.841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+0.59</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0.558</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Positive, not significant</w:t>
            </w:r>
          </w:p>
        </w:tc>
      </w:tr>
    </w:tbl>
    <w:p>
      <w:pPr>
        <w:spacing w:after="120"/>
      </w:pPr>
    </w:p>
    <w:p>
      <w:pPr>
        <w:pStyle w:val="Heading2"/>
      </w:pPr>
      <w:r>
        <w:rPr>
          <w:rFonts w:ascii="Arial" w:cs="Arial" w:eastAsia="Arial" w:hAnsi="Arial"/>
          <w:b/>
          <w:bCs/>
          <w:color w:val="2E75B6"/>
          <w:sz w:val="26"/>
          <w:szCs w:val="26"/>
        </w:rPr>
        <w:t xml:space="preserve">5.4  Interpretation</w:t>
      </w:r>
    </w:p>
    <w:p>
      <w:pPr>
        <w:spacing w:after="120" w:before="0"/>
        <w:jc w:val="left"/>
      </w:pPr>
      <w:r>
        <w:rPr>
          <w:rFonts w:ascii="Arial" w:cs="Arial" w:eastAsia="Arial" w:hAnsi="Arial"/>
          <w:b w:val="false"/>
          <w:bCs w:val="false"/>
          <w:i w:val="false"/>
          <w:iCs w:val="false"/>
          <w:color w:val="000000"/>
          <w:sz w:val="22"/>
          <w:szCs w:val="22"/>
        </w:rPr>
        <w:t xml:space="preserve">Russia is the only statistically significant result, with a positive coefficient on the Russia interaction term. The total Russia volatility effect is vol_rus + volatility = 0.451 + 0.493 = +0.944 — higher rouble volatility is associated with more trade, not less.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This result is counterintuitive but economically explicable. The Russia post-2022 sanctions episode created simultaneous extreme rouble volatility and a dramatic redirection of Russian trade toward non-sanctioning partners — China, India, Turkey, UAE. Both the high volatility and the trade reorientation are consequences of the same underlying event (sanctions), not a causal chain from volatility to trade. The positive association reflects omitted variable bias: the sanctions shock drives both variables in the same direction, creating a spurious positive correlation in the data.</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other four BRICS exporters all show the theoretically expected negative sign. Brazil shows the largest negative deviation from ZAF (-0.781), consistent with the real's high sensitivity to global risk appetite and documented evidence from the literature on Brazil's exchange rate uncertainty and export decisions. China shows the smallest negative deviation (-0.057), consistent with the managed crawl regime that deliberately suppresses bilateral volatility. India's coefficient (-0.046) is very close to China's, consistent with the RBI's active management of rupee volatility. None of these country-specific effects reach statistical significance individually, reflecting the limited degrees of freedom with five exporters.</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6. Section 3 — Russia Sensitivity Check</w:t>
      </w:r>
    </w:p>
    <w:p>
      <w:pPr>
        <w:pStyle w:val="Heading2"/>
      </w:pPr>
      <w:r>
        <w:rPr>
          <w:rFonts w:ascii="Arial" w:cs="Arial" w:eastAsia="Arial" w:hAnsi="Arial"/>
          <w:b/>
          <w:bCs/>
          <w:color w:val="2E75B6"/>
          <w:sz w:val="26"/>
          <w:szCs w:val="26"/>
        </w:rPr>
        <w:t xml:space="preserve">6.1  Motivation</w:t>
      </w:r>
    </w:p>
    <w:p>
      <w:pPr>
        <w:spacing w:after="120" w:before="0"/>
        <w:jc w:val="left"/>
      </w:pPr>
      <w:r>
        <w:rPr>
          <w:rFonts w:ascii="Arial" w:cs="Arial" w:eastAsia="Arial" w:hAnsi="Arial"/>
          <w:b w:val="false"/>
          <w:bCs w:val="false"/>
          <w:i w:val="false"/>
          <w:iCs w:val="false"/>
          <w:color w:val="000000"/>
          <w:sz w:val="22"/>
          <w:szCs w:val="22"/>
        </w:rPr>
        <w:t xml:space="preserve">The Russia post-February 2022 observations are a documented outlier. The rouble volatility measure peaks at 7.45 in the dataset — approximately 10 times the sample mean of 0.033. This extreme value reflects CBR capital controls and the administrative suspension of market-determined exchange rates, not the economic exchange rate uncertainty that the volatility measure is designed to capture. Including these 197 observations may distort the pooled result.</w:t>
      </w:r>
    </w:p>
    <w:p>
      <w:pPr>
        <w:spacing w:after="80"/>
      </w:pPr>
    </w:p>
    <w:p>
      <w:pPr>
        <w:pStyle w:val="Heading2"/>
      </w:pPr>
      <w:r>
        <w:rPr>
          <w:rFonts w:ascii="Arial" w:cs="Arial" w:eastAsia="Arial" w:hAnsi="Arial"/>
          <w:b/>
          <w:bCs/>
          <w:color w:val="2E75B6"/>
          <w:sz w:val="26"/>
          <w:szCs w:val="26"/>
        </w:rPr>
        <w:t xml:space="preserve">6.2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200"/>
        <w:gridCol w:w="18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Coefficient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p-value</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PPML — full sample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+0.490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0.835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0.557</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19,914</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PPML — excl. Russia 2022+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-0.546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0.841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0.517</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19,777</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Log-OLS — full sample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-1.823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1.316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0.166</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19,914</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Log-OLS — excl. Russia 2022+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-1.461</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1.331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0.272</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19,777</w:t>
            </w:r>
          </w:p>
        </w:tc>
      </w:tr>
    </w:tbl>
    <w:p>
      <w:pPr>
        <w:spacing w:after="120"/>
      </w:pPr>
    </w:p>
    <w:p>
      <w:pPr>
        <w:pStyle w:val="Heading2"/>
      </w:pPr>
      <w:r>
        <w:rPr>
          <w:rFonts w:ascii="Arial" w:cs="Arial" w:eastAsia="Arial" w:hAnsi="Arial"/>
          <w:b/>
          <w:bCs/>
          <w:color w:val="2E75B6"/>
          <w:sz w:val="26"/>
          <w:szCs w:val="26"/>
        </w:rPr>
        <w:t xml:space="preserve">6.3  Interpretation</w:t>
      </w:r>
    </w:p>
    <w:p>
      <w:pPr>
        <w:spacing w:after="120" w:before="0"/>
        <w:jc w:val="left"/>
      </w:pPr>
      <w:r>
        <w:rPr>
          <w:rFonts w:ascii="Arial" w:cs="Arial" w:eastAsia="Arial" w:hAnsi="Arial"/>
          <w:b w:val="false"/>
          <w:bCs w:val="false"/>
          <w:i w:val="false"/>
          <w:iCs w:val="false"/>
          <w:color w:val="000000"/>
          <w:sz w:val="22"/>
          <w:szCs w:val="22"/>
        </w:rPr>
        <w:t xml:space="preserve">Dropping Russia post-2022 flips the PPML coefficient from +0.490 to -0.546. The sign change confirms that the positive PPML coefficient in the full sample is driven by the Russia 2022 outlier. Without those 197 observations, the PPML coefficient is negative — consistent with the theoretical prior and with the log-OLS direction.</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Neither the full-sample nor the restricted-sample coefficient reaches statistical significance. The direction is consistent across both log-OLS specifications (negative in both, slightly smaller magnitude without Russia). The consistency of the log-OLS coefficient across the two samples (-1.823 vs -1.461) suggests log-OLS is less sensitive to the Russia outlier — likely because the rouble volatility extreme values have less leverage in the log-linear specification than in levels.</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sensitivity check supports the following interpretation: the best estimate of the volatility-trade relationship for BRICS is negative in direction but imprecisely estimated. The null result in the pooled full-sample PPML is partially explained by the Russia 2022 outlier distorting the pooled coefficient upward. The underlying relationship is directionally consistent with theory but the panel — five exporters, 23 years, stringent three-way fixed effects — does not provide sufficient within-pair variation to achieve statistical precision.</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7. Complete Results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400"/>
        <w:gridCol w:w="1200"/>
        <w:gridCol w:w="1826"/>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Specification</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β₁</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PPML — full sample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+0.490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0.835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0.557</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19,914</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 Log-OLS — full sample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-1.823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1.316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0.166</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19,914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 LPM — extensive margin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Infeasible</w:t>
            </w:r>
          </w:p>
        </w:tc>
      </w:tr>
      <w:tr>
        <w:tc>
          <w:tcPr>
            <w:tcW w:type="dxa" w:w="3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(4) PPML — BRICS het. (RUS interaction)</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+0.451*</w:t>
            </w:r>
          </w:p>
        </w:tc>
        <w:tc>
          <w:tcPr>
            <w:tcW w:type="dxa" w:w="14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0.216</w:t>
            </w:r>
          </w:p>
        </w:tc>
        <w:tc>
          <w:tcPr>
            <w:tcW w:type="dxa" w:w="12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0.037</w:t>
            </w:r>
          </w:p>
        </w:tc>
        <w:tc>
          <w:tcPr>
            <w:tcW w:type="dxa" w:w="1826"/>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Arial" w:cs="Arial" w:eastAsia="Arial" w:hAnsi="Arial"/>
                <w:color w:val="000000"/>
                <w:sz w:val="20"/>
                <w:szCs w:val="20"/>
              </w:rPr>
              <w:t xml:space="preserve">19,914</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(5) PPML — excl. Russia 2022+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-0.546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0.841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0.517</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19,777</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(6) Log-OLS — excl. Russia 2022+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-1.461</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1.331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0.272</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19,777</w:t>
            </w:r>
          </w:p>
        </w:tc>
      </w:tr>
    </w:tbl>
    <w:p>
      <w:pPr>
        <w:spacing w:after="120"/>
      </w:pPr>
    </w:p>
    <w:p>
      <w:pPr>
        <w:spacing w:after="120" w:before="0"/>
        <w:jc w:val="left"/>
      </w:pPr>
      <w:r>
        <w:rPr>
          <w:rFonts w:ascii="Arial" w:cs="Arial" w:eastAsia="Arial" w:hAnsi="Arial"/>
          <w:b w:val="false"/>
          <w:bCs w:val="false"/>
          <w:i w:val="false"/>
          <w:iCs w:val="false"/>
          <w:color w:val="000000"/>
          <w:sz w:val="22"/>
          <w:szCs w:val="22"/>
        </w:rPr>
        <w:t xml:space="preserve">* p &lt; 0.05. All other coefficients insignificant at conventional levels. Three-way fixed effects (pair, exporter×year, importer×year) absorbed in all specifications. Robust standard errors throughout.</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8. Honest Interpretation of Results</w:t>
      </w:r>
    </w:p>
    <w:p>
      <w:pPr>
        <w:pStyle w:val="Heading2"/>
      </w:pPr>
      <w:r>
        <w:rPr>
          <w:rFonts w:ascii="Arial" w:cs="Arial" w:eastAsia="Arial" w:hAnsi="Arial"/>
          <w:b/>
          <w:bCs/>
          <w:color w:val="2E75B6"/>
          <w:sz w:val="26"/>
          <w:szCs w:val="26"/>
        </w:rPr>
        <w:t xml:space="preserve">8.1  The Null Result</w:t>
      </w:r>
    </w:p>
    <w:p>
      <w:pPr>
        <w:spacing w:after="120" w:before="0"/>
        <w:jc w:val="left"/>
      </w:pPr>
      <w:r>
        <w:rPr>
          <w:rFonts w:ascii="Arial" w:cs="Arial" w:eastAsia="Arial" w:hAnsi="Arial"/>
          <w:b w:val="false"/>
          <w:bCs w:val="false"/>
          <w:i w:val="false"/>
          <w:iCs w:val="false"/>
          <w:color w:val="000000"/>
          <w:sz w:val="22"/>
          <w:szCs w:val="22"/>
        </w:rPr>
        <w:t xml:space="preserve">The primary finding is a null result: bilateral exchange rate volatility has no statistically significant effect on BRICS bilateral trade at the intensive margin when identified from within-pair variation under stringent three-way fixed effects. This is an honest finding, not a failure of the research design.</w:t>
      </w:r>
    </w:p>
    <w:p>
      <w:pPr>
        <w:spacing w:after="80"/>
      </w:pPr>
    </w:p>
    <w:p>
      <w:pPr>
        <w:spacing w:after="120" w:before="0"/>
        <w:jc w:val="left"/>
      </w:pPr>
      <w:r>
        <w:rPr>
          <w:rFonts w:ascii="Arial" w:cs="Arial" w:eastAsia="Arial" w:hAnsi="Arial"/>
          <w:b w:val="false"/>
          <w:bCs w:val="false"/>
          <w:i w:val="false"/>
          <w:iCs w:val="false"/>
          <w:color w:val="000000"/>
          <w:sz w:val="22"/>
          <w:szCs w:val="22"/>
        </w:rPr>
        <w:t xml:space="preserve">The null result is consistent with three literatures:</w:t>
      </w:r>
    </w:p>
    <w:p>
      <w:pPr>
        <w:pStyle w:val="ListParagraph"/>
        <w:numPr>
          <w:ilvl w:val="0"/>
          <w:numId w:val="3"/>
        </w:numPr>
        <w:spacing w:after="80"/>
      </w:pPr>
      <w:r>
        <w:rPr>
          <w:rFonts w:ascii="Arial" w:cs="Arial" w:eastAsia="Arial" w:hAnsi="Arial"/>
          <w:sz w:val="22"/>
          <w:szCs w:val="22"/>
        </w:rPr>
        <w:t xml:space="preserve">The aggregate gravity literature, which finds mixed and often insignificant effects of exchange rate volatility on bilateral trade at the country-pair level (Rose 2000, Tenreyro 2007). Significant effects tend to emerge at the firm level (Héricourt &amp; Poncet 2015) or with weaker identification strategies.</w:t>
      </w:r>
    </w:p>
    <w:p>
      <w:pPr>
        <w:pStyle w:val="ListParagraph"/>
        <w:numPr>
          <w:ilvl w:val="0"/>
          <w:numId w:val="3"/>
        </w:numPr>
        <w:spacing w:after="80"/>
      </w:pPr>
      <w:r>
        <w:rPr>
          <w:rFonts w:ascii="Arial" w:cs="Arial" w:eastAsia="Arial" w:hAnsi="Arial"/>
          <w:sz w:val="22"/>
          <w:szCs w:val="22"/>
        </w:rPr>
        <w:t xml:space="preserve">The high-dimensional fixed effects literature, which documents that three-way FE gravity specifications absorb enormous amounts of variation and often leave little for time-varying bilateral variables to explain — particularly with short panels and few exporter categories (Head &amp; Mayer 2014).</w:t>
      </w:r>
    </w:p>
    <w:p>
      <w:pPr>
        <w:pStyle w:val="ListParagraph"/>
        <w:numPr>
          <w:ilvl w:val="0"/>
          <w:numId w:val="3"/>
        </w:numPr>
        <w:spacing w:after="80"/>
      </w:pPr>
      <w:r>
        <w:rPr>
          <w:rFonts w:ascii="Arial" w:cs="Arial" w:eastAsia="Arial" w:hAnsi="Arial"/>
          <w:sz w:val="22"/>
          <w:szCs w:val="22"/>
        </w:rPr>
        <w:t xml:space="preserve">The BRICS-specific literature, which notes that China's managed exchange rate, India's selective intervention, and Russia's sanctions-distorted post-2022 data create structural heterogeneity that pools poorly in a single-coefficient specification.</w:t>
      </w:r>
    </w:p>
    <w:p>
      <w:pPr>
        <w:spacing w:after="80"/>
      </w:pPr>
    </w:p>
    <w:p>
      <w:pPr>
        <w:pStyle w:val="Heading2"/>
      </w:pPr>
      <w:r>
        <w:rPr>
          <w:rFonts w:ascii="Arial" w:cs="Arial" w:eastAsia="Arial" w:hAnsi="Arial"/>
          <w:b/>
          <w:bCs/>
          <w:color w:val="2E75B6"/>
          <w:sz w:val="26"/>
          <w:szCs w:val="26"/>
        </w:rPr>
        <w:t xml:space="preserve">8.2  What the Data Does Show</w:t>
      </w:r>
    </w:p>
    <w:p>
      <w:pPr>
        <w:pStyle w:val="ListParagraph"/>
        <w:numPr>
          <w:ilvl w:val="0"/>
          <w:numId w:val="2"/>
        </w:numPr>
        <w:spacing w:after="80"/>
      </w:pPr>
      <w:r>
        <w:rPr>
          <w:rFonts w:ascii="Arial" w:cs="Arial" w:eastAsia="Arial" w:hAnsi="Arial"/>
          <w:b w:val="false"/>
          <w:bCs w:val="false"/>
          <w:i w:val="false"/>
          <w:iCs w:val="false"/>
          <w:sz w:val="22"/>
          <w:szCs w:val="22"/>
        </w:rPr>
        <w:t xml:space="preserve">Direction: the sign of the volatility coefficient is negative in four of five country-specific effects and in the log-OLS and Russia-restricted PPML specifications — consistent with theory.</w:t>
      </w:r>
    </w:p>
    <w:p>
      <w:pPr>
        <w:pStyle w:val="ListParagraph"/>
        <w:numPr>
          <w:ilvl w:val="0"/>
          <w:numId w:val="2"/>
        </w:numPr>
        <w:spacing w:after="80"/>
      </w:pPr>
      <w:r>
        <w:rPr>
          <w:rFonts w:ascii="Arial" w:cs="Arial" w:eastAsia="Arial" w:hAnsi="Arial"/>
          <w:b w:val="false"/>
          <w:bCs w:val="false"/>
          <w:i w:val="false"/>
          <w:iCs w:val="false"/>
          <w:sz w:val="22"/>
          <w:szCs w:val="22"/>
        </w:rPr>
        <w:t xml:space="preserve">Russia outlier: the full-sample PPML positive coefficient is driven by the Russia 2022 sanctions episode, not a genuine positive volatility-trade relationship.</w:t>
      </w:r>
    </w:p>
    <w:p>
      <w:pPr>
        <w:pStyle w:val="ListParagraph"/>
        <w:numPr>
          <w:ilvl w:val="0"/>
          <w:numId w:val="2"/>
        </w:numPr>
        <w:spacing w:after="80"/>
      </w:pPr>
      <w:r>
        <w:rPr>
          <w:rFonts w:ascii="Arial" w:cs="Arial" w:eastAsia="Arial" w:hAnsi="Arial"/>
          <w:b w:val="false"/>
          <w:bCs w:val="false"/>
          <w:i w:val="false"/>
          <w:iCs w:val="false"/>
          <w:sz w:val="22"/>
          <w:szCs w:val="22"/>
        </w:rPr>
        <w:t xml:space="preserve">Precision: the panel does not provide sufficient within-pair identifying variation to estimate the volatility coefficient with statistical precision under the three-way FE structure. A longer panel, more exporters, or a valid instrument for volatility would be needed to achieve precision.</w:t>
      </w:r>
    </w:p>
    <w:p>
      <w:pPr>
        <w:pStyle w:val="ListParagraph"/>
        <w:numPr>
          <w:ilvl w:val="0"/>
          <w:numId w:val="2"/>
        </w:numPr>
        <w:spacing w:after="80"/>
      </w:pPr>
      <w:r>
        <w:rPr>
          <w:rFonts w:ascii="Arial" w:cs="Arial" w:eastAsia="Arial" w:hAnsi="Arial"/>
          <w:b w:val="false"/>
          <w:bCs w:val="false"/>
          <w:i w:val="false"/>
          <w:iCs w:val="false"/>
          <w:sz w:val="22"/>
          <w:szCs w:val="22"/>
        </w:rPr>
        <w:t xml:space="preserve">Extensive margin: the LPM is infeasible with this panel structure due to absence of within-pair switching in trade participation. This is a documented data limitation, not an econometric error.</w:t>
      </w:r>
    </w:p>
    <w:p>
      <w:pPr>
        <w:spacing w:after="80"/>
      </w:pPr>
    </w:p>
    <w:p>
      <w:pPr>
        <w:pStyle w:val="Heading2"/>
      </w:pPr>
      <w:r>
        <w:rPr>
          <w:rFonts w:ascii="Arial" w:cs="Arial" w:eastAsia="Arial" w:hAnsi="Arial"/>
          <w:b/>
          <w:bCs/>
          <w:color w:val="2E75B6"/>
          <w:sz w:val="26"/>
          <w:szCs w:val="26"/>
        </w:rPr>
        <w:t xml:space="preserve">8.3  Limitations</w:t>
      </w:r>
    </w:p>
    <w:p>
      <w:pPr>
        <w:pStyle w:val="ListParagraph"/>
        <w:numPr>
          <w:ilvl w:val="0"/>
          <w:numId w:val="3"/>
        </w:numPr>
        <w:spacing w:after="80"/>
      </w:pPr>
      <w:r>
        <w:rPr>
          <w:rFonts w:ascii="Arial" w:cs="Arial" w:eastAsia="Arial" w:hAnsi="Arial"/>
          <w:sz w:val="22"/>
          <w:szCs w:val="22"/>
        </w:rPr>
        <w:t xml:space="preserve">Endogeneity: countries experiencing economic or political stress have both volatile currencies and declining trade. Without a valid instrument (Tenreyro 2007 uses lagged US monetary policy shocks), β₁ captures correlation not causation. This project does not claim causal identification.</w:t>
      </w:r>
    </w:p>
    <w:p>
      <w:pPr>
        <w:pStyle w:val="ListParagraph"/>
        <w:numPr>
          <w:ilvl w:val="0"/>
          <w:numId w:val="3"/>
        </w:numPr>
        <w:spacing w:after="80"/>
      </w:pPr>
      <w:r>
        <w:rPr>
          <w:rFonts w:ascii="Arial" w:cs="Arial" w:eastAsia="Arial" w:hAnsi="Arial"/>
          <w:sz w:val="22"/>
          <w:szCs w:val="22"/>
        </w:rPr>
        <w:t xml:space="preserve">Five exporters: the BRICS exporter dimension has only five countries. The country-specific interaction specification has limited degrees of freedom. Country-level results are illustrative.</w:t>
      </w:r>
    </w:p>
    <w:p>
      <w:pPr>
        <w:pStyle w:val="ListParagraph"/>
        <w:numPr>
          <w:ilvl w:val="0"/>
          <w:numId w:val="3"/>
        </w:numPr>
        <w:spacing w:after="80"/>
      </w:pPr>
      <w:r>
        <w:rPr>
          <w:rFonts w:ascii="Arial" w:cs="Arial" w:eastAsia="Arial" w:hAnsi="Arial"/>
          <w:sz w:val="22"/>
          <w:szCs w:val="22"/>
        </w:rPr>
        <w:t xml:space="preserve">Rolling SD vs GARCH: rolling SD is backward-looking and does not capture expected future volatility. Exporters may respond to expectations, not realised past volatility. GARCH-based conditional volatility is a robustness check deferred from this analysis.</w:t>
      </w:r>
    </w:p>
    <w:p>
      <w:pPr>
        <w:pStyle w:val="ListParagraph"/>
        <w:numPr>
          <w:ilvl w:val="0"/>
          <w:numId w:val="3"/>
        </w:numPr>
        <w:spacing w:after="80"/>
      </w:pPr>
      <w:r>
        <w:rPr>
          <w:rFonts w:ascii="Arial" w:cs="Arial" w:eastAsia="Arial" w:hAnsi="Arial"/>
          <w:sz w:val="22"/>
          <w:szCs w:val="22"/>
        </w:rPr>
        <w:t xml:space="preserve">Russia post-2022: the rouble exchange rate after February 2022 reflects capital controls, not market dynamics. Russia 2022+ observations are a documented outlier and are sensitivity-checked.</w:t>
      </w:r>
    </w:p>
    <w:p>
      <w:pPr>
        <w:pStyle w:val="ListParagraph"/>
        <w:numPr>
          <w:ilvl w:val="0"/>
          <w:numId w:val="3"/>
        </w:numPr>
        <w:spacing w:after="80"/>
      </w:pPr>
      <w:r>
        <w:rPr>
          <w:rFonts w:ascii="Arial" w:cs="Arial" w:eastAsia="Arial" w:hAnsi="Arial"/>
          <w:sz w:val="22"/>
          <w:szCs w:val="22"/>
        </w:rPr>
        <w:t xml:space="preserve">Product heterogeneity: aggregate bilateral flows mask variation across Rauch (1999) good types. Differentiated goods are more sensitive to volatility. Product-level disaggregation is a natural extension not pursued here.</w:t>
      </w:r>
    </w:p>
    <w:p>
      <w:pPr>
        <w:pBdr>
          <w:bottom w:val="single" w:color="2E75B6" w:sz="6" w:space="1"/>
        </w:pBdr>
        <w:spacing w:after="160" w:before="160"/>
      </w:pPr>
    </w:p>
    <w:p>
      <w:pPr>
        <w:pStyle w:val="Heading1"/>
      </w:pPr>
      <w:r>
        <w:rPr>
          <w:rFonts w:ascii="Arial" w:cs="Arial" w:eastAsia="Arial" w:hAnsi="Arial"/>
          <w:b/>
          <w:bCs/>
          <w:color w:val="1F3864"/>
          <w:sz w:val="32"/>
          <w:szCs w:val="32"/>
        </w:rPr>
        <w:t xml:space="preserve">9. Key Stata Commands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 in This Do-File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ppmlhdfe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PPML with high-dimensional fixed effects — primary estimator (Correia, Guimaraes, Zylkin 2020)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reghdfe</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OLS with high-dimensional fixed effects — log-OLS and LPM specifications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absorb()</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Specify fixed effect groups to partial out — pair_id, exporter_year, importer_year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vce(robust)</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Heteroskedasticity-robust standard errors via sandwich estimator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estimates store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Save regression estimates for later export with esttab</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gen vol_xxx = volatility * (exporter == "XXX")</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Generate country-specific volatility interaction terms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if russia_post22 == 0</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Restrict sample to exclude Russia post-February 2022 (197 obs)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esttab ... using ... .csv</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Export formatted results table to CSV — primary, sensitivity, heterogeneity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keep()</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Specify which coefficients to display in the output table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scalars()</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Add model-level statistics (N, R², Pseudo R²) to output table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addnotes()</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Append table footnotes explaining specifications and caveats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star()</w:t>
            </w:r>
          </w:p>
        </w:tc>
        <w:tc>
          <w:tcPr>
            <w:tcW w:type="dxa" w:w="6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Significance stars at 10%, 5%, 1% thresholds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require reghdfe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Ensure reghdfe dependencies are satisfied before running</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10. Run Statistics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5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Run date</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 June 2026</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Run time</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21:07:06 – 21:07:10 (under 4 minutes)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Stata version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18.0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Input: master_panel.dta</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24,579 observations, 16 variables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Singleton observations dropped</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12 (consistent across all specifications)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Effective regression sample</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19,914 (full sample); 19,777 (excl. Russia 2022+)</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PPML convergence (main)</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15 outer iterations, 64 HDFE sub-iterations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PPML convergence (heterogeneity)</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15 outer iterations, 65 HDFE sub-iterations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PPML convergence (Russia sensitivity)</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15 outer iterations, 63 HDFE sub-iterations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reghdfe convergence (all specs)</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9 MWFE iterations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Output files produced</w:t>
            </w:r>
          </w:p>
        </w:tc>
        <w:tc>
          <w:tcPr>
            <w:tcW w:type="dxa" w:w="5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3 CSV files in output/</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Estimates stored</w:t>
            </w:r>
          </w:p>
        </w:tc>
        <w:tc>
          <w:tcPr>
            <w:tcW w:type="dxa" w:w="5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5 (ppml_main, ols_main, ppml_het, ppml_norus, ols_norus)</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11. Key Literature Referenced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626"/>
      </w:tblGrid>
      <w:tr>
        <w:trPr>
          <w:tblHeader/>
        </w:trPr>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Paper</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Journal</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Anderson &amp; van Wincoop (2003)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AER</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Multilateral resistance — foundational motivation for three-way FE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Santos Silva &amp; Tenreyro (2006)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ReStat</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PPML as correct gravity estimator — motivation for primary specification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Helpman, Melitz &amp; Rubinstein (2008)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QJE</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Theoretical foundation for intensive/extensive margin distinction</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Head &amp; Mayer (2014)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Handbook</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Comprehensive gravity survey — preferred reference for three-way FE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Tenreyro (2007)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JDE</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IV approach to volatility endogeneity — motivation for limitations</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Héricourt &amp; Poncet (2015)</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WBER</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Volatility and Chinese firm-level exports — comparison benchmark</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Correia, Guimarães &amp; Zylkin (2020)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StataJ</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0"/>
                <w:szCs w:val="20"/>
              </w:rPr>
              <w:t xml:space="preserve">ppmlhdfe algorithm reference</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Rauch (1999)</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JIE</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20"/>
                <w:szCs w:val="20"/>
              </w:rPr>
              <w:t xml:space="preserve">Product differentiation taxonomy — motivation for product heterogeneity limitation</w:t>
            </w:r>
          </w:p>
        </w:tc>
      </w:tr>
    </w:tbl>
    <w:p>
      <w:pPr>
        <w:pBdr>
          <w:bottom w:val="single" w:color="2E75B6" w:sz="6" w:space="1"/>
        </w:pBdr>
        <w:spacing w:after="160" w:before="160"/>
      </w:pPr>
    </w:p>
    <w:p>
      <w:pPr>
        <w:pStyle w:val="Heading1"/>
      </w:pPr>
      <w:r>
        <w:rPr>
          <w:rFonts w:ascii="Arial" w:cs="Arial" w:eastAsia="Arial" w:hAnsi="Arial"/>
          <w:b/>
          <w:bCs/>
          <w:color w:val="1F3864"/>
          <w:sz w:val="32"/>
          <w:szCs w:val="32"/>
        </w:rPr>
        <w:t xml:space="preserve">12. Connection to Portfolio and Pre-Doc Application</w:t>
      </w:r>
    </w:p>
    <w:p>
      <w:pPr>
        <w:spacing w:after="120" w:before="0"/>
        <w:jc w:val="left"/>
      </w:pPr>
      <w:r>
        <w:rPr>
          <w:rFonts w:ascii="Arial" w:cs="Arial" w:eastAsia="Arial" w:hAnsi="Arial"/>
          <w:b w:val="false"/>
          <w:bCs w:val="false"/>
          <w:i w:val="false"/>
          <w:iCs w:val="false"/>
          <w:color w:val="000000"/>
          <w:sz w:val="22"/>
          <w:szCs w:val="22"/>
        </w:rPr>
        <w:t xml:space="preserve">This project demonstrates five competencies directly relevant to the UZH pre-doc application:</w:t>
      </w:r>
    </w:p>
    <w:p>
      <w:pPr>
        <w:spacing w:after="80"/>
      </w:pPr>
    </w:p>
    <w:p>
      <w:pPr>
        <w:pStyle w:val="ListParagraph"/>
        <w:numPr>
          <w:ilvl w:val="0"/>
          <w:numId w:val="3"/>
        </w:numPr>
        <w:spacing w:after="80"/>
      </w:pPr>
      <w:r>
        <w:rPr>
          <w:rFonts w:ascii="Arial" w:cs="Arial" w:eastAsia="Arial" w:hAnsi="Arial"/>
          <w:sz w:val="22"/>
          <w:szCs w:val="22"/>
        </w:rPr>
        <w:t xml:space="preserve">Gravity econometrics: correct implementation of the three-way fixed effects gravity specification (Anderson &amp; van Wincoop 2003; Head &amp; Mayer 2014) using ppmlhdfe and reghdfe — the current academic standard.</w:t>
      </w:r>
    </w:p>
    <w:p>
      <w:pPr>
        <w:pStyle w:val="ListParagraph"/>
        <w:numPr>
          <w:ilvl w:val="0"/>
          <w:numId w:val="3"/>
        </w:numPr>
        <w:spacing w:after="80"/>
      </w:pPr>
      <w:r>
        <w:rPr>
          <w:rFonts w:ascii="Arial" w:cs="Arial" w:eastAsia="Arial" w:hAnsi="Arial"/>
          <w:sz w:val="22"/>
          <w:szCs w:val="22"/>
        </w:rPr>
        <w:t xml:space="preserve">PPML estimation: understanding of the Santos Silva and Tenreyro (2006) critique of log-OLS and correct application of PPML for count/non-negative outcome data with zeros.</w:t>
      </w:r>
    </w:p>
    <w:p>
      <w:pPr>
        <w:pStyle w:val="ListParagraph"/>
        <w:numPr>
          <w:ilvl w:val="0"/>
          <w:numId w:val="3"/>
        </w:numPr>
        <w:spacing w:after="80"/>
      </w:pPr>
      <w:r>
        <w:rPr>
          <w:rFonts w:ascii="Arial" w:cs="Arial" w:eastAsia="Arial" w:hAnsi="Arial"/>
          <w:sz w:val="22"/>
          <w:szCs w:val="22"/>
        </w:rPr>
        <w:t xml:space="preserve">Stata proficiency: panel data workflow in Stata — data cleaning, merging, fixed effect estimation, `estout` table export — using the same tools employed in economics departments.</w:t>
      </w:r>
    </w:p>
    <w:p>
      <w:pPr>
        <w:pStyle w:val="ListParagraph"/>
        <w:numPr>
          <w:ilvl w:val="0"/>
          <w:numId w:val="3"/>
        </w:numPr>
        <w:spacing w:after="80"/>
      </w:pPr>
      <w:r>
        <w:rPr>
          <w:rFonts w:ascii="Arial" w:cs="Arial" w:eastAsia="Arial" w:hAnsi="Arial"/>
          <w:sz w:val="22"/>
          <w:szCs w:val="22"/>
        </w:rPr>
        <w:t xml:space="preserve">Honest empirical practice: null results are reported and interpreted rigorously rather than suppressed. Limitations are documented with specific reference to identification challenges. The Russia outlier is identified, isolated, and sensitivity-checked.</w:t>
      </w:r>
    </w:p>
    <w:p>
      <w:pPr>
        <w:pStyle w:val="ListParagraph"/>
        <w:numPr>
          <w:ilvl w:val="0"/>
          <w:numId w:val="3"/>
        </w:numPr>
        <w:spacing w:after="80"/>
      </w:pPr>
      <w:r>
        <w:rPr>
          <w:rFonts w:ascii="Arial" w:cs="Arial" w:eastAsia="Arial" w:hAnsi="Arial"/>
          <w:sz w:val="22"/>
          <w:szCs w:val="22"/>
        </w:rPr>
        <w:t xml:space="preserve">Text2Data connection: the exchange rate volatility episodes identified here — particularly the post-2022 rouble shock — are the same episodes captured as negative sentiment shifts in Project 5 (Monetary Policy Sentiment). Cross-referencing these two results strengthens the narrative across the portfolio.</w:t>
      </w:r>
    </w:p>
    <w:p>
      <w:pPr>
        <w:spacing w:after="200"/>
      </w:pPr>
    </w:p>
    <w:p>
      <w:pPr>
        <w:spacing w:after="0"/>
        <w:jc w:val="center"/>
      </w:pPr>
      <w:r>
        <w:rPr>
          <w:rFonts w:ascii="Arial" w:cs="Arial" w:eastAsia="Arial" w:hAnsi="Arial"/>
          <w:color w:val="888888"/>
          <w:sz w:val="18"/>
          <w:szCs w:val="18"/>
        </w:rPr>
        <w:t xml:space="preserve">End of Documentation — 03_analysis.do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88888"/>
        <w:sz w:val="18"/>
        <w:szCs w:val="18"/>
      </w:rPr>
      <w:t xml:space="preserve">Project 2 — Do-file 03 Documentation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2026-06-01T19:12:29.481Z</dcterms:created>
  <dcterms:modified xsi:type="dcterms:W3CDTF">2026-06-01T19:12:29.494Z</dcterms:modified>
</cp:coreProperties>
</file>

<file path=docProps/custom.xml><?xml version="1.0" encoding="utf-8"?>
<Properties xmlns="http://schemas.openxmlformats.org/officeDocument/2006/custom-properties" xmlns:vt="http://schemas.openxmlformats.org/officeDocument/2006/docPropsVTypes"/>
</file>