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E52528" w14:textId="77777777" w:rsidR="00DD0933" w:rsidRDefault="00000000">
      <w:pPr>
        <w:spacing w:before="1440" w:after="200"/>
        <w:jc w:val="center"/>
      </w:pPr>
      <w:r>
        <w:rPr>
          <w:b/>
          <w:bCs/>
          <w:color w:val="1F3864"/>
          <w:sz w:val="52"/>
          <w:szCs w:val="52"/>
        </w:rPr>
        <w:t>Project 4</w:t>
      </w:r>
    </w:p>
    <w:p w14:paraId="5CCF501D" w14:textId="77777777" w:rsidR="00DD0933" w:rsidRDefault="00000000">
      <w:pPr>
        <w:spacing w:after="200"/>
        <w:jc w:val="center"/>
      </w:pPr>
      <w:r>
        <w:rPr>
          <w:b/>
          <w:bCs/>
          <w:color w:val="2E4B8F"/>
          <w:sz w:val="36"/>
          <w:szCs w:val="36"/>
        </w:rPr>
        <w:t>Scraping Central Bank Communications</w:t>
      </w:r>
    </w:p>
    <w:p w14:paraId="1841478C" w14:textId="77777777" w:rsidR="00DD0933" w:rsidRDefault="00000000">
      <w:pPr>
        <w:spacing w:after="600"/>
        <w:jc w:val="center"/>
      </w:pPr>
      <w:r>
        <w:rPr>
          <w:color w:val="555555"/>
          <w:sz w:val="26"/>
          <w:szCs w:val="26"/>
        </w:rPr>
        <w:t>A Structured Dataset of BRICS Monetary Policy Statements</w:t>
      </w:r>
    </w:p>
    <w:p w14:paraId="1B6285A0" w14:textId="77777777" w:rsidR="00DD0933" w:rsidRDefault="00DD0933">
      <w:pPr>
        <w:pBdr>
          <w:bottom w:val="single" w:sz="6" w:space="1" w:color="2E4B8F"/>
        </w:pBdr>
        <w:spacing w:after="400"/>
      </w:pPr>
    </w:p>
    <w:p w14:paraId="2DAD14B5" w14:textId="77777777" w:rsidR="00DD0933" w:rsidRDefault="00000000">
      <w:pPr>
        <w:spacing w:after="120"/>
        <w:jc w:val="center"/>
      </w:pPr>
      <w:r>
        <w:rPr>
          <w:color w:val="555555"/>
        </w:rPr>
        <w:t>BRICS Trade, Labour &amp; Structural Change Portfolio</w:t>
      </w:r>
    </w:p>
    <w:p w14:paraId="64002577" w14:textId="77777777" w:rsidR="00DD0933" w:rsidRDefault="00000000">
      <w:pPr>
        <w:spacing w:after="120"/>
        <w:jc w:val="center"/>
      </w:pPr>
      <w:r>
        <w:rPr>
          <w:color w:val="555555"/>
        </w:rPr>
        <w:t>Tool: Python (requests, BeautifulSoup, Selenium, pandas)</w:t>
      </w:r>
    </w:p>
    <w:p w14:paraId="74AA2B88" w14:textId="77777777" w:rsidR="00DD0933" w:rsidRDefault="00000000">
      <w:pPr>
        <w:spacing w:after="120"/>
        <w:jc w:val="center"/>
      </w:pPr>
      <w:r>
        <w:rPr>
          <w:color w:val="555555"/>
        </w:rPr>
        <w:t>Output: data/brics_mpc_statements.csv</w:t>
      </w:r>
    </w:p>
    <w:p w14:paraId="3F54F06D" w14:textId="77777777" w:rsidR="00DD0933" w:rsidRDefault="00000000">
      <w:pPr>
        <w:spacing w:after="1440"/>
        <w:jc w:val="center"/>
      </w:pPr>
      <w:r>
        <w:rPr>
          <w:color w:val="555555"/>
        </w:rPr>
        <w:t>Feeds into: Project 5 — Monetary Policy Sentiment Analysis</w:t>
      </w:r>
    </w:p>
    <w:p w14:paraId="38984E5B" w14:textId="77777777" w:rsidR="00DD0933" w:rsidRDefault="00000000">
      <w:r>
        <w:br w:type="page"/>
      </w:r>
    </w:p>
    <w:p w14:paraId="4602BAD8" w14:textId="77777777" w:rsidR="00DD0933" w:rsidRDefault="00000000">
      <w:pPr>
        <w:pStyle w:val="Heading1"/>
      </w:pPr>
      <w:r>
        <w:lastRenderedPageBreak/>
        <w:t>1. Background and Motivation</w:t>
      </w:r>
    </w:p>
    <w:p w14:paraId="71C6DCBD" w14:textId="77777777" w:rsidR="00DD0933" w:rsidRDefault="00000000">
      <w:pPr>
        <w:spacing w:before="80" w:after="80"/>
        <w:jc w:val="both"/>
      </w:pPr>
      <w:r>
        <w:t>The BRICS economies — Brazil, Russia, India, China, and South Africa — collectively represent a significant and growing share of global trade, output, and financial flows. Despite sharing a geopolitical label, their monetary policy frameworks, communication styles, and responses to shared macroeconomic shocks diverge considerably.</w:t>
      </w:r>
    </w:p>
    <w:p w14:paraId="750F2A8E" w14:textId="77777777" w:rsidR="00DD0933" w:rsidRDefault="00DD0933">
      <w:pPr>
        <w:spacing w:before="80" w:after="80"/>
      </w:pPr>
    </w:p>
    <w:p w14:paraId="61E07901" w14:textId="77777777" w:rsidR="00DD0933" w:rsidRDefault="00000000">
      <w:pPr>
        <w:spacing w:before="80" w:after="80"/>
        <w:jc w:val="both"/>
      </w:pPr>
      <w:r>
        <w:t>Since the 2008 Global Financial Crisis, central bank communication has been recognised as a monetary policy instrument in its own right. Forward guidance, the tone of post-meeting statements, and the framing of inflation and growth outlooks all affect market expectations and the transmission of monetary policy — particularly in emerging markets where credibility and communication clarity matter more, not less.</w:t>
      </w:r>
    </w:p>
    <w:p w14:paraId="7B8EF918" w14:textId="77777777" w:rsidR="00DD0933" w:rsidRDefault="00DD0933">
      <w:pPr>
        <w:spacing w:before="80" w:after="80"/>
      </w:pPr>
    </w:p>
    <w:p w14:paraId="36F716D7" w14:textId="77777777" w:rsidR="00DD0933" w:rsidRDefault="00000000">
      <w:pPr>
        <w:spacing w:before="80" w:after="80"/>
        <w:jc w:val="both"/>
      </w:pPr>
      <w:r>
        <w:t>For BRICS economies, this communication dimension is especially interesting given:</w:t>
      </w:r>
    </w:p>
    <w:p w14:paraId="4033F904" w14:textId="77777777" w:rsidR="00DD0933" w:rsidRDefault="00000000">
      <w:pPr>
        <w:pStyle w:val="ListParagraph"/>
        <w:numPr>
          <w:ilvl w:val="0"/>
          <w:numId w:val="2"/>
        </w:numPr>
        <w:spacing w:before="60" w:after="60"/>
      </w:pPr>
      <w:r>
        <w:t>Currency fragmentation pressures and divergent exchange rate regimes</w:t>
      </w:r>
    </w:p>
    <w:p w14:paraId="24E4F029" w14:textId="77777777" w:rsidR="00DD0933" w:rsidRDefault="00000000">
      <w:pPr>
        <w:pStyle w:val="ListParagraph"/>
        <w:numPr>
          <w:ilvl w:val="0"/>
          <w:numId w:val="2"/>
        </w:numPr>
        <w:spacing w:before="60" w:after="60"/>
      </w:pPr>
      <w:r>
        <w:t>Differential exposure to global trade shocks, including the US-China trade war and post-COVID supply disruptions</w:t>
      </w:r>
    </w:p>
    <w:p w14:paraId="7DDE2956" w14:textId="77777777" w:rsidR="00DD0933" w:rsidRDefault="00000000">
      <w:pPr>
        <w:pStyle w:val="ListParagraph"/>
        <w:numPr>
          <w:ilvl w:val="0"/>
          <w:numId w:val="2"/>
        </w:numPr>
        <w:spacing w:before="60" w:after="60"/>
      </w:pPr>
      <w:r>
        <w:t>Varying degrees of central bank independence and inflation targeting credibility</w:t>
      </w:r>
    </w:p>
    <w:p w14:paraId="4EE4BD48" w14:textId="77777777" w:rsidR="00DD0933" w:rsidRDefault="00000000">
      <w:pPr>
        <w:pStyle w:val="ListParagraph"/>
        <w:numPr>
          <w:ilvl w:val="0"/>
          <w:numId w:val="2"/>
        </w:numPr>
        <w:spacing w:before="60" w:after="60"/>
      </w:pPr>
      <w:r>
        <w:t>The evolving geopolitical positioning of BRICS as a bloc with implications for trade invoicing and reserve currencies</w:t>
      </w:r>
    </w:p>
    <w:p w14:paraId="383E425B" w14:textId="77777777" w:rsidR="00DD0933" w:rsidRDefault="00DD0933">
      <w:pPr>
        <w:spacing w:before="80" w:after="80"/>
      </w:pPr>
    </w:p>
    <w:p w14:paraId="478476AC" w14:textId="77777777" w:rsidR="00DD0933" w:rsidRDefault="00000000">
      <w:pPr>
        <w:spacing w:before="80" w:after="80"/>
        <w:jc w:val="both"/>
      </w:pPr>
      <w:r>
        <w:t>This project constructs a clean, machine-readable dataset of monetary policy statements from four BRICS central banks — the Reserve Bank of India (RBI), the Bank of Russia (CBR), the South African Reserve Bank (SARB), and the People's Bank of China (PBOC). The dataset is the foundation for Project 5, which applies sentiment analysis and topic modelling to quantify how hawkish or dovish monetary communication has evolved across these institutions over time.</w:t>
      </w:r>
    </w:p>
    <w:p w14:paraId="3FC9879D" w14:textId="77777777" w:rsidR="00DD0933" w:rsidRDefault="00DD0933">
      <w:pPr>
        <w:spacing w:before="80" w:after="80"/>
      </w:pPr>
    </w:p>
    <w:p w14:paraId="316477CA" w14:textId="77777777" w:rsidR="00DD0933" w:rsidRDefault="00DD0933">
      <w:pPr>
        <w:spacing w:before="80" w:after="80"/>
      </w:pPr>
    </w:p>
    <w:p w14:paraId="76544D7B" w14:textId="77777777" w:rsidR="00DD0933" w:rsidRDefault="00000000">
      <w:pPr>
        <w:pStyle w:val="Heading1"/>
      </w:pPr>
      <w:r>
        <w:t>2. Research Context</w:t>
      </w:r>
    </w:p>
    <w:p w14:paraId="1B2D645E" w14:textId="77777777" w:rsidR="00DD0933" w:rsidRDefault="00000000">
      <w:pPr>
        <w:spacing w:before="80" w:after="80"/>
        <w:jc w:val="both"/>
      </w:pPr>
      <w:r>
        <w:t>A growing body of academic literature applies natural language processing to central bank communications. Key contributions include:</w:t>
      </w:r>
    </w:p>
    <w:p w14:paraId="37702737" w14:textId="77777777" w:rsidR="00DD0933" w:rsidRDefault="00DD0933">
      <w:pPr>
        <w:spacing w:before="80" w:after="80"/>
      </w:pPr>
    </w:p>
    <w:p w14:paraId="649D443E" w14:textId="77777777" w:rsidR="00DD0933" w:rsidRDefault="00000000">
      <w:pPr>
        <w:pStyle w:val="ListParagraph"/>
        <w:numPr>
          <w:ilvl w:val="0"/>
          <w:numId w:val="2"/>
        </w:numPr>
        <w:spacing w:before="60" w:after="60"/>
      </w:pPr>
      <w:r>
        <w:t>Mathur &amp; Sengupta (2019) — quantitative analysis of RBI monetary policy statements from 1998 to 2018, showing a persistent semantic shift following inflation targeting adoption</w:t>
      </w:r>
    </w:p>
    <w:p w14:paraId="004FE182" w14:textId="77777777" w:rsidR="00DD0933" w:rsidRDefault="00000000">
      <w:pPr>
        <w:pStyle w:val="ListParagraph"/>
        <w:numPr>
          <w:ilvl w:val="0"/>
          <w:numId w:val="2"/>
        </w:numPr>
        <w:spacing w:before="60" w:after="60"/>
      </w:pPr>
      <w:r>
        <w:t>Coco &amp; Viegi (2019) — NLP analysis of SARB communications showing a move toward more forward-looking and balanced communication</w:t>
      </w:r>
    </w:p>
    <w:p w14:paraId="138AE9AF" w14:textId="77777777" w:rsidR="00DD0933" w:rsidRDefault="00000000">
      <w:pPr>
        <w:pStyle w:val="ListParagraph"/>
        <w:numPr>
          <w:ilvl w:val="0"/>
          <w:numId w:val="2"/>
        </w:numPr>
        <w:spacing w:before="60" w:after="60"/>
      </w:pPr>
      <w:r>
        <w:t>BIS Working Paper 1299 (2025) — topic modelling of nearly 20,000 central bank speeches across 100 institutions from 1997 to 2025</w:t>
      </w:r>
    </w:p>
    <w:p w14:paraId="53338D8E" w14:textId="77777777" w:rsidR="00DD0933" w:rsidRDefault="00000000">
      <w:pPr>
        <w:pStyle w:val="ListParagraph"/>
        <w:numPr>
          <w:ilvl w:val="0"/>
          <w:numId w:val="2"/>
        </w:numPr>
        <w:spacing w:before="60" w:after="60"/>
      </w:pPr>
      <w:r>
        <w:t>Multiple studies on COPOM communications using LDA and dictionary methods to classify Brazilian central bank communications as hawkish or dovish</w:t>
      </w:r>
    </w:p>
    <w:p w14:paraId="7BCA6485" w14:textId="77777777" w:rsidR="00DD0933" w:rsidRDefault="00DD0933">
      <w:pPr>
        <w:spacing w:before="80" w:after="80"/>
      </w:pPr>
    </w:p>
    <w:p w14:paraId="1E7F2FDD" w14:textId="77777777" w:rsidR="00DD0933" w:rsidRDefault="00000000">
      <w:pPr>
        <w:spacing w:before="80" w:after="80"/>
        <w:jc w:val="both"/>
      </w:pPr>
      <w:r>
        <w:t xml:space="preserve">This project is positioned within this literature. By constructing a comparable cross-country dataset for four BRICS central banks, it enables the kind of comparative monetary communication </w:t>
      </w:r>
      <w:r>
        <w:lastRenderedPageBreak/>
        <w:t>analysis that has so far been conducted primarily for advanced economy central banks (Fed, ECB, Bank of England). Applying these methods to BRICS central banks — with their distinct trade exposures and inflation dynamics — extends the frontier of this research agenda.</w:t>
      </w:r>
    </w:p>
    <w:p w14:paraId="105BFA32" w14:textId="77777777" w:rsidR="00DD0933" w:rsidRDefault="00000000">
      <w:pPr>
        <w:spacing w:before="80" w:after="80"/>
        <w:jc w:val="both"/>
      </w:pPr>
      <w:r>
        <w:t>This is directly relevant to the portfolio's overarching theme: trade, structural change, and labour markets in emerging economies. Monetary policy communication is one of the channels through which global trade shocks are transmitted to domestic conditions in these economies.</w:t>
      </w:r>
    </w:p>
    <w:p w14:paraId="3399F987" w14:textId="77777777" w:rsidR="00DD0933" w:rsidRDefault="00DD0933">
      <w:pPr>
        <w:spacing w:before="80" w:after="80"/>
      </w:pPr>
    </w:p>
    <w:p w14:paraId="35066DB6" w14:textId="77777777" w:rsidR="00DD0933" w:rsidRDefault="00DD0933">
      <w:pPr>
        <w:spacing w:before="80" w:after="80"/>
      </w:pPr>
    </w:p>
    <w:p w14:paraId="52ABA566" w14:textId="77777777" w:rsidR="00DD0933" w:rsidRDefault="00000000">
      <w:pPr>
        <w:pStyle w:val="Heading1"/>
      </w:pPr>
      <w:r>
        <w:t>3. Data Collection Strategy</w:t>
      </w:r>
    </w:p>
    <w:p w14:paraId="1DF5226F" w14:textId="77777777" w:rsidR="00DD0933" w:rsidRDefault="00000000">
      <w:pPr>
        <w:spacing w:before="80" w:after="80"/>
        <w:jc w:val="both"/>
      </w:pPr>
      <w:r>
        <w:t>The original goal was to collect MPC statements from all five BRICS central banks. In practice, data availability and accessibility constraints meant that four of the five could be covered. The table below summarises the final data collection approach for each institution.</w:t>
      </w:r>
    </w:p>
    <w:p w14:paraId="6036B0C6" w14:textId="77777777" w:rsidR="00DD0933" w:rsidRDefault="00DD093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000"/>
        <w:gridCol w:w="2500"/>
        <w:gridCol w:w="1500"/>
        <w:gridCol w:w="1360"/>
      </w:tblGrid>
      <w:tr w:rsidR="00DD0933" w14:paraId="718F8545" w14:textId="77777777">
        <w:tblPrEx>
          <w:tblCellMar>
            <w:top w:w="0" w:type="dxa"/>
            <w:bottom w:w="0" w:type="dxa"/>
          </w:tblCellMar>
        </w:tblPrEx>
        <w:tc>
          <w:tcPr>
            <w:tcW w:w="2000" w:type="dxa"/>
            <w:tcBorders>
              <w:top w:val="single" w:sz="1" w:space="0" w:color="2E4B8F"/>
              <w:left w:val="single" w:sz="1" w:space="0" w:color="2E4B8F"/>
              <w:bottom w:val="single" w:sz="1" w:space="0" w:color="2E4B8F"/>
              <w:right w:val="single" w:sz="1" w:space="0" w:color="2E4B8F"/>
            </w:tcBorders>
            <w:shd w:val="clear" w:color="auto" w:fill="2E4B8F"/>
            <w:tcMar>
              <w:top w:w="80" w:type="dxa"/>
              <w:left w:w="120" w:type="dxa"/>
              <w:bottom w:w="80" w:type="dxa"/>
              <w:right w:w="120" w:type="dxa"/>
            </w:tcMar>
          </w:tcPr>
          <w:p w14:paraId="2D287B77" w14:textId="77777777" w:rsidR="00DD0933" w:rsidRDefault="00000000">
            <w:pPr>
              <w:jc w:val="center"/>
            </w:pPr>
            <w:r>
              <w:rPr>
                <w:b/>
                <w:bCs/>
                <w:color w:val="FFFFFF"/>
                <w:sz w:val="20"/>
                <w:szCs w:val="20"/>
              </w:rPr>
              <w:t>Country</w:t>
            </w:r>
          </w:p>
        </w:tc>
        <w:tc>
          <w:tcPr>
            <w:tcW w:w="2000" w:type="dxa"/>
            <w:tcBorders>
              <w:top w:val="single" w:sz="1" w:space="0" w:color="2E4B8F"/>
              <w:left w:val="single" w:sz="1" w:space="0" w:color="2E4B8F"/>
              <w:bottom w:val="single" w:sz="1" w:space="0" w:color="2E4B8F"/>
              <w:right w:val="single" w:sz="1" w:space="0" w:color="2E4B8F"/>
            </w:tcBorders>
            <w:shd w:val="clear" w:color="auto" w:fill="2E4B8F"/>
            <w:tcMar>
              <w:top w:w="80" w:type="dxa"/>
              <w:left w:w="120" w:type="dxa"/>
              <w:bottom w:w="80" w:type="dxa"/>
              <w:right w:w="120" w:type="dxa"/>
            </w:tcMar>
          </w:tcPr>
          <w:p w14:paraId="05154E6A" w14:textId="77777777" w:rsidR="00DD0933" w:rsidRDefault="00000000">
            <w:pPr>
              <w:jc w:val="center"/>
            </w:pPr>
            <w:r>
              <w:rPr>
                <w:b/>
                <w:bCs/>
                <w:color w:val="FFFFFF"/>
                <w:sz w:val="20"/>
                <w:szCs w:val="20"/>
              </w:rPr>
              <w:t>Institution</w:t>
            </w:r>
          </w:p>
        </w:tc>
        <w:tc>
          <w:tcPr>
            <w:tcW w:w="2500" w:type="dxa"/>
            <w:tcBorders>
              <w:top w:val="single" w:sz="1" w:space="0" w:color="2E4B8F"/>
              <w:left w:val="single" w:sz="1" w:space="0" w:color="2E4B8F"/>
              <w:bottom w:val="single" w:sz="1" w:space="0" w:color="2E4B8F"/>
              <w:right w:val="single" w:sz="1" w:space="0" w:color="2E4B8F"/>
            </w:tcBorders>
            <w:shd w:val="clear" w:color="auto" w:fill="2E4B8F"/>
            <w:tcMar>
              <w:top w:w="80" w:type="dxa"/>
              <w:left w:w="120" w:type="dxa"/>
              <w:bottom w:w="80" w:type="dxa"/>
              <w:right w:w="120" w:type="dxa"/>
            </w:tcMar>
          </w:tcPr>
          <w:p w14:paraId="1D6DE53E" w14:textId="77777777" w:rsidR="00DD0933" w:rsidRDefault="00000000">
            <w:pPr>
              <w:jc w:val="center"/>
            </w:pPr>
            <w:r>
              <w:rPr>
                <w:b/>
                <w:bCs/>
                <w:color w:val="FFFFFF"/>
                <w:sz w:val="20"/>
                <w:szCs w:val="20"/>
              </w:rPr>
              <w:t>Method</w:t>
            </w:r>
          </w:p>
        </w:tc>
        <w:tc>
          <w:tcPr>
            <w:tcW w:w="1500" w:type="dxa"/>
            <w:tcBorders>
              <w:top w:val="single" w:sz="1" w:space="0" w:color="2E4B8F"/>
              <w:left w:val="single" w:sz="1" w:space="0" w:color="2E4B8F"/>
              <w:bottom w:val="single" w:sz="1" w:space="0" w:color="2E4B8F"/>
              <w:right w:val="single" w:sz="1" w:space="0" w:color="2E4B8F"/>
            </w:tcBorders>
            <w:shd w:val="clear" w:color="auto" w:fill="2E4B8F"/>
            <w:tcMar>
              <w:top w:w="80" w:type="dxa"/>
              <w:left w:w="120" w:type="dxa"/>
              <w:bottom w:w="80" w:type="dxa"/>
              <w:right w:w="120" w:type="dxa"/>
            </w:tcMar>
          </w:tcPr>
          <w:p w14:paraId="1C003FDC" w14:textId="77777777" w:rsidR="00DD0933" w:rsidRDefault="00000000">
            <w:pPr>
              <w:jc w:val="center"/>
            </w:pPr>
            <w:r>
              <w:rPr>
                <w:b/>
                <w:bCs/>
                <w:color w:val="FFFFFF"/>
                <w:sz w:val="20"/>
                <w:szCs w:val="20"/>
              </w:rPr>
              <w:t>Coverage</w:t>
            </w:r>
          </w:p>
        </w:tc>
        <w:tc>
          <w:tcPr>
            <w:tcW w:w="1360" w:type="dxa"/>
            <w:tcBorders>
              <w:top w:val="single" w:sz="1" w:space="0" w:color="2E4B8F"/>
              <w:left w:val="single" w:sz="1" w:space="0" w:color="2E4B8F"/>
              <w:bottom w:val="single" w:sz="1" w:space="0" w:color="2E4B8F"/>
              <w:right w:val="single" w:sz="1" w:space="0" w:color="2E4B8F"/>
            </w:tcBorders>
            <w:shd w:val="clear" w:color="auto" w:fill="2E4B8F"/>
            <w:tcMar>
              <w:top w:w="80" w:type="dxa"/>
              <w:left w:w="120" w:type="dxa"/>
              <w:bottom w:w="80" w:type="dxa"/>
              <w:right w:w="120" w:type="dxa"/>
            </w:tcMar>
          </w:tcPr>
          <w:p w14:paraId="509EA793" w14:textId="77777777" w:rsidR="00DD0933" w:rsidRDefault="00000000">
            <w:pPr>
              <w:jc w:val="center"/>
            </w:pPr>
            <w:r>
              <w:rPr>
                <w:b/>
                <w:bCs/>
                <w:color w:val="FFFFFF"/>
                <w:sz w:val="20"/>
                <w:szCs w:val="20"/>
              </w:rPr>
              <w:t>Statements</w:t>
            </w:r>
          </w:p>
        </w:tc>
      </w:tr>
      <w:tr w:rsidR="00DD0933" w14:paraId="791A032C"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7FC"/>
            <w:tcMar>
              <w:top w:w="80" w:type="dxa"/>
              <w:left w:w="120" w:type="dxa"/>
              <w:bottom w:w="80" w:type="dxa"/>
              <w:right w:w="120" w:type="dxa"/>
            </w:tcMar>
          </w:tcPr>
          <w:p w14:paraId="29F8A439" w14:textId="77777777" w:rsidR="00DD0933" w:rsidRDefault="00000000">
            <w:r>
              <w:rPr>
                <w:sz w:val="20"/>
                <w:szCs w:val="20"/>
              </w:rPr>
              <w:t>India</w:t>
            </w:r>
          </w:p>
        </w:tc>
        <w:tc>
          <w:tcPr>
            <w:tcW w:w="2000" w:type="dxa"/>
            <w:tcBorders>
              <w:top w:val="single" w:sz="1" w:space="0" w:color="CCCCCC"/>
              <w:left w:val="single" w:sz="1" w:space="0" w:color="CCCCCC"/>
              <w:bottom w:val="single" w:sz="1" w:space="0" w:color="CCCCCC"/>
              <w:right w:val="single" w:sz="1" w:space="0" w:color="CCCCCC"/>
            </w:tcBorders>
            <w:shd w:val="clear" w:color="auto" w:fill="F5F7FC"/>
            <w:tcMar>
              <w:top w:w="80" w:type="dxa"/>
              <w:left w:w="120" w:type="dxa"/>
              <w:bottom w:w="80" w:type="dxa"/>
              <w:right w:w="120" w:type="dxa"/>
            </w:tcMar>
          </w:tcPr>
          <w:p w14:paraId="42C0F7CC" w14:textId="77777777" w:rsidR="00DD0933" w:rsidRDefault="00000000">
            <w:r>
              <w:rPr>
                <w:sz w:val="20"/>
                <w:szCs w:val="20"/>
              </w:rPr>
              <w:t>RBI</w:t>
            </w:r>
          </w:p>
        </w:tc>
        <w:tc>
          <w:tcPr>
            <w:tcW w:w="2500" w:type="dxa"/>
            <w:tcBorders>
              <w:top w:val="single" w:sz="1" w:space="0" w:color="CCCCCC"/>
              <w:left w:val="single" w:sz="1" w:space="0" w:color="CCCCCC"/>
              <w:bottom w:val="single" w:sz="1" w:space="0" w:color="CCCCCC"/>
              <w:right w:val="single" w:sz="1" w:space="0" w:color="CCCCCC"/>
            </w:tcBorders>
            <w:shd w:val="clear" w:color="auto" w:fill="F5F7FC"/>
            <w:tcMar>
              <w:top w:w="80" w:type="dxa"/>
              <w:left w:w="120" w:type="dxa"/>
              <w:bottom w:w="80" w:type="dxa"/>
              <w:right w:w="120" w:type="dxa"/>
            </w:tcMar>
          </w:tcPr>
          <w:p w14:paraId="7FEF25D2" w14:textId="77777777" w:rsidR="00DD0933" w:rsidRDefault="00000000">
            <w:r>
              <w:rPr>
                <w:sz w:val="20"/>
                <w:szCs w:val="20"/>
              </w:rPr>
              <w:t>Direct HTTP scrape</w:t>
            </w:r>
          </w:p>
        </w:tc>
        <w:tc>
          <w:tcPr>
            <w:tcW w:w="1500" w:type="dxa"/>
            <w:tcBorders>
              <w:top w:val="single" w:sz="1" w:space="0" w:color="CCCCCC"/>
              <w:left w:val="single" w:sz="1" w:space="0" w:color="CCCCCC"/>
              <w:bottom w:val="single" w:sz="1" w:space="0" w:color="CCCCCC"/>
              <w:right w:val="single" w:sz="1" w:space="0" w:color="CCCCCC"/>
            </w:tcBorders>
            <w:shd w:val="clear" w:color="auto" w:fill="F5F7FC"/>
            <w:tcMar>
              <w:top w:w="80" w:type="dxa"/>
              <w:left w:w="120" w:type="dxa"/>
              <w:bottom w:w="80" w:type="dxa"/>
              <w:right w:w="120" w:type="dxa"/>
            </w:tcMar>
          </w:tcPr>
          <w:p w14:paraId="148AEBE4" w14:textId="77777777" w:rsidR="00DD0933" w:rsidRDefault="00000000">
            <w:r>
              <w:rPr>
                <w:sz w:val="20"/>
                <w:szCs w:val="20"/>
              </w:rPr>
              <w:t>2016–2026</w:t>
            </w:r>
          </w:p>
        </w:tc>
        <w:tc>
          <w:tcPr>
            <w:tcW w:w="1360" w:type="dxa"/>
            <w:tcBorders>
              <w:top w:val="single" w:sz="1" w:space="0" w:color="CCCCCC"/>
              <w:left w:val="single" w:sz="1" w:space="0" w:color="CCCCCC"/>
              <w:bottom w:val="single" w:sz="1" w:space="0" w:color="CCCCCC"/>
              <w:right w:val="single" w:sz="1" w:space="0" w:color="CCCCCC"/>
            </w:tcBorders>
            <w:shd w:val="clear" w:color="auto" w:fill="F5F7FC"/>
            <w:tcMar>
              <w:top w:w="80" w:type="dxa"/>
              <w:left w:w="120" w:type="dxa"/>
              <w:bottom w:w="80" w:type="dxa"/>
              <w:right w:w="120" w:type="dxa"/>
            </w:tcMar>
          </w:tcPr>
          <w:p w14:paraId="30885462" w14:textId="77777777" w:rsidR="00DD0933" w:rsidRDefault="00000000">
            <w:r>
              <w:rPr>
                <w:sz w:val="20"/>
                <w:szCs w:val="20"/>
              </w:rPr>
              <w:t>66</w:t>
            </w:r>
          </w:p>
        </w:tc>
      </w:tr>
      <w:tr w:rsidR="00DD0933" w14:paraId="5DD17AB1"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F8AB70" w14:textId="77777777" w:rsidR="00DD0933" w:rsidRDefault="00000000">
            <w:r>
              <w:rPr>
                <w:sz w:val="20"/>
                <w:szCs w:val="20"/>
              </w:rPr>
              <w:t>Russia</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D5DCA6" w14:textId="77777777" w:rsidR="00DD0933" w:rsidRDefault="00000000">
            <w:r>
              <w:rPr>
                <w:sz w:val="20"/>
                <w:szCs w:val="20"/>
              </w:rPr>
              <w:t>CBR</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7EBAFA" w14:textId="77777777" w:rsidR="00DD0933" w:rsidRDefault="00000000">
            <w:r>
              <w:rPr>
                <w:sz w:val="20"/>
                <w:szCs w:val="20"/>
              </w:rPr>
              <w:t>Direct HTTP scrape</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D7C729" w14:textId="77777777" w:rsidR="00DD0933" w:rsidRDefault="00000000">
            <w:r>
              <w:rPr>
                <w:sz w:val="20"/>
                <w:szCs w:val="20"/>
              </w:rPr>
              <w:t>2018–2026</w:t>
            </w:r>
          </w:p>
        </w:tc>
        <w:tc>
          <w:tcPr>
            <w:tcW w:w="1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004E88" w14:textId="77777777" w:rsidR="00DD0933" w:rsidRDefault="00000000">
            <w:r>
              <w:rPr>
                <w:sz w:val="20"/>
                <w:szCs w:val="20"/>
              </w:rPr>
              <w:t>51</w:t>
            </w:r>
          </w:p>
        </w:tc>
      </w:tr>
      <w:tr w:rsidR="00DD0933" w14:paraId="0DA278FC"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7FC"/>
            <w:tcMar>
              <w:top w:w="80" w:type="dxa"/>
              <w:left w:w="120" w:type="dxa"/>
              <w:bottom w:w="80" w:type="dxa"/>
              <w:right w:w="120" w:type="dxa"/>
            </w:tcMar>
          </w:tcPr>
          <w:p w14:paraId="485CB67C" w14:textId="77777777" w:rsidR="00DD0933" w:rsidRDefault="00000000">
            <w:r>
              <w:rPr>
                <w:sz w:val="20"/>
                <w:szCs w:val="20"/>
              </w:rPr>
              <w:t>South Africa</w:t>
            </w:r>
          </w:p>
        </w:tc>
        <w:tc>
          <w:tcPr>
            <w:tcW w:w="2000" w:type="dxa"/>
            <w:tcBorders>
              <w:top w:val="single" w:sz="1" w:space="0" w:color="CCCCCC"/>
              <w:left w:val="single" w:sz="1" w:space="0" w:color="CCCCCC"/>
              <w:bottom w:val="single" w:sz="1" w:space="0" w:color="CCCCCC"/>
              <w:right w:val="single" w:sz="1" w:space="0" w:color="CCCCCC"/>
            </w:tcBorders>
            <w:shd w:val="clear" w:color="auto" w:fill="F5F7FC"/>
            <w:tcMar>
              <w:top w:w="80" w:type="dxa"/>
              <w:left w:w="120" w:type="dxa"/>
              <w:bottom w:w="80" w:type="dxa"/>
              <w:right w:w="120" w:type="dxa"/>
            </w:tcMar>
          </w:tcPr>
          <w:p w14:paraId="27D19940" w14:textId="77777777" w:rsidR="00DD0933" w:rsidRDefault="00000000">
            <w:r>
              <w:rPr>
                <w:sz w:val="20"/>
                <w:szCs w:val="20"/>
              </w:rPr>
              <w:t>SARB</w:t>
            </w:r>
          </w:p>
        </w:tc>
        <w:tc>
          <w:tcPr>
            <w:tcW w:w="2500" w:type="dxa"/>
            <w:tcBorders>
              <w:top w:val="single" w:sz="1" w:space="0" w:color="CCCCCC"/>
              <w:left w:val="single" w:sz="1" w:space="0" w:color="CCCCCC"/>
              <w:bottom w:val="single" w:sz="1" w:space="0" w:color="CCCCCC"/>
              <w:right w:val="single" w:sz="1" w:space="0" w:color="CCCCCC"/>
            </w:tcBorders>
            <w:shd w:val="clear" w:color="auto" w:fill="F5F7FC"/>
            <w:tcMar>
              <w:top w:w="80" w:type="dxa"/>
              <w:left w:w="120" w:type="dxa"/>
              <w:bottom w:w="80" w:type="dxa"/>
              <w:right w:w="120" w:type="dxa"/>
            </w:tcMar>
          </w:tcPr>
          <w:p w14:paraId="2EF0FCCD" w14:textId="77777777" w:rsidR="00DD0933" w:rsidRDefault="00000000">
            <w:r>
              <w:rPr>
                <w:sz w:val="20"/>
                <w:szCs w:val="20"/>
              </w:rPr>
              <w:t>Selenium browser scrape</w:t>
            </w:r>
          </w:p>
        </w:tc>
        <w:tc>
          <w:tcPr>
            <w:tcW w:w="1500" w:type="dxa"/>
            <w:tcBorders>
              <w:top w:val="single" w:sz="1" w:space="0" w:color="CCCCCC"/>
              <w:left w:val="single" w:sz="1" w:space="0" w:color="CCCCCC"/>
              <w:bottom w:val="single" w:sz="1" w:space="0" w:color="CCCCCC"/>
              <w:right w:val="single" w:sz="1" w:space="0" w:color="CCCCCC"/>
            </w:tcBorders>
            <w:shd w:val="clear" w:color="auto" w:fill="F5F7FC"/>
            <w:tcMar>
              <w:top w:w="80" w:type="dxa"/>
              <w:left w:w="120" w:type="dxa"/>
              <w:bottom w:w="80" w:type="dxa"/>
              <w:right w:w="120" w:type="dxa"/>
            </w:tcMar>
          </w:tcPr>
          <w:p w14:paraId="6E1F0210" w14:textId="77777777" w:rsidR="00DD0933" w:rsidRDefault="00000000">
            <w:r>
              <w:rPr>
                <w:sz w:val="20"/>
                <w:szCs w:val="20"/>
              </w:rPr>
              <w:t>2006–2026</w:t>
            </w:r>
          </w:p>
        </w:tc>
        <w:tc>
          <w:tcPr>
            <w:tcW w:w="1360" w:type="dxa"/>
            <w:tcBorders>
              <w:top w:val="single" w:sz="1" w:space="0" w:color="CCCCCC"/>
              <w:left w:val="single" w:sz="1" w:space="0" w:color="CCCCCC"/>
              <w:bottom w:val="single" w:sz="1" w:space="0" w:color="CCCCCC"/>
              <w:right w:val="single" w:sz="1" w:space="0" w:color="CCCCCC"/>
            </w:tcBorders>
            <w:shd w:val="clear" w:color="auto" w:fill="F5F7FC"/>
            <w:tcMar>
              <w:top w:w="80" w:type="dxa"/>
              <w:left w:w="120" w:type="dxa"/>
              <w:bottom w:w="80" w:type="dxa"/>
              <w:right w:w="120" w:type="dxa"/>
            </w:tcMar>
          </w:tcPr>
          <w:p w14:paraId="369F057E" w14:textId="77777777" w:rsidR="00DD0933" w:rsidRDefault="00000000">
            <w:r>
              <w:rPr>
                <w:sz w:val="20"/>
                <w:szCs w:val="20"/>
              </w:rPr>
              <w:t>57</w:t>
            </w:r>
          </w:p>
        </w:tc>
      </w:tr>
      <w:tr w:rsidR="00DD0933" w14:paraId="45498B0E"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081698" w14:textId="77777777" w:rsidR="00DD0933" w:rsidRDefault="00000000">
            <w:r>
              <w:rPr>
                <w:sz w:val="20"/>
                <w:szCs w:val="20"/>
              </w:rPr>
              <w:t>China</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577DCB" w14:textId="77777777" w:rsidR="00DD0933" w:rsidRDefault="00000000">
            <w:r>
              <w:rPr>
                <w:sz w:val="20"/>
                <w:szCs w:val="20"/>
              </w:rPr>
              <w:t>PBOC</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818D8A" w14:textId="77777777" w:rsidR="00DD0933" w:rsidRDefault="00000000">
            <w:r>
              <w:rPr>
                <w:sz w:val="20"/>
                <w:szCs w:val="20"/>
              </w:rPr>
              <w:t>BIS CBSPEECHES database</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1FDB32" w14:textId="77777777" w:rsidR="00DD0933" w:rsidRDefault="00000000">
            <w:r>
              <w:rPr>
                <w:sz w:val="20"/>
                <w:szCs w:val="20"/>
              </w:rPr>
              <w:t>1996–2025</w:t>
            </w:r>
          </w:p>
        </w:tc>
        <w:tc>
          <w:tcPr>
            <w:tcW w:w="1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28F4F1" w14:textId="77777777" w:rsidR="00DD0933" w:rsidRDefault="00000000">
            <w:r>
              <w:rPr>
                <w:sz w:val="20"/>
                <w:szCs w:val="20"/>
              </w:rPr>
              <w:t>131</w:t>
            </w:r>
          </w:p>
        </w:tc>
      </w:tr>
      <w:tr w:rsidR="00DD0933" w14:paraId="598CD357"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7FC"/>
            <w:tcMar>
              <w:top w:w="80" w:type="dxa"/>
              <w:left w:w="120" w:type="dxa"/>
              <w:bottom w:w="80" w:type="dxa"/>
              <w:right w:w="120" w:type="dxa"/>
            </w:tcMar>
          </w:tcPr>
          <w:p w14:paraId="31687932" w14:textId="77777777" w:rsidR="00DD0933" w:rsidRDefault="00000000">
            <w:r>
              <w:rPr>
                <w:sz w:val="20"/>
                <w:szCs w:val="20"/>
              </w:rPr>
              <w:t>Brazil</w:t>
            </w:r>
          </w:p>
        </w:tc>
        <w:tc>
          <w:tcPr>
            <w:tcW w:w="2000" w:type="dxa"/>
            <w:tcBorders>
              <w:top w:val="single" w:sz="1" w:space="0" w:color="CCCCCC"/>
              <w:left w:val="single" w:sz="1" w:space="0" w:color="CCCCCC"/>
              <w:bottom w:val="single" w:sz="1" w:space="0" w:color="CCCCCC"/>
              <w:right w:val="single" w:sz="1" w:space="0" w:color="CCCCCC"/>
            </w:tcBorders>
            <w:shd w:val="clear" w:color="auto" w:fill="F5F7FC"/>
            <w:tcMar>
              <w:top w:w="80" w:type="dxa"/>
              <w:left w:w="120" w:type="dxa"/>
              <w:bottom w:w="80" w:type="dxa"/>
              <w:right w:w="120" w:type="dxa"/>
            </w:tcMar>
          </w:tcPr>
          <w:p w14:paraId="0FFE363A" w14:textId="77777777" w:rsidR="00DD0933" w:rsidRDefault="00000000">
            <w:r>
              <w:rPr>
                <w:sz w:val="20"/>
                <w:szCs w:val="20"/>
              </w:rPr>
              <w:t>BCB</w:t>
            </w:r>
          </w:p>
        </w:tc>
        <w:tc>
          <w:tcPr>
            <w:tcW w:w="2500" w:type="dxa"/>
            <w:tcBorders>
              <w:top w:val="single" w:sz="1" w:space="0" w:color="CCCCCC"/>
              <w:left w:val="single" w:sz="1" w:space="0" w:color="CCCCCC"/>
              <w:bottom w:val="single" w:sz="1" w:space="0" w:color="CCCCCC"/>
              <w:right w:val="single" w:sz="1" w:space="0" w:color="CCCCCC"/>
            </w:tcBorders>
            <w:shd w:val="clear" w:color="auto" w:fill="F5F7FC"/>
            <w:tcMar>
              <w:top w:w="80" w:type="dxa"/>
              <w:left w:w="120" w:type="dxa"/>
              <w:bottom w:w="80" w:type="dxa"/>
              <w:right w:w="120" w:type="dxa"/>
            </w:tcMar>
          </w:tcPr>
          <w:p w14:paraId="2673185A" w14:textId="77777777" w:rsidR="00DD0933" w:rsidRDefault="00000000">
            <w:r>
              <w:rPr>
                <w:sz w:val="20"/>
                <w:szCs w:val="20"/>
              </w:rPr>
              <w:t>Excluded</w:t>
            </w:r>
          </w:p>
        </w:tc>
        <w:tc>
          <w:tcPr>
            <w:tcW w:w="1500" w:type="dxa"/>
            <w:tcBorders>
              <w:top w:val="single" w:sz="1" w:space="0" w:color="CCCCCC"/>
              <w:left w:val="single" w:sz="1" w:space="0" w:color="CCCCCC"/>
              <w:bottom w:val="single" w:sz="1" w:space="0" w:color="CCCCCC"/>
              <w:right w:val="single" w:sz="1" w:space="0" w:color="CCCCCC"/>
            </w:tcBorders>
            <w:shd w:val="clear" w:color="auto" w:fill="F5F7FC"/>
            <w:tcMar>
              <w:top w:w="80" w:type="dxa"/>
              <w:left w:w="120" w:type="dxa"/>
              <w:bottom w:w="80" w:type="dxa"/>
              <w:right w:w="120" w:type="dxa"/>
            </w:tcMar>
          </w:tcPr>
          <w:p w14:paraId="287A00E6" w14:textId="77777777" w:rsidR="00DD0933" w:rsidRDefault="00000000">
            <w:r>
              <w:rPr>
                <w:sz w:val="20"/>
                <w:szCs w:val="20"/>
              </w:rPr>
              <w:t>—</w:t>
            </w:r>
          </w:p>
        </w:tc>
        <w:tc>
          <w:tcPr>
            <w:tcW w:w="1360" w:type="dxa"/>
            <w:tcBorders>
              <w:top w:val="single" w:sz="1" w:space="0" w:color="CCCCCC"/>
              <w:left w:val="single" w:sz="1" w:space="0" w:color="CCCCCC"/>
              <w:bottom w:val="single" w:sz="1" w:space="0" w:color="CCCCCC"/>
              <w:right w:val="single" w:sz="1" w:space="0" w:color="CCCCCC"/>
            </w:tcBorders>
            <w:shd w:val="clear" w:color="auto" w:fill="F5F7FC"/>
            <w:tcMar>
              <w:top w:w="80" w:type="dxa"/>
              <w:left w:w="120" w:type="dxa"/>
              <w:bottom w:w="80" w:type="dxa"/>
              <w:right w:w="120" w:type="dxa"/>
            </w:tcMar>
          </w:tcPr>
          <w:p w14:paraId="6B8146FA" w14:textId="77777777" w:rsidR="00DD0933" w:rsidRDefault="00000000">
            <w:r>
              <w:rPr>
                <w:sz w:val="20"/>
                <w:szCs w:val="20"/>
              </w:rPr>
              <w:t>—</w:t>
            </w:r>
          </w:p>
        </w:tc>
      </w:tr>
    </w:tbl>
    <w:p w14:paraId="0A948773" w14:textId="77777777" w:rsidR="00DD0933" w:rsidRDefault="00DD0933">
      <w:pPr>
        <w:spacing w:before="80" w:after="80"/>
      </w:pPr>
    </w:p>
    <w:p w14:paraId="7F1D0E41" w14:textId="77777777" w:rsidR="00DD0933" w:rsidRDefault="00000000">
      <w:pPr>
        <w:pStyle w:val="Heading2"/>
      </w:pPr>
      <w:r>
        <w:t>3.1 Reserve Bank of India (RBI)</w:t>
      </w:r>
    </w:p>
    <w:p w14:paraId="18B8DEC2" w14:textId="77777777" w:rsidR="00DD0933" w:rsidRDefault="00000000">
      <w:pPr>
        <w:spacing w:before="80" w:after="80"/>
        <w:jc w:val="both"/>
      </w:pPr>
      <w:r>
        <w:t>The RBI publishes a Governor's Statement after each MPC meeting — the formal post-decision communication announcing the rate decision and policy stance. These are archived at rbi.org.in with a clean year-based URL structure (Annualpolicy.aspx?Year=XXXX).</w:t>
      </w:r>
    </w:p>
    <w:p w14:paraId="074677CB" w14:textId="77777777" w:rsidR="00DD0933" w:rsidRDefault="00DD0933">
      <w:pPr>
        <w:spacing w:before="80" w:after="80"/>
      </w:pPr>
    </w:p>
    <w:p w14:paraId="356E6CE1" w14:textId="77777777" w:rsidR="00DD0933" w:rsidRDefault="00000000">
      <w:pPr>
        <w:spacing w:before="80" w:after="80"/>
        <w:jc w:val="both"/>
      </w:pPr>
      <w:r>
        <w:t>India formally adopted inflation targeting in 2016 when the MPC was constituted, so coverage begins that year. The RBI holds 6 MPC meetings per year, yielding 66 statements from 2016 to 2026.</w:t>
      </w:r>
    </w:p>
    <w:p w14:paraId="6853CE2D" w14:textId="77777777" w:rsidR="00DD0933" w:rsidRDefault="00DD0933">
      <w:pPr>
        <w:spacing w:before="80" w:after="80"/>
      </w:pPr>
    </w:p>
    <w:p w14:paraId="72197766" w14:textId="77777777" w:rsidR="00DD0933" w:rsidRDefault="00000000">
      <w:pPr>
        <w:spacing w:before="80" w:after="80"/>
        <w:jc w:val="both"/>
      </w:pPr>
      <w:r>
        <w:t>The scraper (scrapers/rbi_scraper.py) loops through each year's archive page, identifies Governor's Statement links using Unicode-aware text matching (the apostrophe in Governor’s Statement is a curly Unicode character, not ASCII), fetches each page, and extracts the full text from the text1 div.</w:t>
      </w:r>
    </w:p>
    <w:p w14:paraId="56068934" w14:textId="77777777" w:rsidR="00DD0933" w:rsidRDefault="00DD0933">
      <w:pPr>
        <w:spacing w:before="80" w:after="80"/>
      </w:pPr>
    </w:p>
    <w:p w14:paraId="53CA6130" w14:textId="77777777" w:rsidR="00DD0933" w:rsidRDefault="00000000">
      <w:pPr>
        <w:pStyle w:val="Heading2"/>
      </w:pPr>
      <w:r>
        <w:t>3.2 Bank of Russia (CBR)</w:t>
      </w:r>
    </w:p>
    <w:p w14:paraId="15FF4B5A" w14:textId="77777777" w:rsidR="00DD0933" w:rsidRDefault="00000000">
      <w:pPr>
        <w:spacing w:before="80" w:after="80"/>
        <w:jc w:val="both"/>
      </w:pPr>
      <w:r>
        <w:t>The CBR publishes key rate press releases after each Board of Directors meeting. These are available in English at cbr.ru. The CBR adopted its current key rate framework in September 2013.</w:t>
      </w:r>
    </w:p>
    <w:p w14:paraId="7DFA7829" w14:textId="77777777" w:rsidR="00DD0933" w:rsidRDefault="00DD0933">
      <w:pPr>
        <w:spacing w:before="80" w:after="80"/>
      </w:pPr>
    </w:p>
    <w:p w14:paraId="0CE0AD24" w14:textId="77777777" w:rsidR="00DD0933" w:rsidRDefault="00000000">
      <w:pPr>
        <w:spacing w:before="80" w:after="80"/>
        <w:jc w:val="both"/>
      </w:pPr>
      <w:r>
        <w:t>The scraper (scrapers/cbr_scraper.py) fetches all press release links from the CBR calendar page (cbr.ru/eng/dkp/cal_mp/), which lists decisions going back to 2018 in a consistently structured format. Each individual press release page contains the full statement text in the landing-text div. 51 statements were collected from 2018 to 2026.</w:t>
      </w:r>
    </w:p>
    <w:p w14:paraId="225EF54D" w14:textId="77777777" w:rsidR="00DD0933" w:rsidRDefault="00DD0933">
      <w:pPr>
        <w:spacing w:before="80" w:after="80"/>
      </w:pPr>
    </w:p>
    <w:p w14:paraId="2FF55FCB" w14:textId="77777777" w:rsidR="00DD0933" w:rsidRDefault="00000000">
      <w:pPr>
        <w:spacing w:before="80" w:after="80"/>
        <w:jc w:val="both"/>
      </w:pPr>
      <w:r>
        <w:t>A methodological note: Bank of Russia statements from 2022 onwards are included but interpreted with awareness of the geopolitical context affecting Russia's external communications and data availability. This is noted transparently in line with standard academic practice.</w:t>
      </w:r>
    </w:p>
    <w:p w14:paraId="7368B9E5" w14:textId="77777777" w:rsidR="00DD0933" w:rsidRDefault="00DD0933">
      <w:pPr>
        <w:spacing w:before="80" w:after="80"/>
      </w:pPr>
    </w:p>
    <w:p w14:paraId="13B08D84" w14:textId="77777777" w:rsidR="00DD0933" w:rsidRDefault="00000000">
      <w:pPr>
        <w:pStyle w:val="Heading2"/>
      </w:pPr>
      <w:r>
        <w:t>3.3 South African Reserve Bank (SARB)</w:t>
      </w:r>
    </w:p>
    <w:p w14:paraId="7731B613" w14:textId="77777777" w:rsidR="00DD0933" w:rsidRDefault="00000000">
      <w:pPr>
        <w:spacing w:before="80" w:after="80"/>
        <w:jc w:val="both"/>
      </w:pPr>
      <w:r>
        <w:t>The SARB publishes MPC statements after each Monetary Policy Committee meeting. Statements are available at resbank.co.za going back to 2006, giving us 124 candidate pages.</w:t>
      </w:r>
    </w:p>
    <w:p w14:paraId="4922EECA" w14:textId="77777777" w:rsidR="00DD0933" w:rsidRDefault="00DD0933">
      <w:pPr>
        <w:spacing w:before="80" w:after="80"/>
      </w:pPr>
    </w:p>
    <w:p w14:paraId="5C2F86D6" w14:textId="77777777" w:rsidR="00DD0933" w:rsidRDefault="00000000">
      <w:pPr>
        <w:spacing w:before="80" w:after="80"/>
        <w:jc w:val="both"/>
      </w:pPr>
      <w:r>
        <w:t>A key technical challenge: the SARB website blocks standard HTTP requests at the network level, timing out all automated requests regardless of headers. This required using Selenium — a browser automation tool that drives a real Chrome instance in headless mode — to bypass the JavaScript rendering requirement.</w:t>
      </w:r>
    </w:p>
    <w:p w14:paraId="26549636" w14:textId="77777777" w:rsidR="00DD0933" w:rsidRDefault="00DD0933">
      <w:pPr>
        <w:spacing w:before="80" w:after="80"/>
      </w:pPr>
    </w:p>
    <w:p w14:paraId="161360A0" w14:textId="77777777" w:rsidR="00DD0933" w:rsidRDefault="00000000">
      <w:pPr>
        <w:spacing w:before="80" w:after="80"/>
        <w:jc w:val="both"/>
      </w:pPr>
      <w:r>
        <w:t>The scraper (scrapers/sarb_scraper.py) navigates through 5 pages of the MPC statements index, collects all 124 URLs, then visits each page and extracts the full text by combining all cmp-text content blocks (Adobe Experience Manager's standard content component). 57 of the 124 pages returned sufficient text, with older pages using a different HTML structure that did not match the cmp-text pattern.</w:t>
      </w:r>
    </w:p>
    <w:p w14:paraId="006E86C9" w14:textId="77777777" w:rsidR="00DD0933" w:rsidRDefault="00DD0933">
      <w:pPr>
        <w:spacing w:before="80" w:after="80"/>
      </w:pPr>
    </w:p>
    <w:p w14:paraId="2B358A63" w14:textId="77777777" w:rsidR="00DD0933" w:rsidRDefault="00000000">
      <w:pPr>
        <w:pStyle w:val="Heading2"/>
      </w:pPr>
      <w:r>
        <w:t>3.4 People's Bank of China (PBOC)</w:t>
      </w:r>
    </w:p>
    <w:p w14:paraId="400AC8BD" w14:textId="77777777" w:rsidR="00DD0933" w:rsidRDefault="00000000">
      <w:pPr>
        <w:spacing w:before="80" w:after="80"/>
        <w:jc w:val="both"/>
      </w:pPr>
      <w:r>
        <w:t>The PBOC does not publish clean post-meeting press releases in English comparable to the other central banks in this dataset. English-language communications on the PBOC website are sparse and inconsistently structured, with the site relying heavily on JavaScript rendering and offering limited English content.</w:t>
      </w:r>
    </w:p>
    <w:p w14:paraId="78C3D8A8" w14:textId="77777777" w:rsidR="00DD0933" w:rsidRDefault="00DD0933">
      <w:pPr>
        <w:spacing w:before="80" w:after="80"/>
      </w:pPr>
    </w:p>
    <w:p w14:paraId="0C5B8D09" w14:textId="77777777" w:rsidR="00DD0933" w:rsidRDefault="00000000">
      <w:pPr>
        <w:spacing w:before="80" w:after="80"/>
        <w:jc w:val="both"/>
      </w:pPr>
      <w:r>
        <w:t>PBOC data is therefore sourced from the BIS CBSPEECHES database (bis.org/cbspeeches/download.htm), which aggregates central bank communications from over 100 institutions since 1996 as a pre-compiled full-text extract. This approach is consistent with academic practice — multiple published papers using cross-country central bank text analysis use the BIS database as their primary source for PBOC communications.</w:t>
      </w:r>
    </w:p>
    <w:p w14:paraId="2F3E4A3E" w14:textId="77777777" w:rsidR="00DD0933" w:rsidRDefault="00DD0933">
      <w:pPr>
        <w:spacing w:before="80" w:after="80"/>
      </w:pPr>
    </w:p>
    <w:p w14:paraId="03B2FA4E" w14:textId="77777777" w:rsidR="00DD0933" w:rsidRDefault="00000000">
      <w:pPr>
        <w:spacing w:before="80" w:after="80"/>
        <w:jc w:val="both"/>
      </w:pPr>
      <w:r>
        <w:t>The BIS dataset was filtered for entries where the description field referenced the People's Bank of China, PBOC, or PBC, yielding 131 entries covering speeches and statements by PBOC governors from 1996 to 2025.</w:t>
      </w:r>
    </w:p>
    <w:p w14:paraId="04392448" w14:textId="77777777" w:rsidR="00DD0933" w:rsidRDefault="00DD0933">
      <w:pPr>
        <w:spacing w:before="80" w:after="80"/>
      </w:pPr>
    </w:p>
    <w:p w14:paraId="1F319C80" w14:textId="77777777" w:rsidR="00DD0933" w:rsidRDefault="00000000">
      <w:pPr>
        <w:pStyle w:val="Heading2"/>
      </w:pPr>
      <w:r>
        <w:t>3.5 Banco Central do Brasil (BCB) — Excluded</w:t>
      </w:r>
    </w:p>
    <w:p w14:paraId="4D4D92C5" w14:textId="77777777" w:rsidR="00DD0933" w:rsidRDefault="00000000">
      <w:pPr>
        <w:spacing w:before="80" w:after="80"/>
        <w:jc w:val="both"/>
      </w:pPr>
      <w:r>
        <w:lastRenderedPageBreak/>
        <w:t>The BCB publishes COPOM statements through an open data API (dadosabertos.bcb.gov.br). However, the API returns statements only in Portuguese. The BCB English website is JavaScript-rendered with no accessible endpoint returning English text.</w:t>
      </w:r>
    </w:p>
    <w:p w14:paraId="34047937" w14:textId="77777777" w:rsidR="00DD0933" w:rsidRDefault="00DD0933">
      <w:pPr>
        <w:spacing w:before="80" w:after="80"/>
      </w:pPr>
    </w:p>
    <w:p w14:paraId="2AAB112B" w14:textId="77777777" w:rsidR="00DD0933" w:rsidRDefault="00000000">
      <w:pPr>
        <w:spacing w:before="80" w:after="80"/>
        <w:jc w:val="both"/>
      </w:pPr>
      <w:r>
        <w:t>Machine translation was considered but rejected on the grounds that it would introduce systematic noise into the sentiment analysis in Project 5, where the Loughran-McDonald financial dictionary and other NLP tools are calibrated for English text. Including machine-translated text alongside original English text would create an inconsistent corpus.</w:t>
      </w:r>
    </w:p>
    <w:p w14:paraId="7FBE5E75" w14:textId="77777777" w:rsidR="00DD0933" w:rsidRDefault="00DD0933">
      <w:pPr>
        <w:spacing w:before="80" w:after="80"/>
      </w:pPr>
    </w:p>
    <w:p w14:paraId="453AA56A" w14:textId="77777777" w:rsidR="00DD0933" w:rsidRDefault="00000000">
      <w:pPr>
        <w:spacing w:before="80" w:after="80"/>
        <w:jc w:val="both"/>
      </w:pPr>
      <w:r>
        <w:t>BCB is therefore excluded from the dataset. A four-central-bank dataset covering RBI, CBR, SARB, and PBOC remains analytically coherent and comparable. The exclusion is documented transparently rather than obscured.</w:t>
      </w:r>
    </w:p>
    <w:p w14:paraId="75E8B789" w14:textId="77777777" w:rsidR="00DD0933" w:rsidRDefault="00DD0933">
      <w:pPr>
        <w:spacing w:before="80" w:after="80"/>
      </w:pPr>
    </w:p>
    <w:p w14:paraId="7BD5EF6A" w14:textId="77777777" w:rsidR="00DD0933" w:rsidRDefault="00DD0933">
      <w:pPr>
        <w:spacing w:before="80" w:after="80"/>
      </w:pPr>
    </w:p>
    <w:p w14:paraId="594E9DE2" w14:textId="77777777" w:rsidR="00DD0933" w:rsidRDefault="00000000">
      <w:pPr>
        <w:pStyle w:val="Heading1"/>
      </w:pPr>
      <w:r>
        <w:t>4. Dataset Output</w:t>
      </w:r>
    </w:p>
    <w:p w14:paraId="380BC1FE" w14:textId="77777777" w:rsidR="00DD0933" w:rsidRDefault="00000000">
      <w:pPr>
        <w:spacing w:before="80" w:after="80"/>
        <w:jc w:val="both"/>
      </w:pPr>
      <w:r>
        <w:t>The four individual central bank CSVs are combined into a single master file: data/brics_mpc_statements.csv. This is the primary output of Project 4 and the direct input for Project 5.</w:t>
      </w:r>
    </w:p>
    <w:p w14:paraId="361DED6A" w14:textId="77777777" w:rsidR="00DD0933" w:rsidRDefault="00DD093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500"/>
        <w:gridCol w:w="3860"/>
      </w:tblGrid>
      <w:tr w:rsidR="00DD0933" w14:paraId="2C5438CF" w14:textId="77777777">
        <w:tblPrEx>
          <w:tblCellMar>
            <w:top w:w="0" w:type="dxa"/>
            <w:bottom w:w="0" w:type="dxa"/>
          </w:tblCellMar>
        </w:tblPrEx>
        <w:tc>
          <w:tcPr>
            <w:tcW w:w="2000" w:type="dxa"/>
            <w:tcBorders>
              <w:top w:val="single" w:sz="1" w:space="0" w:color="2E4B8F"/>
              <w:left w:val="single" w:sz="1" w:space="0" w:color="2E4B8F"/>
              <w:bottom w:val="single" w:sz="1" w:space="0" w:color="2E4B8F"/>
              <w:right w:val="single" w:sz="1" w:space="0" w:color="2E4B8F"/>
            </w:tcBorders>
            <w:shd w:val="clear" w:color="auto" w:fill="2E4B8F"/>
            <w:tcMar>
              <w:top w:w="80" w:type="dxa"/>
              <w:left w:w="120" w:type="dxa"/>
              <w:bottom w:w="80" w:type="dxa"/>
              <w:right w:w="120" w:type="dxa"/>
            </w:tcMar>
          </w:tcPr>
          <w:p w14:paraId="3529C191" w14:textId="77777777" w:rsidR="00DD0933" w:rsidRDefault="00000000">
            <w:pPr>
              <w:jc w:val="center"/>
            </w:pPr>
            <w:r>
              <w:rPr>
                <w:b/>
                <w:bCs/>
                <w:color w:val="FFFFFF"/>
                <w:sz w:val="20"/>
                <w:szCs w:val="20"/>
              </w:rPr>
              <w:t>Column</w:t>
            </w:r>
          </w:p>
        </w:tc>
        <w:tc>
          <w:tcPr>
            <w:tcW w:w="3500" w:type="dxa"/>
            <w:tcBorders>
              <w:top w:val="single" w:sz="1" w:space="0" w:color="2E4B8F"/>
              <w:left w:val="single" w:sz="1" w:space="0" w:color="2E4B8F"/>
              <w:bottom w:val="single" w:sz="1" w:space="0" w:color="2E4B8F"/>
              <w:right w:val="single" w:sz="1" w:space="0" w:color="2E4B8F"/>
            </w:tcBorders>
            <w:shd w:val="clear" w:color="auto" w:fill="2E4B8F"/>
            <w:tcMar>
              <w:top w:w="80" w:type="dxa"/>
              <w:left w:w="120" w:type="dxa"/>
              <w:bottom w:w="80" w:type="dxa"/>
              <w:right w:w="120" w:type="dxa"/>
            </w:tcMar>
          </w:tcPr>
          <w:p w14:paraId="1DF3AB26" w14:textId="77777777" w:rsidR="00DD0933" w:rsidRDefault="00000000">
            <w:pPr>
              <w:jc w:val="center"/>
            </w:pPr>
            <w:r>
              <w:rPr>
                <w:b/>
                <w:bCs/>
                <w:color w:val="FFFFFF"/>
                <w:sz w:val="20"/>
                <w:szCs w:val="20"/>
              </w:rPr>
              <w:t>Description</w:t>
            </w:r>
          </w:p>
        </w:tc>
        <w:tc>
          <w:tcPr>
            <w:tcW w:w="3860" w:type="dxa"/>
            <w:tcBorders>
              <w:top w:val="single" w:sz="1" w:space="0" w:color="2E4B8F"/>
              <w:left w:val="single" w:sz="1" w:space="0" w:color="2E4B8F"/>
              <w:bottom w:val="single" w:sz="1" w:space="0" w:color="2E4B8F"/>
              <w:right w:val="single" w:sz="1" w:space="0" w:color="2E4B8F"/>
            </w:tcBorders>
            <w:shd w:val="clear" w:color="auto" w:fill="2E4B8F"/>
            <w:tcMar>
              <w:top w:w="80" w:type="dxa"/>
              <w:left w:w="120" w:type="dxa"/>
              <w:bottom w:w="80" w:type="dxa"/>
              <w:right w:w="120" w:type="dxa"/>
            </w:tcMar>
          </w:tcPr>
          <w:p w14:paraId="27F9919F" w14:textId="77777777" w:rsidR="00DD0933" w:rsidRDefault="00000000">
            <w:pPr>
              <w:jc w:val="center"/>
            </w:pPr>
            <w:r>
              <w:rPr>
                <w:b/>
                <w:bCs/>
                <w:color w:val="FFFFFF"/>
                <w:sz w:val="20"/>
                <w:szCs w:val="20"/>
              </w:rPr>
              <w:t>Example</w:t>
            </w:r>
          </w:p>
        </w:tc>
      </w:tr>
      <w:tr w:rsidR="00DD0933" w14:paraId="248AD102"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7FC"/>
            <w:tcMar>
              <w:top w:w="80" w:type="dxa"/>
              <w:left w:w="120" w:type="dxa"/>
              <w:bottom w:w="80" w:type="dxa"/>
              <w:right w:w="120" w:type="dxa"/>
            </w:tcMar>
          </w:tcPr>
          <w:p w14:paraId="361431F2" w14:textId="77777777" w:rsidR="00DD0933" w:rsidRDefault="00000000">
            <w:r>
              <w:rPr>
                <w:sz w:val="20"/>
                <w:szCs w:val="20"/>
              </w:rPr>
              <w:t>country</w:t>
            </w:r>
          </w:p>
        </w:tc>
        <w:tc>
          <w:tcPr>
            <w:tcW w:w="3500" w:type="dxa"/>
            <w:tcBorders>
              <w:top w:val="single" w:sz="1" w:space="0" w:color="CCCCCC"/>
              <w:left w:val="single" w:sz="1" w:space="0" w:color="CCCCCC"/>
              <w:bottom w:val="single" w:sz="1" w:space="0" w:color="CCCCCC"/>
              <w:right w:val="single" w:sz="1" w:space="0" w:color="CCCCCC"/>
            </w:tcBorders>
            <w:shd w:val="clear" w:color="auto" w:fill="F5F7FC"/>
            <w:tcMar>
              <w:top w:w="80" w:type="dxa"/>
              <w:left w:w="120" w:type="dxa"/>
              <w:bottom w:w="80" w:type="dxa"/>
              <w:right w:w="120" w:type="dxa"/>
            </w:tcMar>
          </w:tcPr>
          <w:p w14:paraId="3FCCD519" w14:textId="77777777" w:rsidR="00DD0933" w:rsidRDefault="00000000">
            <w:r>
              <w:rPr>
                <w:sz w:val="20"/>
                <w:szCs w:val="20"/>
              </w:rPr>
              <w:t>Country name</w:t>
            </w:r>
          </w:p>
        </w:tc>
        <w:tc>
          <w:tcPr>
            <w:tcW w:w="3860" w:type="dxa"/>
            <w:tcBorders>
              <w:top w:val="single" w:sz="1" w:space="0" w:color="CCCCCC"/>
              <w:left w:val="single" w:sz="1" w:space="0" w:color="CCCCCC"/>
              <w:bottom w:val="single" w:sz="1" w:space="0" w:color="CCCCCC"/>
              <w:right w:val="single" w:sz="1" w:space="0" w:color="CCCCCC"/>
            </w:tcBorders>
            <w:shd w:val="clear" w:color="auto" w:fill="F5F7FC"/>
            <w:tcMar>
              <w:top w:w="80" w:type="dxa"/>
              <w:left w:w="120" w:type="dxa"/>
              <w:bottom w:w="80" w:type="dxa"/>
              <w:right w:w="120" w:type="dxa"/>
            </w:tcMar>
          </w:tcPr>
          <w:p w14:paraId="30180529" w14:textId="77777777" w:rsidR="00DD0933" w:rsidRDefault="00000000">
            <w:r>
              <w:rPr>
                <w:sz w:val="20"/>
                <w:szCs w:val="20"/>
              </w:rPr>
              <w:t>India</w:t>
            </w:r>
          </w:p>
        </w:tc>
      </w:tr>
      <w:tr w:rsidR="00DD0933" w14:paraId="356AD888"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810EC4" w14:textId="77777777" w:rsidR="00DD0933" w:rsidRDefault="00000000">
            <w:r>
              <w:rPr>
                <w:sz w:val="20"/>
                <w:szCs w:val="20"/>
              </w:rPr>
              <w:t>central_bank</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207B9F" w14:textId="77777777" w:rsidR="00DD0933" w:rsidRDefault="00000000">
            <w:r>
              <w:rPr>
                <w:sz w:val="20"/>
                <w:szCs w:val="20"/>
              </w:rPr>
              <w:t>Institution abbreviation</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337DB8" w14:textId="77777777" w:rsidR="00DD0933" w:rsidRDefault="00000000">
            <w:r>
              <w:rPr>
                <w:sz w:val="20"/>
                <w:szCs w:val="20"/>
              </w:rPr>
              <w:t>RBI</w:t>
            </w:r>
          </w:p>
        </w:tc>
      </w:tr>
      <w:tr w:rsidR="00DD0933" w14:paraId="29C62398"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7FC"/>
            <w:tcMar>
              <w:top w:w="80" w:type="dxa"/>
              <w:left w:w="120" w:type="dxa"/>
              <w:bottom w:w="80" w:type="dxa"/>
              <w:right w:w="120" w:type="dxa"/>
            </w:tcMar>
          </w:tcPr>
          <w:p w14:paraId="5F01A755" w14:textId="77777777" w:rsidR="00DD0933" w:rsidRDefault="00000000">
            <w:r>
              <w:rPr>
                <w:sz w:val="20"/>
                <w:szCs w:val="20"/>
              </w:rPr>
              <w:t>date</w:t>
            </w:r>
          </w:p>
        </w:tc>
        <w:tc>
          <w:tcPr>
            <w:tcW w:w="3500" w:type="dxa"/>
            <w:tcBorders>
              <w:top w:val="single" w:sz="1" w:space="0" w:color="CCCCCC"/>
              <w:left w:val="single" w:sz="1" w:space="0" w:color="CCCCCC"/>
              <w:bottom w:val="single" w:sz="1" w:space="0" w:color="CCCCCC"/>
              <w:right w:val="single" w:sz="1" w:space="0" w:color="CCCCCC"/>
            </w:tcBorders>
            <w:shd w:val="clear" w:color="auto" w:fill="F5F7FC"/>
            <w:tcMar>
              <w:top w:w="80" w:type="dxa"/>
              <w:left w:w="120" w:type="dxa"/>
              <w:bottom w:w="80" w:type="dxa"/>
              <w:right w:w="120" w:type="dxa"/>
            </w:tcMar>
          </w:tcPr>
          <w:p w14:paraId="5D7D3E1F" w14:textId="77777777" w:rsidR="00DD0933" w:rsidRDefault="00000000">
            <w:r>
              <w:rPr>
                <w:sz w:val="20"/>
                <w:szCs w:val="20"/>
              </w:rPr>
              <w:t>Publication date</w:t>
            </w:r>
          </w:p>
        </w:tc>
        <w:tc>
          <w:tcPr>
            <w:tcW w:w="3860" w:type="dxa"/>
            <w:tcBorders>
              <w:top w:val="single" w:sz="1" w:space="0" w:color="CCCCCC"/>
              <w:left w:val="single" w:sz="1" w:space="0" w:color="CCCCCC"/>
              <w:bottom w:val="single" w:sz="1" w:space="0" w:color="CCCCCC"/>
              <w:right w:val="single" w:sz="1" w:space="0" w:color="CCCCCC"/>
            </w:tcBorders>
            <w:shd w:val="clear" w:color="auto" w:fill="F5F7FC"/>
            <w:tcMar>
              <w:top w:w="80" w:type="dxa"/>
              <w:left w:w="120" w:type="dxa"/>
              <w:bottom w:w="80" w:type="dxa"/>
              <w:right w:w="120" w:type="dxa"/>
            </w:tcMar>
          </w:tcPr>
          <w:p w14:paraId="28C507BA" w14:textId="77777777" w:rsidR="00DD0933" w:rsidRDefault="00000000">
            <w:r>
              <w:rPr>
                <w:sz w:val="20"/>
                <w:szCs w:val="20"/>
              </w:rPr>
              <w:t>February 06, 2026</w:t>
            </w:r>
          </w:p>
        </w:tc>
      </w:tr>
      <w:tr w:rsidR="00DD0933" w14:paraId="4327EBCD"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503A76" w14:textId="77777777" w:rsidR="00DD0933" w:rsidRDefault="00000000">
            <w:r>
              <w:rPr>
                <w:sz w:val="20"/>
                <w:szCs w:val="20"/>
              </w:rPr>
              <w:t>title</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DF9C34" w14:textId="77777777" w:rsidR="00DD0933" w:rsidRDefault="00000000">
            <w:r>
              <w:rPr>
                <w:sz w:val="20"/>
                <w:szCs w:val="20"/>
              </w:rPr>
              <w:t>Statement title</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7860D7" w14:textId="77777777" w:rsidR="00DD0933" w:rsidRDefault="00000000">
            <w:r>
              <w:rPr>
                <w:sz w:val="20"/>
                <w:szCs w:val="20"/>
              </w:rPr>
              <w:t>Governor’s Statement: February 06, 2026</w:t>
            </w:r>
          </w:p>
        </w:tc>
      </w:tr>
      <w:tr w:rsidR="00DD0933" w14:paraId="4E0716F5"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7FC"/>
            <w:tcMar>
              <w:top w:w="80" w:type="dxa"/>
              <w:left w:w="120" w:type="dxa"/>
              <w:bottom w:w="80" w:type="dxa"/>
              <w:right w:w="120" w:type="dxa"/>
            </w:tcMar>
          </w:tcPr>
          <w:p w14:paraId="6D8DED30" w14:textId="77777777" w:rsidR="00DD0933" w:rsidRDefault="00000000">
            <w:r>
              <w:rPr>
                <w:sz w:val="20"/>
                <w:szCs w:val="20"/>
              </w:rPr>
              <w:t>text</w:t>
            </w:r>
          </w:p>
        </w:tc>
        <w:tc>
          <w:tcPr>
            <w:tcW w:w="3500" w:type="dxa"/>
            <w:tcBorders>
              <w:top w:val="single" w:sz="1" w:space="0" w:color="CCCCCC"/>
              <w:left w:val="single" w:sz="1" w:space="0" w:color="CCCCCC"/>
              <w:bottom w:val="single" w:sz="1" w:space="0" w:color="CCCCCC"/>
              <w:right w:val="single" w:sz="1" w:space="0" w:color="CCCCCC"/>
            </w:tcBorders>
            <w:shd w:val="clear" w:color="auto" w:fill="F5F7FC"/>
            <w:tcMar>
              <w:top w:w="80" w:type="dxa"/>
              <w:left w:w="120" w:type="dxa"/>
              <w:bottom w:w="80" w:type="dxa"/>
              <w:right w:w="120" w:type="dxa"/>
            </w:tcMar>
          </w:tcPr>
          <w:p w14:paraId="78D142D8" w14:textId="77777777" w:rsidR="00DD0933" w:rsidRDefault="00000000">
            <w:r>
              <w:rPr>
                <w:sz w:val="20"/>
                <w:szCs w:val="20"/>
              </w:rPr>
              <w:t>Full statement text (raw)</w:t>
            </w:r>
          </w:p>
        </w:tc>
        <w:tc>
          <w:tcPr>
            <w:tcW w:w="3860" w:type="dxa"/>
            <w:tcBorders>
              <w:top w:val="single" w:sz="1" w:space="0" w:color="CCCCCC"/>
              <w:left w:val="single" w:sz="1" w:space="0" w:color="CCCCCC"/>
              <w:bottom w:val="single" w:sz="1" w:space="0" w:color="CCCCCC"/>
              <w:right w:val="single" w:sz="1" w:space="0" w:color="CCCCCC"/>
            </w:tcBorders>
            <w:shd w:val="clear" w:color="auto" w:fill="F5F7FC"/>
            <w:tcMar>
              <w:top w:w="80" w:type="dxa"/>
              <w:left w:w="120" w:type="dxa"/>
              <w:bottom w:w="80" w:type="dxa"/>
              <w:right w:w="120" w:type="dxa"/>
            </w:tcMar>
          </w:tcPr>
          <w:p w14:paraId="0EFE54C7" w14:textId="77777777" w:rsidR="00DD0933" w:rsidRDefault="00000000">
            <w:r>
              <w:rPr>
                <w:sz w:val="20"/>
                <w:szCs w:val="20"/>
              </w:rPr>
              <w:t>Good morning. I welcome you all...</w:t>
            </w:r>
          </w:p>
        </w:tc>
      </w:tr>
      <w:tr w:rsidR="00DD0933" w14:paraId="4AB5A7F0"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08857B" w14:textId="77777777" w:rsidR="00DD0933" w:rsidRDefault="00000000">
            <w:r>
              <w:rPr>
                <w:sz w:val="20"/>
                <w:szCs w:val="20"/>
              </w:rPr>
              <w:t>url</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F5764F" w14:textId="77777777" w:rsidR="00DD0933" w:rsidRDefault="00000000">
            <w:r>
              <w:rPr>
                <w:sz w:val="20"/>
                <w:szCs w:val="20"/>
              </w:rPr>
              <w:t>Source URL</w:t>
            </w:r>
          </w:p>
        </w:tc>
        <w:tc>
          <w:tcPr>
            <w:tcW w:w="3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C87822" w14:textId="77777777" w:rsidR="00DD0933" w:rsidRDefault="00000000">
            <w:r>
              <w:rPr>
                <w:sz w:val="20"/>
                <w:szCs w:val="20"/>
              </w:rPr>
              <w:t>https://www.rbi.org.in/Scripts/...</w:t>
            </w:r>
          </w:p>
        </w:tc>
      </w:tr>
    </w:tbl>
    <w:p w14:paraId="35F87822" w14:textId="77777777" w:rsidR="00DD0933" w:rsidRDefault="00DD0933">
      <w:pPr>
        <w:spacing w:before="80" w:after="80"/>
      </w:pPr>
    </w:p>
    <w:p w14:paraId="182570F1" w14:textId="77777777" w:rsidR="00DD0933" w:rsidRDefault="00000000">
      <w:pPr>
        <w:spacing w:before="80" w:after="80"/>
        <w:jc w:val="both"/>
      </w:pPr>
      <w:r>
        <w:t>Total dataset: 305 statements across 4 central banks, covering 1996 to 2026.</w:t>
      </w:r>
    </w:p>
    <w:p w14:paraId="6F6A970E" w14:textId="77777777" w:rsidR="00DD0933" w:rsidRDefault="00DD0933">
      <w:pPr>
        <w:spacing w:before="80" w:after="80"/>
      </w:pPr>
    </w:p>
    <w:p w14:paraId="6731D531" w14:textId="77777777" w:rsidR="00DD0933" w:rsidRDefault="00DD0933">
      <w:pPr>
        <w:spacing w:before="80" w:after="80"/>
      </w:pPr>
    </w:p>
    <w:p w14:paraId="25474F0C" w14:textId="77777777" w:rsidR="004D02F1" w:rsidRDefault="004D02F1">
      <w:pPr>
        <w:spacing w:before="80" w:after="80"/>
      </w:pPr>
    </w:p>
    <w:p w14:paraId="74838BEA" w14:textId="77777777" w:rsidR="004D02F1" w:rsidRDefault="004D02F1">
      <w:pPr>
        <w:spacing w:before="80" w:after="80"/>
      </w:pPr>
    </w:p>
    <w:p w14:paraId="6CEC8E4B" w14:textId="77777777" w:rsidR="004D02F1" w:rsidRDefault="004D02F1">
      <w:pPr>
        <w:spacing w:before="80" w:after="80"/>
      </w:pPr>
    </w:p>
    <w:p w14:paraId="27BCBDD6" w14:textId="77777777" w:rsidR="004D02F1" w:rsidRDefault="004D02F1">
      <w:pPr>
        <w:spacing w:before="80" w:after="80"/>
      </w:pPr>
    </w:p>
    <w:p w14:paraId="32831024" w14:textId="77777777" w:rsidR="004D02F1" w:rsidRDefault="004D02F1">
      <w:pPr>
        <w:spacing w:before="80" w:after="80"/>
      </w:pPr>
    </w:p>
    <w:p w14:paraId="7D6F3092" w14:textId="77777777" w:rsidR="004D02F1" w:rsidRDefault="004D02F1">
      <w:pPr>
        <w:spacing w:before="80" w:after="80"/>
      </w:pPr>
    </w:p>
    <w:p w14:paraId="07A52089" w14:textId="77777777" w:rsidR="004D02F1" w:rsidRDefault="004D02F1">
      <w:pPr>
        <w:spacing w:before="80" w:after="80"/>
      </w:pPr>
    </w:p>
    <w:p w14:paraId="7DCCA239" w14:textId="77777777" w:rsidR="00DD0933" w:rsidRDefault="00000000">
      <w:pPr>
        <w:pStyle w:val="Heading1"/>
      </w:pPr>
      <w:r>
        <w:lastRenderedPageBreak/>
        <w:t>5. Technical Summary</w:t>
      </w:r>
    </w:p>
    <w:p w14:paraId="2E78545A" w14:textId="77777777" w:rsidR="00DD0933" w:rsidRDefault="00000000">
      <w:pPr>
        <w:spacing w:before="80" w:after="80"/>
        <w:jc w:val="both"/>
      </w:pPr>
      <w:r>
        <w:t>The project demonstrates four distinct data collection techniques, each chosen to match the accessibility profile of the target source:</w:t>
      </w:r>
    </w:p>
    <w:p w14:paraId="5948CCE5" w14:textId="77777777" w:rsidR="00DD0933" w:rsidRDefault="00DD093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200"/>
        <w:gridCol w:w="2000"/>
        <w:gridCol w:w="3160"/>
      </w:tblGrid>
      <w:tr w:rsidR="00DD0933" w14:paraId="5FB550DD" w14:textId="77777777">
        <w:tblPrEx>
          <w:tblCellMar>
            <w:top w:w="0" w:type="dxa"/>
            <w:bottom w:w="0" w:type="dxa"/>
          </w:tblCellMar>
        </w:tblPrEx>
        <w:tc>
          <w:tcPr>
            <w:tcW w:w="2000" w:type="dxa"/>
            <w:tcBorders>
              <w:top w:val="single" w:sz="1" w:space="0" w:color="2E4B8F"/>
              <w:left w:val="single" w:sz="1" w:space="0" w:color="2E4B8F"/>
              <w:bottom w:val="single" w:sz="1" w:space="0" w:color="2E4B8F"/>
              <w:right w:val="single" w:sz="1" w:space="0" w:color="2E4B8F"/>
            </w:tcBorders>
            <w:shd w:val="clear" w:color="auto" w:fill="2E4B8F"/>
            <w:tcMar>
              <w:top w:w="80" w:type="dxa"/>
              <w:left w:w="120" w:type="dxa"/>
              <w:bottom w:w="80" w:type="dxa"/>
              <w:right w:w="120" w:type="dxa"/>
            </w:tcMar>
          </w:tcPr>
          <w:p w14:paraId="58E962FA" w14:textId="77777777" w:rsidR="00DD0933" w:rsidRDefault="00000000">
            <w:pPr>
              <w:jc w:val="center"/>
            </w:pPr>
            <w:r>
              <w:rPr>
                <w:b/>
                <w:bCs/>
                <w:color w:val="FFFFFF"/>
                <w:sz w:val="20"/>
                <w:szCs w:val="20"/>
              </w:rPr>
              <w:t>Technique</w:t>
            </w:r>
          </w:p>
        </w:tc>
        <w:tc>
          <w:tcPr>
            <w:tcW w:w="2200" w:type="dxa"/>
            <w:tcBorders>
              <w:top w:val="single" w:sz="1" w:space="0" w:color="2E4B8F"/>
              <w:left w:val="single" w:sz="1" w:space="0" w:color="2E4B8F"/>
              <w:bottom w:val="single" w:sz="1" w:space="0" w:color="2E4B8F"/>
              <w:right w:val="single" w:sz="1" w:space="0" w:color="2E4B8F"/>
            </w:tcBorders>
            <w:shd w:val="clear" w:color="auto" w:fill="2E4B8F"/>
            <w:tcMar>
              <w:top w:w="80" w:type="dxa"/>
              <w:left w:w="120" w:type="dxa"/>
              <w:bottom w:w="80" w:type="dxa"/>
              <w:right w:w="120" w:type="dxa"/>
            </w:tcMar>
          </w:tcPr>
          <w:p w14:paraId="0C86FF58" w14:textId="77777777" w:rsidR="00DD0933" w:rsidRDefault="00000000">
            <w:pPr>
              <w:jc w:val="center"/>
            </w:pPr>
            <w:r>
              <w:rPr>
                <w:b/>
                <w:bCs/>
                <w:color w:val="FFFFFF"/>
                <w:sz w:val="20"/>
                <w:szCs w:val="20"/>
              </w:rPr>
              <w:t>Library</w:t>
            </w:r>
          </w:p>
        </w:tc>
        <w:tc>
          <w:tcPr>
            <w:tcW w:w="2000" w:type="dxa"/>
            <w:tcBorders>
              <w:top w:val="single" w:sz="1" w:space="0" w:color="2E4B8F"/>
              <w:left w:val="single" w:sz="1" w:space="0" w:color="2E4B8F"/>
              <w:bottom w:val="single" w:sz="1" w:space="0" w:color="2E4B8F"/>
              <w:right w:val="single" w:sz="1" w:space="0" w:color="2E4B8F"/>
            </w:tcBorders>
            <w:shd w:val="clear" w:color="auto" w:fill="2E4B8F"/>
            <w:tcMar>
              <w:top w:w="80" w:type="dxa"/>
              <w:left w:w="120" w:type="dxa"/>
              <w:bottom w:w="80" w:type="dxa"/>
              <w:right w:w="120" w:type="dxa"/>
            </w:tcMar>
          </w:tcPr>
          <w:p w14:paraId="31FE8360" w14:textId="77777777" w:rsidR="00DD0933" w:rsidRDefault="00000000">
            <w:pPr>
              <w:jc w:val="center"/>
            </w:pPr>
            <w:r>
              <w:rPr>
                <w:b/>
                <w:bCs/>
                <w:color w:val="FFFFFF"/>
                <w:sz w:val="20"/>
                <w:szCs w:val="20"/>
              </w:rPr>
              <w:t>Used For</w:t>
            </w:r>
          </w:p>
        </w:tc>
        <w:tc>
          <w:tcPr>
            <w:tcW w:w="3160" w:type="dxa"/>
            <w:tcBorders>
              <w:top w:val="single" w:sz="1" w:space="0" w:color="2E4B8F"/>
              <w:left w:val="single" w:sz="1" w:space="0" w:color="2E4B8F"/>
              <w:bottom w:val="single" w:sz="1" w:space="0" w:color="2E4B8F"/>
              <w:right w:val="single" w:sz="1" w:space="0" w:color="2E4B8F"/>
            </w:tcBorders>
            <w:shd w:val="clear" w:color="auto" w:fill="2E4B8F"/>
            <w:tcMar>
              <w:top w:w="80" w:type="dxa"/>
              <w:left w:w="120" w:type="dxa"/>
              <w:bottom w:w="80" w:type="dxa"/>
              <w:right w:w="120" w:type="dxa"/>
            </w:tcMar>
          </w:tcPr>
          <w:p w14:paraId="0C02BA64" w14:textId="77777777" w:rsidR="00DD0933" w:rsidRDefault="00000000">
            <w:pPr>
              <w:jc w:val="center"/>
            </w:pPr>
            <w:r>
              <w:rPr>
                <w:b/>
                <w:bCs/>
                <w:color w:val="FFFFFF"/>
                <w:sz w:val="20"/>
                <w:szCs w:val="20"/>
              </w:rPr>
              <w:t>Key Challenge Overcome</w:t>
            </w:r>
          </w:p>
        </w:tc>
      </w:tr>
      <w:tr w:rsidR="00DD0933" w14:paraId="74CBBC5F"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7FC"/>
            <w:tcMar>
              <w:top w:w="80" w:type="dxa"/>
              <w:left w:w="120" w:type="dxa"/>
              <w:bottom w:w="80" w:type="dxa"/>
              <w:right w:w="120" w:type="dxa"/>
            </w:tcMar>
          </w:tcPr>
          <w:p w14:paraId="49EC1383" w14:textId="77777777" w:rsidR="00DD0933" w:rsidRDefault="00000000">
            <w:r>
              <w:rPr>
                <w:sz w:val="20"/>
                <w:szCs w:val="20"/>
              </w:rPr>
              <w:t>HTTP scraping</w:t>
            </w:r>
          </w:p>
        </w:tc>
        <w:tc>
          <w:tcPr>
            <w:tcW w:w="2200" w:type="dxa"/>
            <w:tcBorders>
              <w:top w:val="single" w:sz="1" w:space="0" w:color="CCCCCC"/>
              <w:left w:val="single" w:sz="1" w:space="0" w:color="CCCCCC"/>
              <w:bottom w:val="single" w:sz="1" w:space="0" w:color="CCCCCC"/>
              <w:right w:val="single" w:sz="1" w:space="0" w:color="CCCCCC"/>
            </w:tcBorders>
            <w:shd w:val="clear" w:color="auto" w:fill="F5F7FC"/>
            <w:tcMar>
              <w:top w:w="80" w:type="dxa"/>
              <w:left w:w="120" w:type="dxa"/>
              <w:bottom w:w="80" w:type="dxa"/>
              <w:right w:w="120" w:type="dxa"/>
            </w:tcMar>
          </w:tcPr>
          <w:p w14:paraId="00B571A5" w14:textId="77777777" w:rsidR="00DD0933" w:rsidRDefault="00000000">
            <w:r>
              <w:rPr>
                <w:sz w:val="20"/>
                <w:szCs w:val="20"/>
              </w:rPr>
              <w:t>requests, BeautifulSoup</w:t>
            </w:r>
          </w:p>
        </w:tc>
        <w:tc>
          <w:tcPr>
            <w:tcW w:w="2000" w:type="dxa"/>
            <w:tcBorders>
              <w:top w:val="single" w:sz="1" w:space="0" w:color="CCCCCC"/>
              <w:left w:val="single" w:sz="1" w:space="0" w:color="CCCCCC"/>
              <w:bottom w:val="single" w:sz="1" w:space="0" w:color="CCCCCC"/>
              <w:right w:val="single" w:sz="1" w:space="0" w:color="CCCCCC"/>
            </w:tcBorders>
            <w:shd w:val="clear" w:color="auto" w:fill="F5F7FC"/>
            <w:tcMar>
              <w:top w:w="80" w:type="dxa"/>
              <w:left w:w="120" w:type="dxa"/>
              <w:bottom w:w="80" w:type="dxa"/>
              <w:right w:w="120" w:type="dxa"/>
            </w:tcMar>
          </w:tcPr>
          <w:p w14:paraId="4BD56D61" w14:textId="77777777" w:rsidR="00DD0933" w:rsidRDefault="00000000">
            <w:r>
              <w:rPr>
                <w:sz w:val="20"/>
                <w:szCs w:val="20"/>
              </w:rPr>
              <w:t>RBI, CBR</w:t>
            </w:r>
          </w:p>
        </w:tc>
        <w:tc>
          <w:tcPr>
            <w:tcW w:w="3160" w:type="dxa"/>
            <w:tcBorders>
              <w:top w:val="single" w:sz="1" w:space="0" w:color="CCCCCC"/>
              <w:left w:val="single" w:sz="1" w:space="0" w:color="CCCCCC"/>
              <w:bottom w:val="single" w:sz="1" w:space="0" w:color="CCCCCC"/>
              <w:right w:val="single" w:sz="1" w:space="0" w:color="CCCCCC"/>
            </w:tcBorders>
            <w:shd w:val="clear" w:color="auto" w:fill="F5F7FC"/>
            <w:tcMar>
              <w:top w:w="80" w:type="dxa"/>
              <w:left w:w="120" w:type="dxa"/>
              <w:bottom w:w="80" w:type="dxa"/>
              <w:right w:w="120" w:type="dxa"/>
            </w:tcMar>
          </w:tcPr>
          <w:p w14:paraId="55D2030C" w14:textId="77777777" w:rsidR="00DD0933" w:rsidRDefault="00000000">
            <w:r>
              <w:rPr>
                <w:sz w:val="20"/>
                <w:szCs w:val="20"/>
              </w:rPr>
              <w:t>Unicode apostrophe matching (RBI); calendar page navigation (CBR)</w:t>
            </w:r>
          </w:p>
        </w:tc>
      </w:tr>
      <w:tr w:rsidR="00DD0933" w14:paraId="0F7D0188"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06809F" w14:textId="77777777" w:rsidR="00DD0933" w:rsidRDefault="00000000">
            <w:r>
              <w:rPr>
                <w:sz w:val="20"/>
                <w:szCs w:val="20"/>
              </w:rPr>
              <w:t>Headless browser scraping</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813431" w14:textId="77777777" w:rsidR="00DD0933" w:rsidRDefault="00000000">
            <w:r>
              <w:rPr>
                <w:sz w:val="20"/>
                <w:szCs w:val="20"/>
              </w:rPr>
              <w:t>Selenium, webdriver-manager</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BC333C" w14:textId="77777777" w:rsidR="00DD0933" w:rsidRDefault="00000000">
            <w:r>
              <w:rPr>
                <w:sz w:val="20"/>
                <w:szCs w:val="20"/>
              </w:rPr>
              <w:t>SARB</w:t>
            </w:r>
          </w:p>
        </w:tc>
        <w:tc>
          <w:tcPr>
            <w:tcW w:w="3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06732B" w14:textId="77777777" w:rsidR="00DD0933" w:rsidRDefault="00000000">
            <w:r>
              <w:rPr>
                <w:sz w:val="20"/>
                <w:szCs w:val="20"/>
              </w:rPr>
              <w:t>Network-level anti-bot block; JavaScript-rendered content</w:t>
            </w:r>
          </w:p>
        </w:tc>
      </w:tr>
      <w:tr w:rsidR="00DD0933" w14:paraId="25A1A365"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5F7FC"/>
            <w:tcMar>
              <w:top w:w="80" w:type="dxa"/>
              <w:left w:w="120" w:type="dxa"/>
              <w:bottom w:w="80" w:type="dxa"/>
              <w:right w:w="120" w:type="dxa"/>
            </w:tcMar>
          </w:tcPr>
          <w:p w14:paraId="49B067C4" w14:textId="77777777" w:rsidR="00DD0933" w:rsidRDefault="00000000">
            <w:r>
              <w:rPr>
                <w:sz w:val="20"/>
                <w:szCs w:val="20"/>
              </w:rPr>
              <w:t>Bulk dataset download + filtering</w:t>
            </w:r>
          </w:p>
        </w:tc>
        <w:tc>
          <w:tcPr>
            <w:tcW w:w="2200" w:type="dxa"/>
            <w:tcBorders>
              <w:top w:val="single" w:sz="1" w:space="0" w:color="CCCCCC"/>
              <w:left w:val="single" w:sz="1" w:space="0" w:color="CCCCCC"/>
              <w:bottom w:val="single" w:sz="1" w:space="0" w:color="CCCCCC"/>
              <w:right w:val="single" w:sz="1" w:space="0" w:color="CCCCCC"/>
            </w:tcBorders>
            <w:shd w:val="clear" w:color="auto" w:fill="F5F7FC"/>
            <w:tcMar>
              <w:top w:w="80" w:type="dxa"/>
              <w:left w:w="120" w:type="dxa"/>
              <w:bottom w:w="80" w:type="dxa"/>
              <w:right w:w="120" w:type="dxa"/>
            </w:tcMar>
          </w:tcPr>
          <w:p w14:paraId="0F89AE3C" w14:textId="77777777" w:rsidR="00DD0933" w:rsidRDefault="00000000">
            <w:r>
              <w:rPr>
                <w:sz w:val="20"/>
                <w:szCs w:val="20"/>
              </w:rPr>
              <w:t>pandas</w:t>
            </w:r>
          </w:p>
        </w:tc>
        <w:tc>
          <w:tcPr>
            <w:tcW w:w="2000" w:type="dxa"/>
            <w:tcBorders>
              <w:top w:val="single" w:sz="1" w:space="0" w:color="CCCCCC"/>
              <w:left w:val="single" w:sz="1" w:space="0" w:color="CCCCCC"/>
              <w:bottom w:val="single" w:sz="1" w:space="0" w:color="CCCCCC"/>
              <w:right w:val="single" w:sz="1" w:space="0" w:color="CCCCCC"/>
            </w:tcBorders>
            <w:shd w:val="clear" w:color="auto" w:fill="F5F7FC"/>
            <w:tcMar>
              <w:top w:w="80" w:type="dxa"/>
              <w:left w:w="120" w:type="dxa"/>
              <w:bottom w:w="80" w:type="dxa"/>
              <w:right w:w="120" w:type="dxa"/>
            </w:tcMar>
          </w:tcPr>
          <w:p w14:paraId="2FEDFA15" w14:textId="77777777" w:rsidR="00DD0933" w:rsidRDefault="00000000">
            <w:r>
              <w:rPr>
                <w:sz w:val="20"/>
                <w:szCs w:val="20"/>
              </w:rPr>
              <w:t>PBOC</w:t>
            </w:r>
          </w:p>
        </w:tc>
        <w:tc>
          <w:tcPr>
            <w:tcW w:w="3160" w:type="dxa"/>
            <w:tcBorders>
              <w:top w:val="single" w:sz="1" w:space="0" w:color="CCCCCC"/>
              <w:left w:val="single" w:sz="1" w:space="0" w:color="CCCCCC"/>
              <w:bottom w:val="single" w:sz="1" w:space="0" w:color="CCCCCC"/>
              <w:right w:val="single" w:sz="1" w:space="0" w:color="CCCCCC"/>
            </w:tcBorders>
            <w:shd w:val="clear" w:color="auto" w:fill="F5F7FC"/>
            <w:tcMar>
              <w:top w:w="80" w:type="dxa"/>
              <w:left w:w="120" w:type="dxa"/>
              <w:bottom w:w="80" w:type="dxa"/>
              <w:right w:w="120" w:type="dxa"/>
            </w:tcMar>
          </w:tcPr>
          <w:p w14:paraId="579FB9A4" w14:textId="77777777" w:rsidR="00DD0933" w:rsidRDefault="00000000">
            <w:r>
              <w:rPr>
                <w:sz w:val="20"/>
                <w:szCs w:val="20"/>
              </w:rPr>
              <w:t>No clean English API; used BIS pre-compiled corpus</w:t>
            </w:r>
          </w:p>
        </w:tc>
      </w:tr>
      <w:tr w:rsidR="00DD0933" w14:paraId="24314BD9" w14:textId="77777777">
        <w:tblPrEx>
          <w:tblCellMar>
            <w:top w:w="0" w:type="dxa"/>
            <w:bottom w:w="0" w:type="dxa"/>
          </w:tblCellMar>
        </w:tblPrEx>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0612DD" w14:textId="77777777" w:rsidR="00DD0933" w:rsidRDefault="00000000">
            <w:r>
              <w:rPr>
                <w:sz w:val="20"/>
                <w:szCs w:val="20"/>
              </w:rPr>
              <w:t>Modular scraper architecture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0E7278" w14:textId="77777777" w:rsidR="00DD0933" w:rsidRDefault="00000000">
            <w:r>
              <w:rPr>
                <w:sz w:val="20"/>
                <w:szCs w:val="20"/>
              </w:rPr>
              <w:t>Python modules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4A1253" w14:textId="77777777" w:rsidR="00DD0933" w:rsidRDefault="00000000">
            <w:r>
              <w:rPr>
                <w:sz w:val="20"/>
                <w:szCs w:val="20"/>
              </w:rPr>
              <w:t>All</w:t>
            </w:r>
          </w:p>
        </w:tc>
        <w:tc>
          <w:tcPr>
            <w:tcW w:w="3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ADE4DA" w14:textId="77777777" w:rsidR="00DD0933" w:rsidRDefault="00000000">
            <w:r>
              <w:rPr>
                <w:sz w:val="20"/>
                <w:szCs w:val="20"/>
              </w:rPr>
              <w:t>Each bank has a standalone scraper with a consistent return schema</w:t>
            </w:r>
          </w:p>
        </w:tc>
      </w:tr>
    </w:tbl>
    <w:p w14:paraId="123796B5" w14:textId="77777777" w:rsidR="00DD0933" w:rsidRDefault="00DD0933">
      <w:pPr>
        <w:spacing w:before="80" w:after="80"/>
      </w:pPr>
    </w:p>
    <w:p w14:paraId="799D4D2E" w14:textId="77777777" w:rsidR="00DD0933" w:rsidRDefault="00000000">
      <w:pPr>
        <w:spacing w:before="80" w:after="80"/>
        <w:jc w:val="both"/>
      </w:pPr>
      <w:r>
        <w:t>All scrapers follow a consistent output schema (country, central_bank, date, title, text, url), making the master CSV directly compatible with Project 5's NLP pipeline without additional transformation.</w:t>
      </w:r>
    </w:p>
    <w:p w14:paraId="22A6DD17" w14:textId="77777777" w:rsidR="00DD0933" w:rsidRDefault="00DD0933">
      <w:pPr>
        <w:spacing w:before="80" w:after="80"/>
      </w:pPr>
    </w:p>
    <w:p w14:paraId="767C8D19" w14:textId="77777777" w:rsidR="00DD0933" w:rsidRDefault="00DD0933">
      <w:pPr>
        <w:spacing w:before="80" w:after="80"/>
      </w:pPr>
    </w:p>
    <w:p w14:paraId="233DFECE" w14:textId="77777777" w:rsidR="00DD0933" w:rsidRDefault="00000000">
      <w:pPr>
        <w:pStyle w:val="Heading1"/>
      </w:pPr>
      <w:r>
        <w:t>6. What Comes Next — Project 5</w:t>
      </w:r>
    </w:p>
    <w:p w14:paraId="1C64EEF1" w14:textId="77777777" w:rsidR="00DD0933" w:rsidRDefault="00000000">
      <w:pPr>
        <w:spacing w:before="80" w:after="80"/>
        <w:jc w:val="both"/>
      </w:pPr>
      <w:r>
        <w:t>Project 5 takes the master dataset constructed here as its input and applies two layers of text analysis:</w:t>
      </w:r>
    </w:p>
    <w:p w14:paraId="672F5FAD" w14:textId="77777777" w:rsidR="00DD0933" w:rsidRDefault="00DD0933">
      <w:pPr>
        <w:spacing w:before="80" w:after="80"/>
      </w:pPr>
    </w:p>
    <w:p w14:paraId="1F765EAB" w14:textId="77777777" w:rsidR="00DD0933" w:rsidRDefault="00000000">
      <w:pPr>
        <w:spacing w:before="240" w:after="120"/>
      </w:pPr>
      <w:r>
        <w:rPr>
          <w:b/>
          <w:bCs/>
          <w:sz w:val="24"/>
          <w:szCs w:val="24"/>
        </w:rPr>
        <w:t>Layer 1 — Dictionary-Based Sentiment Analysis</w:t>
      </w:r>
    </w:p>
    <w:p w14:paraId="1B1A9267" w14:textId="77777777" w:rsidR="00DD0933" w:rsidRDefault="00000000">
      <w:pPr>
        <w:spacing w:before="80" w:after="80"/>
        <w:jc w:val="both"/>
      </w:pPr>
      <w:r>
        <w:t>Using the Loughran-McDonald (LM) financial dictionary — the standard lexicon for financial and central bank text analysis — each statement is scored for hawkish versus dovish sentiment. The LM dictionary is specifically calibrated for financial and monetary policy language, making it more appropriate than general-purpose sentiment tools like VADER or AFINN.</w:t>
      </w:r>
    </w:p>
    <w:p w14:paraId="656F2972" w14:textId="77777777" w:rsidR="00DD0933" w:rsidRDefault="00DD0933">
      <w:pPr>
        <w:spacing w:before="80" w:after="80"/>
      </w:pPr>
    </w:p>
    <w:p w14:paraId="7495E4CF" w14:textId="77777777" w:rsidR="00DD0933" w:rsidRDefault="00000000">
      <w:pPr>
        <w:spacing w:before="80" w:after="80"/>
        <w:jc w:val="both"/>
      </w:pPr>
      <w:r>
        <w:t>The output is a time series of sentiment scores for each central bank, enabling comparative analysis of how monetary policy tone has evolved across BRICS institutions — particularly around key episodes such as the 2018 EM currency crisis, the COVID shock, the 2022 commodity price surge, and the subsequent tightening cycle.</w:t>
      </w:r>
    </w:p>
    <w:p w14:paraId="3577D6B5" w14:textId="77777777" w:rsidR="00DD0933" w:rsidRDefault="00DD0933">
      <w:pPr>
        <w:spacing w:before="80" w:after="80"/>
      </w:pPr>
    </w:p>
    <w:p w14:paraId="51749AD2" w14:textId="77777777" w:rsidR="00DD0933" w:rsidRDefault="00000000">
      <w:pPr>
        <w:spacing w:before="240" w:after="120"/>
      </w:pPr>
      <w:r>
        <w:rPr>
          <w:b/>
          <w:bCs/>
          <w:sz w:val="24"/>
          <w:szCs w:val="24"/>
        </w:rPr>
        <w:t>Layer 2 — LDA Topic Modelling</w:t>
      </w:r>
    </w:p>
    <w:p w14:paraId="0164458E" w14:textId="77777777" w:rsidR="00DD0933" w:rsidRDefault="00000000">
      <w:pPr>
        <w:spacing w:before="80" w:after="80"/>
        <w:jc w:val="both"/>
      </w:pPr>
      <w:r>
        <w:t>Latent Dirichlet Allocation (LDA) is applied to identify the dominant themes in BRICS central bank communications and how they have shifted over time. Topics expected to emerge include inflation dynamics, exchange rate risk, global trade conditions, financial stability, and growth outlook.</w:t>
      </w:r>
    </w:p>
    <w:p w14:paraId="7ECD1533" w14:textId="77777777" w:rsidR="00DD0933" w:rsidRDefault="00DD0933">
      <w:pPr>
        <w:spacing w:before="80" w:after="80"/>
      </w:pPr>
    </w:p>
    <w:p w14:paraId="1CB343B6" w14:textId="77777777" w:rsidR="00DD0933" w:rsidRDefault="00000000">
      <w:pPr>
        <w:spacing w:before="80" w:after="80"/>
        <w:jc w:val="both"/>
      </w:pPr>
      <w:r>
        <w:t>A key research question for Project 5: do BRICS central banks increasingly reference trade fragmentation and currency divergence themes post-2022? And does the sentiment around these themes differ systematically across the four institutions?</w:t>
      </w:r>
    </w:p>
    <w:p w14:paraId="243957A3" w14:textId="77777777" w:rsidR="00DD0933" w:rsidRDefault="00DD0933">
      <w:pPr>
        <w:spacing w:before="80" w:after="80"/>
      </w:pPr>
    </w:p>
    <w:p w14:paraId="46E3DCBC" w14:textId="77777777" w:rsidR="00DD0933" w:rsidRDefault="00000000">
      <w:pPr>
        <w:spacing w:before="240" w:after="120"/>
      </w:pPr>
      <w:r>
        <w:rPr>
          <w:b/>
          <w:bCs/>
          <w:sz w:val="24"/>
          <w:szCs w:val="24"/>
        </w:rPr>
        <w:t>Data Cleaning Before Analysis</w:t>
      </w:r>
    </w:p>
    <w:p w14:paraId="2E97EDF1" w14:textId="77777777" w:rsidR="00DD0933" w:rsidRDefault="00000000">
      <w:pPr>
        <w:spacing w:before="80" w:after="80"/>
        <w:jc w:val="both"/>
      </w:pPr>
      <w:r>
        <w:t>Several data quality issues identified during Project 4 will be addressed at the start of Project 5:</w:t>
      </w:r>
    </w:p>
    <w:p w14:paraId="159001A2" w14:textId="77777777" w:rsidR="00DD0933" w:rsidRDefault="00000000">
      <w:pPr>
        <w:pStyle w:val="ListParagraph"/>
        <w:numPr>
          <w:ilvl w:val="0"/>
          <w:numId w:val="2"/>
        </w:numPr>
        <w:spacing w:before="60" w:after="60"/>
      </w:pPr>
      <w:r>
        <w:t>RBI and SARB text fields contain boilerplate header text (press release metadata, repo rate notices) that should be stripped before NLP processing</w:t>
      </w:r>
    </w:p>
    <w:p w14:paraId="509B577A" w14:textId="77777777" w:rsidR="00DD0933" w:rsidRDefault="00000000">
      <w:pPr>
        <w:pStyle w:val="ListParagraph"/>
        <w:numPr>
          <w:ilvl w:val="0"/>
          <w:numId w:val="2"/>
        </w:numPr>
        <w:spacing w:before="60" w:after="60"/>
      </w:pPr>
      <w:r>
        <w:t>SARB date fields for older statements contain URL fragment IDs rather than proper dates — these require normalisation</w:t>
      </w:r>
    </w:p>
    <w:p w14:paraId="7277C2ED" w14:textId="77777777" w:rsidR="00DD0933" w:rsidRDefault="00000000">
      <w:pPr>
        <w:pStyle w:val="ListParagraph"/>
        <w:numPr>
          <w:ilvl w:val="0"/>
          <w:numId w:val="2"/>
        </w:numPr>
        <w:spacing w:before="60" w:after="60"/>
      </w:pPr>
      <w:r>
        <w:t>PBOC entries span a wider time range (1996–2025) and include a broader range of communication types than the other three banks — subgroup analysis may be warranted</w:t>
      </w:r>
    </w:p>
    <w:p w14:paraId="777DF59B" w14:textId="77777777" w:rsidR="00DD0933" w:rsidRDefault="00DD0933">
      <w:pPr>
        <w:spacing w:before="80" w:after="80"/>
      </w:pPr>
    </w:p>
    <w:p w14:paraId="364430B9" w14:textId="77777777" w:rsidR="00DD0933" w:rsidRDefault="00000000">
      <w:pPr>
        <w:spacing w:before="80" w:after="80"/>
        <w:jc w:val="both"/>
      </w:pPr>
      <w:r>
        <w:t>Project 5 is the analytical payoff of the infrastructure built here. Together, Projects 4 and 5 form a two-stage pipeline: data construction followed by quantitative text analysis — a structure that mirrors the research workflow of published central bank communication studies.</w:t>
      </w:r>
    </w:p>
    <w:p w14:paraId="710DF4F5" w14:textId="77777777" w:rsidR="00DD0933" w:rsidRDefault="00DD0933">
      <w:pPr>
        <w:spacing w:before="80" w:after="80"/>
      </w:pPr>
    </w:p>
    <w:p w14:paraId="3F7B4D58" w14:textId="77777777" w:rsidR="00DD0933" w:rsidRDefault="00DD0933">
      <w:pPr>
        <w:spacing w:before="80" w:after="80"/>
      </w:pPr>
    </w:p>
    <w:p w14:paraId="785309D9" w14:textId="77777777" w:rsidR="00DD0933" w:rsidRDefault="00000000">
      <w:pPr>
        <w:pStyle w:val="Heading1"/>
      </w:pPr>
      <w:r>
        <w:t>7. Repository Structure</w:t>
      </w:r>
    </w:p>
    <w:p w14:paraId="24ADC4B7" w14:textId="77777777" w:rsidR="00DD0933" w:rsidRDefault="00000000">
      <w:pPr>
        <w:spacing w:before="80" w:after="80"/>
        <w:jc w:val="both"/>
      </w:pPr>
      <w:r>
        <w:t>The project is organised as follows within the BRICS-Trade-Labour-Portfolio GitHub repository:</w:t>
      </w:r>
    </w:p>
    <w:p w14:paraId="39607620" w14:textId="77777777" w:rsidR="00DD0933" w:rsidRDefault="00DD093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DD0933" w14:paraId="458423D9" w14:textId="77777777">
        <w:tblPrEx>
          <w:tblCellMar>
            <w:top w:w="0" w:type="dxa"/>
            <w:bottom w:w="0" w:type="dxa"/>
          </w:tblCellMar>
        </w:tblPrEx>
        <w:tc>
          <w:tcPr>
            <w:tcW w:w="4680" w:type="dxa"/>
            <w:tcBorders>
              <w:top w:val="single" w:sz="1" w:space="0" w:color="2E4B8F"/>
              <w:left w:val="single" w:sz="1" w:space="0" w:color="2E4B8F"/>
              <w:bottom w:val="single" w:sz="1" w:space="0" w:color="2E4B8F"/>
              <w:right w:val="single" w:sz="1" w:space="0" w:color="2E4B8F"/>
            </w:tcBorders>
            <w:shd w:val="clear" w:color="auto" w:fill="2E4B8F"/>
            <w:tcMar>
              <w:top w:w="80" w:type="dxa"/>
              <w:left w:w="120" w:type="dxa"/>
              <w:bottom w:w="80" w:type="dxa"/>
              <w:right w:w="120" w:type="dxa"/>
            </w:tcMar>
          </w:tcPr>
          <w:p w14:paraId="44A074B4" w14:textId="77777777" w:rsidR="00DD0933" w:rsidRDefault="00000000">
            <w:pPr>
              <w:jc w:val="center"/>
            </w:pPr>
            <w:r>
              <w:rPr>
                <w:b/>
                <w:bCs/>
                <w:color w:val="FFFFFF"/>
                <w:sz w:val="20"/>
                <w:szCs w:val="20"/>
              </w:rPr>
              <w:t>File / Folder</w:t>
            </w:r>
          </w:p>
        </w:tc>
        <w:tc>
          <w:tcPr>
            <w:tcW w:w="4680" w:type="dxa"/>
            <w:tcBorders>
              <w:top w:val="single" w:sz="1" w:space="0" w:color="2E4B8F"/>
              <w:left w:val="single" w:sz="1" w:space="0" w:color="2E4B8F"/>
              <w:bottom w:val="single" w:sz="1" w:space="0" w:color="2E4B8F"/>
              <w:right w:val="single" w:sz="1" w:space="0" w:color="2E4B8F"/>
            </w:tcBorders>
            <w:shd w:val="clear" w:color="auto" w:fill="2E4B8F"/>
            <w:tcMar>
              <w:top w:w="80" w:type="dxa"/>
              <w:left w:w="120" w:type="dxa"/>
              <w:bottom w:w="80" w:type="dxa"/>
              <w:right w:w="120" w:type="dxa"/>
            </w:tcMar>
          </w:tcPr>
          <w:p w14:paraId="5AA9F761" w14:textId="77777777" w:rsidR="00DD0933" w:rsidRDefault="00000000">
            <w:pPr>
              <w:jc w:val="center"/>
            </w:pPr>
            <w:r>
              <w:rPr>
                <w:b/>
                <w:bCs/>
                <w:color w:val="FFFFFF"/>
                <w:sz w:val="20"/>
                <w:szCs w:val="20"/>
              </w:rPr>
              <w:t>Description</w:t>
            </w:r>
          </w:p>
        </w:tc>
      </w:tr>
      <w:tr w:rsidR="00DD0933" w14:paraId="21B1919B"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5F7FC"/>
            <w:tcMar>
              <w:top w:w="80" w:type="dxa"/>
              <w:left w:w="120" w:type="dxa"/>
              <w:bottom w:w="80" w:type="dxa"/>
              <w:right w:w="120" w:type="dxa"/>
            </w:tcMar>
          </w:tcPr>
          <w:p w14:paraId="79600CFA" w14:textId="77777777" w:rsidR="00DD0933" w:rsidRDefault="00000000">
            <w:r>
              <w:rPr>
                <w:sz w:val="20"/>
                <w:szCs w:val="20"/>
              </w:rPr>
              <w:t>04_central_bank_scraper/notebook.ipynb</w:t>
            </w:r>
          </w:p>
        </w:tc>
        <w:tc>
          <w:tcPr>
            <w:tcW w:w="4680" w:type="dxa"/>
            <w:tcBorders>
              <w:top w:val="single" w:sz="1" w:space="0" w:color="CCCCCC"/>
              <w:left w:val="single" w:sz="1" w:space="0" w:color="CCCCCC"/>
              <w:bottom w:val="single" w:sz="1" w:space="0" w:color="CCCCCC"/>
              <w:right w:val="single" w:sz="1" w:space="0" w:color="CCCCCC"/>
            </w:tcBorders>
            <w:shd w:val="clear" w:color="auto" w:fill="F5F7FC"/>
            <w:tcMar>
              <w:top w:w="80" w:type="dxa"/>
              <w:left w:w="120" w:type="dxa"/>
              <w:bottom w:w="80" w:type="dxa"/>
              <w:right w:w="120" w:type="dxa"/>
            </w:tcMar>
          </w:tcPr>
          <w:p w14:paraId="74DEC828" w14:textId="77777777" w:rsidR="00DD0933" w:rsidRDefault="00000000">
            <w:r>
              <w:rPr>
                <w:sz w:val="20"/>
                <w:szCs w:val="20"/>
              </w:rPr>
              <w:t>Main narrative notebook — runs all scrapers and assembles master CSV</w:t>
            </w:r>
          </w:p>
        </w:tc>
      </w:tr>
      <w:tr w:rsidR="00DD0933" w14:paraId="52126DFB"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2BB084" w14:textId="77777777" w:rsidR="00DD0933" w:rsidRDefault="00000000">
            <w:r>
              <w:rPr>
                <w:sz w:val="20"/>
                <w:szCs w:val="20"/>
              </w:rPr>
              <w:t>scrapers/rbi_scraper.py</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1F7D31" w14:textId="77777777" w:rsidR="00DD0933" w:rsidRDefault="00000000">
            <w:r>
              <w:rPr>
                <w:sz w:val="20"/>
                <w:szCs w:val="20"/>
              </w:rPr>
              <w:t>RBI Governor's Statement scraper (HTTP)</w:t>
            </w:r>
          </w:p>
        </w:tc>
      </w:tr>
      <w:tr w:rsidR="00DD0933" w14:paraId="70DBA7F4"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5F7FC"/>
            <w:tcMar>
              <w:top w:w="80" w:type="dxa"/>
              <w:left w:w="120" w:type="dxa"/>
              <w:bottom w:w="80" w:type="dxa"/>
              <w:right w:w="120" w:type="dxa"/>
            </w:tcMar>
          </w:tcPr>
          <w:p w14:paraId="28122454" w14:textId="77777777" w:rsidR="00DD0933" w:rsidRDefault="00000000">
            <w:r>
              <w:rPr>
                <w:sz w:val="20"/>
                <w:szCs w:val="20"/>
              </w:rPr>
              <w:t>scrapers/cbr_scraper.py</w:t>
            </w:r>
          </w:p>
        </w:tc>
        <w:tc>
          <w:tcPr>
            <w:tcW w:w="4680" w:type="dxa"/>
            <w:tcBorders>
              <w:top w:val="single" w:sz="1" w:space="0" w:color="CCCCCC"/>
              <w:left w:val="single" w:sz="1" w:space="0" w:color="CCCCCC"/>
              <w:bottom w:val="single" w:sz="1" w:space="0" w:color="CCCCCC"/>
              <w:right w:val="single" w:sz="1" w:space="0" w:color="CCCCCC"/>
            </w:tcBorders>
            <w:shd w:val="clear" w:color="auto" w:fill="F5F7FC"/>
            <w:tcMar>
              <w:top w:w="80" w:type="dxa"/>
              <w:left w:w="120" w:type="dxa"/>
              <w:bottom w:w="80" w:type="dxa"/>
              <w:right w:w="120" w:type="dxa"/>
            </w:tcMar>
          </w:tcPr>
          <w:p w14:paraId="5B0884CE" w14:textId="77777777" w:rsidR="00DD0933" w:rsidRDefault="00000000">
            <w:r>
              <w:rPr>
                <w:sz w:val="20"/>
                <w:szCs w:val="20"/>
              </w:rPr>
              <w:t>CBR key rate press release scraper (HTTP)</w:t>
            </w:r>
          </w:p>
        </w:tc>
      </w:tr>
      <w:tr w:rsidR="00DD0933" w14:paraId="4830E613"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C722AB" w14:textId="77777777" w:rsidR="00DD0933" w:rsidRDefault="00000000">
            <w:r>
              <w:rPr>
                <w:sz w:val="20"/>
                <w:szCs w:val="20"/>
              </w:rPr>
              <w:t>scrapers/sarb_scraper.py</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89CAAC" w14:textId="77777777" w:rsidR="00DD0933" w:rsidRDefault="00000000">
            <w:r>
              <w:rPr>
                <w:sz w:val="20"/>
                <w:szCs w:val="20"/>
              </w:rPr>
              <w:t>SARB MPC statement scraper (Selenium)</w:t>
            </w:r>
          </w:p>
        </w:tc>
      </w:tr>
      <w:tr w:rsidR="00DD0933" w14:paraId="7BFA02C6"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5F7FC"/>
            <w:tcMar>
              <w:top w:w="80" w:type="dxa"/>
              <w:left w:w="120" w:type="dxa"/>
              <w:bottom w:w="80" w:type="dxa"/>
              <w:right w:w="120" w:type="dxa"/>
            </w:tcMar>
          </w:tcPr>
          <w:p w14:paraId="16F74C95" w14:textId="77777777" w:rsidR="00DD0933" w:rsidRDefault="00000000">
            <w:r>
              <w:rPr>
                <w:sz w:val="20"/>
                <w:szCs w:val="20"/>
              </w:rPr>
              <w:t>scrapers/pboc_scraper.py</w:t>
            </w:r>
          </w:p>
        </w:tc>
        <w:tc>
          <w:tcPr>
            <w:tcW w:w="4680" w:type="dxa"/>
            <w:tcBorders>
              <w:top w:val="single" w:sz="1" w:space="0" w:color="CCCCCC"/>
              <w:left w:val="single" w:sz="1" w:space="0" w:color="CCCCCC"/>
              <w:bottom w:val="single" w:sz="1" w:space="0" w:color="CCCCCC"/>
              <w:right w:val="single" w:sz="1" w:space="0" w:color="CCCCCC"/>
            </w:tcBorders>
            <w:shd w:val="clear" w:color="auto" w:fill="F5F7FC"/>
            <w:tcMar>
              <w:top w:w="80" w:type="dxa"/>
              <w:left w:w="120" w:type="dxa"/>
              <w:bottom w:w="80" w:type="dxa"/>
              <w:right w:w="120" w:type="dxa"/>
            </w:tcMar>
          </w:tcPr>
          <w:p w14:paraId="2841B643" w14:textId="77777777" w:rsidR="00DD0933" w:rsidRDefault="00000000">
            <w:r>
              <w:rPr>
                <w:sz w:val="20"/>
                <w:szCs w:val="20"/>
              </w:rPr>
              <w:t>PBOC data source documentation (BIS)</w:t>
            </w:r>
          </w:p>
        </w:tc>
      </w:tr>
      <w:tr w:rsidR="00DD0933" w14:paraId="220FB81F"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496F59" w14:textId="77777777" w:rsidR="00DD0933" w:rsidRDefault="00000000">
            <w:r>
              <w:rPr>
                <w:sz w:val="20"/>
                <w:szCs w:val="20"/>
              </w:rPr>
              <w:t>scrapers/bcb_scraper.py</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41881E" w14:textId="77777777" w:rsidR="00DD0933" w:rsidRDefault="00000000">
            <w:r>
              <w:rPr>
                <w:sz w:val="20"/>
                <w:szCs w:val="20"/>
              </w:rPr>
              <w:t>BCB exclusion documentation</w:t>
            </w:r>
          </w:p>
        </w:tc>
      </w:tr>
      <w:tr w:rsidR="00DD0933" w14:paraId="0B8E9FFA"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5F7FC"/>
            <w:tcMar>
              <w:top w:w="80" w:type="dxa"/>
              <w:left w:w="120" w:type="dxa"/>
              <w:bottom w:w="80" w:type="dxa"/>
              <w:right w:w="120" w:type="dxa"/>
            </w:tcMar>
          </w:tcPr>
          <w:p w14:paraId="50175334" w14:textId="77777777" w:rsidR="00DD0933" w:rsidRDefault="00000000">
            <w:r>
              <w:rPr>
                <w:sz w:val="20"/>
                <w:szCs w:val="20"/>
              </w:rPr>
              <w:t>data/rbi_statements.csv</w:t>
            </w:r>
          </w:p>
        </w:tc>
        <w:tc>
          <w:tcPr>
            <w:tcW w:w="4680" w:type="dxa"/>
            <w:tcBorders>
              <w:top w:val="single" w:sz="1" w:space="0" w:color="CCCCCC"/>
              <w:left w:val="single" w:sz="1" w:space="0" w:color="CCCCCC"/>
              <w:bottom w:val="single" w:sz="1" w:space="0" w:color="CCCCCC"/>
              <w:right w:val="single" w:sz="1" w:space="0" w:color="CCCCCC"/>
            </w:tcBorders>
            <w:shd w:val="clear" w:color="auto" w:fill="F5F7FC"/>
            <w:tcMar>
              <w:top w:w="80" w:type="dxa"/>
              <w:left w:w="120" w:type="dxa"/>
              <w:bottom w:w="80" w:type="dxa"/>
              <w:right w:w="120" w:type="dxa"/>
            </w:tcMar>
          </w:tcPr>
          <w:p w14:paraId="29DFD8D8" w14:textId="77777777" w:rsidR="00DD0933" w:rsidRDefault="00000000">
            <w:r>
              <w:rPr>
                <w:sz w:val="20"/>
                <w:szCs w:val="20"/>
              </w:rPr>
              <w:t>66 RBI Governor's Statements, 2016–2026</w:t>
            </w:r>
          </w:p>
        </w:tc>
      </w:tr>
      <w:tr w:rsidR="00DD0933" w14:paraId="3FD51904"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9BF490" w14:textId="77777777" w:rsidR="00DD0933" w:rsidRDefault="00000000">
            <w:r>
              <w:rPr>
                <w:sz w:val="20"/>
                <w:szCs w:val="20"/>
              </w:rPr>
              <w:t>data/cbr_statements.csv</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0221BC" w14:textId="77777777" w:rsidR="00DD0933" w:rsidRDefault="00000000">
            <w:r>
              <w:rPr>
                <w:sz w:val="20"/>
                <w:szCs w:val="20"/>
              </w:rPr>
              <w:t>51 CBR key rate press releases, 2018–2026</w:t>
            </w:r>
          </w:p>
        </w:tc>
      </w:tr>
      <w:tr w:rsidR="00DD0933" w14:paraId="6AF48861"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5F7FC"/>
            <w:tcMar>
              <w:top w:w="80" w:type="dxa"/>
              <w:left w:w="120" w:type="dxa"/>
              <w:bottom w:w="80" w:type="dxa"/>
              <w:right w:w="120" w:type="dxa"/>
            </w:tcMar>
          </w:tcPr>
          <w:p w14:paraId="6D2D81B2" w14:textId="77777777" w:rsidR="00DD0933" w:rsidRDefault="00000000">
            <w:r>
              <w:rPr>
                <w:sz w:val="20"/>
                <w:szCs w:val="20"/>
              </w:rPr>
              <w:t>data/sarb_statements.csv</w:t>
            </w:r>
          </w:p>
        </w:tc>
        <w:tc>
          <w:tcPr>
            <w:tcW w:w="4680" w:type="dxa"/>
            <w:tcBorders>
              <w:top w:val="single" w:sz="1" w:space="0" w:color="CCCCCC"/>
              <w:left w:val="single" w:sz="1" w:space="0" w:color="CCCCCC"/>
              <w:bottom w:val="single" w:sz="1" w:space="0" w:color="CCCCCC"/>
              <w:right w:val="single" w:sz="1" w:space="0" w:color="CCCCCC"/>
            </w:tcBorders>
            <w:shd w:val="clear" w:color="auto" w:fill="F5F7FC"/>
            <w:tcMar>
              <w:top w:w="80" w:type="dxa"/>
              <w:left w:w="120" w:type="dxa"/>
              <w:bottom w:w="80" w:type="dxa"/>
              <w:right w:w="120" w:type="dxa"/>
            </w:tcMar>
          </w:tcPr>
          <w:p w14:paraId="05D5824D" w14:textId="77777777" w:rsidR="00DD0933" w:rsidRDefault="00000000">
            <w:r>
              <w:rPr>
                <w:sz w:val="20"/>
                <w:szCs w:val="20"/>
              </w:rPr>
              <w:t>57 SARB MPC statements, 2006–2026</w:t>
            </w:r>
          </w:p>
        </w:tc>
      </w:tr>
      <w:tr w:rsidR="00DD0933" w14:paraId="2B6D36AC"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20EB39" w14:textId="77777777" w:rsidR="00DD0933" w:rsidRDefault="00000000">
            <w:r>
              <w:rPr>
                <w:sz w:val="20"/>
                <w:szCs w:val="20"/>
              </w:rPr>
              <w:t>data/pboc_statements.csv</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ECB876" w14:textId="77777777" w:rsidR="00DD0933" w:rsidRDefault="00000000">
            <w:r>
              <w:rPr>
                <w:sz w:val="20"/>
                <w:szCs w:val="20"/>
              </w:rPr>
              <w:t>131 PBOC speeches/statements, 1996–2025</w:t>
            </w:r>
          </w:p>
        </w:tc>
      </w:tr>
      <w:tr w:rsidR="00DD0933" w14:paraId="19D0C563"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5F7FC"/>
            <w:tcMar>
              <w:top w:w="80" w:type="dxa"/>
              <w:left w:w="120" w:type="dxa"/>
              <w:bottom w:w="80" w:type="dxa"/>
              <w:right w:w="120" w:type="dxa"/>
            </w:tcMar>
          </w:tcPr>
          <w:p w14:paraId="17D739FB" w14:textId="77777777" w:rsidR="00DD0933" w:rsidRDefault="00000000">
            <w:r>
              <w:rPr>
                <w:sz w:val="20"/>
                <w:szCs w:val="20"/>
              </w:rPr>
              <w:t>data/brics_mpc_statements.csv</w:t>
            </w:r>
          </w:p>
        </w:tc>
        <w:tc>
          <w:tcPr>
            <w:tcW w:w="4680" w:type="dxa"/>
            <w:tcBorders>
              <w:top w:val="single" w:sz="1" w:space="0" w:color="CCCCCC"/>
              <w:left w:val="single" w:sz="1" w:space="0" w:color="CCCCCC"/>
              <w:bottom w:val="single" w:sz="1" w:space="0" w:color="CCCCCC"/>
              <w:right w:val="single" w:sz="1" w:space="0" w:color="CCCCCC"/>
            </w:tcBorders>
            <w:shd w:val="clear" w:color="auto" w:fill="F5F7FC"/>
            <w:tcMar>
              <w:top w:w="80" w:type="dxa"/>
              <w:left w:w="120" w:type="dxa"/>
              <w:bottom w:w="80" w:type="dxa"/>
              <w:right w:w="120" w:type="dxa"/>
            </w:tcMar>
          </w:tcPr>
          <w:p w14:paraId="36D80F53" w14:textId="77777777" w:rsidR="00DD0933" w:rsidRDefault="00000000">
            <w:r>
              <w:rPr>
                <w:sz w:val="20"/>
                <w:szCs w:val="20"/>
              </w:rPr>
              <w:t>Master dataset — 305 statements, all four banks</w:t>
            </w:r>
          </w:p>
        </w:tc>
      </w:tr>
    </w:tbl>
    <w:p w14:paraId="79311F75" w14:textId="77777777" w:rsidR="00A10DB9" w:rsidRDefault="00A10DB9"/>
    <w:sectPr w:rsidR="00A10DB9" w:rsidSect="004D02F1">
      <w:footerReference w:type="default" r:id="rId7"/>
      <w:pgSz w:w="12240" w:h="15840"/>
      <w:pgMar w:top="88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5BF76E" w14:textId="77777777" w:rsidR="00A10DB9" w:rsidRDefault="00A10DB9">
      <w:r>
        <w:separator/>
      </w:r>
    </w:p>
  </w:endnote>
  <w:endnote w:type="continuationSeparator" w:id="0">
    <w:p w14:paraId="06B49731" w14:textId="77777777" w:rsidR="00A10DB9" w:rsidRDefault="00A10DB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1BAE35" w14:textId="77777777" w:rsidR="00DD0933" w:rsidRDefault="00000000">
    <w:pPr>
      <w:jc w:val="center"/>
    </w:pPr>
    <w:r>
      <w:rPr>
        <w:color w:val="888888"/>
        <w:sz w:val="18"/>
        <w:szCs w:val="18"/>
      </w:rPr>
      <w:t xml:space="preserve">Project 4 — BRICS Trade Labour Portfolio  |  Page </w:t>
    </w:r>
    <w:r>
      <w:rPr>
        <w:color w:val="888888"/>
        <w:sz w:val="18"/>
        <w:szCs w:val="18"/>
      </w:rPr>
      <w:fldChar w:fldCharType="begin"/>
    </w:r>
    <w:r>
      <w:rPr>
        <w:color w:val="888888"/>
        <w:sz w:val="18"/>
        <w:szCs w:val="18"/>
      </w:rPr>
      <w:instrText>PAGE</w:instrText>
    </w:r>
    <w:r>
      <w:rPr>
        <w:color w:val="888888"/>
        <w:sz w:val="18"/>
        <w:szCs w:val="18"/>
      </w:rPr>
      <w:fldChar w:fldCharType="separate"/>
    </w:r>
    <w:r w:rsidR="004D02F1">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FA1AC9" w14:textId="77777777" w:rsidR="00A10DB9" w:rsidRDefault="00A10DB9">
      <w:r>
        <w:separator/>
      </w:r>
    </w:p>
  </w:footnote>
  <w:footnote w:type="continuationSeparator" w:id="0">
    <w:p w14:paraId="576219B5" w14:textId="77777777" w:rsidR="00A10DB9" w:rsidRDefault="00A10DB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C88681D"/>
    <w:multiLevelType w:val="hybridMultilevel"/>
    <w:tmpl w:val="D6087E4C"/>
    <w:lvl w:ilvl="0" w:tplc="A1FE32B2">
      <w:start w:val="1"/>
      <w:numFmt w:val="bullet"/>
      <w:lvlText w:val="●"/>
      <w:lvlJc w:val="left"/>
      <w:pPr>
        <w:ind w:left="720" w:hanging="360"/>
      </w:pPr>
    </w:lvl>
    <w:lvl w:ilvl="1" w:tplc="4766A71A">
      <w:start w:val="1"/>
      <w:numFmt w:val="bullet"/>
      <w:lvlText w:val="○"/>
      <w:lvlJc w:val="left"/>
      <w:pPr>
        <w:ind w:left="1440" w:hanging="360"/>
      </w:pPr>
    </w:lvl>
    <w:lvl w:ilvl="2" w:tplc="FA7C1BF8">
      <w:start w:val="1"/>
      <w:numFmt w:val="bullet"/>
      <w:lvlText w:val="■"/>
      <w:lvlJc w:val="left"/>
      <w:pPr>
        <w:ind w:left="2160" w:hanging="360"/>
      </w:pPr>
    </w:lvl>
    <w:lvl w:ilvl="3" w:tplc="6FDE29E2">
      <w:start w:val="1"/>
      <w:numFmt w:val="bullet"/>
      <w:lvlText w:val="●"/>
      <w:lvlJc w:val="left"/>
      <w:pPr>
        <w:ind w:left="2880" w:hanging="360"/>
      </w:pPr>
    </w:lvl>
    <w:lvl w:ilvl="4" w:tplc="45FEAB94">
      <w:start w:val="1"/>
      <w:numFmt w:val="bullet"/>
      <w:lvlText w:val="○"/>
      <w:lvlJc w:val="left"/>
      <w:pPr>
        <w:ind w:left="3600" w:hanging="360"/>
      </w:pPr>
    </w:lvl>
    <w:lvl w:ilvl="5" w:tplc="C8BA01DA">
      <w:start w:val="1"/>
      <w:numFmt w:val="bullet"/>
      <w:lvlText w:val="■"/>
      <w:lvlJc w:val="left"/>
      <w:pPr>
        <w:ind w:left="4320" w:hanging="360"/>
      </w:pPr>
    </w:lvl>
    <w:lvl w:ilvl="6" w:tplc="89666D5E">
      <w:start w:val="1"/>
      <w:numFmt w:val="bullet"/>
      <w:lvlText w:val="●"/>
      <w:lvlJc w:val="left"/>
      <w:pPr>
        <w:ind w:left="5040" w:hanging="360"/>
      </w:pPr>
    </w:lvl>
    <w:lvl w:ilvl="7" w:tplc="40C09028">
      <w:start w:val="1"/>
      <w:numFmt w:val="bullet"/>
      <w:lvlText w:val="●"/>
      <w:lvlJc w:val="left"/>
      <w:pPr>
        <w:ind w:left="5760" w:hanging="360"/>
      </w:pPr>
    </w:lvl>
    <w:lvl w:ilvl="8" w:tplc="D0222740">
      <w:start w:val="1"/>
      <w:numFmt w:val="bullet"/>
      <w:lvlText w:val="●"/>
      <w:lvlJc w:val="left"/>
      <w:pPr>
        <w:ind w:left="6480" w:hanging="360"/>
      </w:pPr>
    </w:lvl>
  </w:abstractNum>
  <w:abstractNum w:abstractNumId="1" w15:restartNumberingAfterBreak="0">
    <w:nsid w:val="79743BE4"/>
    <w:multiLevelType w:val="hybridMultilevel"/>
    <w:tmpl w:val="D41A886E"/>
    <w:lvl w:ilvl="0" w:tplc="672C8708">
      <w:start w:val="1"/>
      <w:numFmt w:val="bullet"/>
      <w:lvlText w:val="•"/>
      <w:lvlJc w:val="left"/>
      <w:pPr>
        <w:ind w:left="720" w:hanging="360"/>
      </w:pPr>
    </w:lvl>
    <w:lvl w:ilvl="1" w:tplc="C374B7C4">
      <w:numFmt w:val="decimal"/>
      <w:lvlText w:val=""/>
      <w:lvlJc w:val="left"/>
    </w:lvl>
    <w:lvl w:ilvl="2" w:tplc="505C5336">
      <w:numFmt w:val="decimal"/>
      <w:lvlText w:val=""/>
      <w:lvlJc w:val="left"/>
    </w:lvl>
    <w:lvl w:ilvl="3" w:tplc="BA1C3F94">
      <w:numFmt w:val="decimal"/>
      <w:lvlText w:val=""/>
      <w:lvlJc w:val="left"/>
    </w:lvl>
    <w:lvl w:ilvl="4" w:tplc="816EBE50">
      <w:numFmt w:val="decimal"/>
      <w:lvlText w:val=""/>
      <w:lvlJc w:val="left"/>
    </w:lvl>
    <w:lvl w:ilvl="5" w:tplc="9836D4BC">
      <w:numFmt w:val="decimal"/>
      <w:lvlText w:val=""/>
      <w:lvlJc w:val="left"/>
    </w:lvl>
    <w:lvl w:ilvl="6" w:tplc="A99EBC44">
      <w:numFmt w:val="decimal"/>
      <w:lvlText w:val=""/>
      <w:lvlJc w:val="left"/>
    </w:lvl>
    <w:lvl w:ilvl="7" w:tplc="EFC866D4">
      <w:numFmt w:val="decimal"/>
      <w:lvlText w:val=""/>
      <w:lvlJc w:val="left"/>
    </w:lvl>
    <w:lvl w:ilvl="8" w:tplc="51AC8898">
      <w:numFmt w:val="decimal"/>
      <w:lvlText w:val=""/>
      <w:lvlJc w:val="left"/>
    </w:lvl>
  </w:abstractNum>
  <w:num w:numId="1" w16cid:durableId="1068309068">
    <w:abstractNumId w:val="0"/>
    <w:lvlOverride w:ilvl="0">
      <w:startOverride w:val="1"/>
    </w:lvlOverride>
  </w:num>
  <w:num w:numId="2" w16cid:durableId="164319132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0933"/>
    <w:rsid w:val="004D02F1"/>
    <w:rsid w:val="00A10DB9"/>
    <w:rsid w:val="00DD0933"/>
  </w:rsids>
  <m:mathPr>
    <m:mathFont m:val="Cambria Math"/>
    <m:brkBin m:val="before"/>
    <m:brkBinSub m:val="--"/>
    <m:smallFrac m:val="0"/>
    <m:dispDef/>
    <m:lMargin m:val="0"/>
    <m:rMargin m:val="0"/>
    <m:defJc m:val="centerGroup"/>
    <m:wrapIndent m:val="1440"/>
    <m:intLim m:val="subSup"/>
    <m:naryLim m:val="undOvr"/>
  </m:mathPr>
  <w:themeFontLang w:val="en-FR"/>
  <w:clrSchemeMapping w:bg1="light1" w:t1="dark1" w:bg2="light2" w:t2="dark2" w:accent1="accent1" w:accent2="accent2" w:accent3="accent3" w:accent4="accent4" w:accent5="accent5" w:accent6="accent6" w:hyperlink="hyperlink" w:followedHyperlink="followedHyperlink"/>
  <w:decimalSymbol w:val="."/>
  <w:listSeparator w:val=","/>
  <w14:docId w14:val="7CE0B75A"/>
  <w15:docId w15:val="{3C470569-CFE4-F941-91A0-9056B424E6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FR"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200"/>
      <w:outlineLvl w:val="0"/>
    </w:pPr>
    <w:rPr>
      <w:b/>
      <w:bCs/>
      <w:color w:val="1F3864"/>
      <w:sz w:val="32"/>
      <w:szCs w:val="32"/>
    </w:rPr>
  </w:style>
  <w:style w:type="paragraph" w:styleId="Heading2">
    <w:name w:val="heading 2"/>
    <w:uiPriority w:val="9"/>
    <w:unhideWhenUsed/>
    <w:qFormat/>
    <w:pPr>
      <w:spacing w:before="300" w:after="160"/>
      <w:outlineLvl w:val="1"/>
    </w:pPr>
    <w:rPr>
      <w:b/>
      <w:bCs/>
      <w:color w:val="2E4B8F"/>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7</Pages>
  <Words>1953</Words>
  <Characters>11138</Characters>
  <Application>Microsoft Office Word</Application>
  <DocSecurity>0</DocSecurity>
  <Lines>92</Lines>
  <Paragraphs>26</Paragraphs>
  <ScaleCrop>false</ScaleCrop>
  <Company/>
  <LinksUpToDate>false</LinksUpToDate>
  <CharactersWithSpaces>13065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PRAKASH SRIDEVI Aadhitya Tejaswin</cp:lastModifiedBy>
  <cp:revision>2</cp:revision>
  <cp:lastPrinted>2026-03-15T10:12:00Z</cp:lastPrinted>
  <dcterms:created xsi:type="dcterms:W3CDTF">2026-03-15T10:05:00Z</dcterms:created>
  <dcterms:modified xsi:type="dcterms:W3CDTF">2026-03-15T10:12:00Z</dcterms:modified>
</cp:coreProperties>
</file>