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hd w:fill="1F3864" w:val="clear"/>
        <w:spacing w:after="80"/>
      </w:pPr>
      <w:r>
        <w:rPr>
          <w:rFonts w:ascii="Arial" w:cs="Arial" w:eastAsia="Arial" w:hAnsi="Arial"/>
          <w:sz w:val="8"/>
          <w:szCs w:val="8"/>
        </w:rPr>
        <w:t xml:space="preserve"/>
      </w:r>
    </w:p>
    <w:p>
      <w:pPr>
        <w:shd w:fill="1F3864" w:val="clear"/>
        <w:spacing w:after="0"/>
        <w:jc w:val="left"/>
      </w:pPr>
      <w:r>
        <w:rPr>
          <w:rFonts w:ascii="Arial" w:cs="Arial" w:eastAsia="Arial" w:hAnsi="Arial"/>
          <w:b/>
          <w:bCs/>
          <w:color w:val="FFFFFF"/>
          <w:sz w:val="36"/>
          <w:szCs w:val="36"/>
        </w:rPr>
        <w:t xml:space="preserve">  Project 2 — Exchange Rate Volatility and Export Margins</w:t>
      </w:r>
    </w:p>
    <w:p>
      <w:pPr>
        <w:shd w:fill="2E75B6" w:val="clear"/>
        <w:spacing w:after="0"/>
        <w:jc w:val="left"/>
      </w:pPr>
      <w:r>
        <w:rPr>
          <w:rFonts w:ascii="Arial" w:cs="Arial" w:eastAsia="Arial" w:hAnsi="Arial"/>
          <w:color w:val="FFFFFF"/>
          <w:sz w:val="24"/>
          <w:szCs w:val="24"/>
        </w:rPr>
        <w:t xml:space="preserve">  Do-file 02: Panel Construction and Variable Generation — Full Documentation</w:t>
      </w:r>
    </w:p>
    <w:p>
      <w:pPr>
        <w:shd w:fill="1F3864" w:val="clear"/>
        <w:spacing w:after="80"/>
      </w:pPr>
      <w:r>
        <w:rPr>
          <w:rFonts w:ascii="Arial" w:cs="Arial" w:eastAsia="Arial" w:hAnsi="Arial"/>
          <w:color w:val="D6E4F0"/>
          <w:sz w:val="19"/>
          <w:szCs w:val="19"/>
        </w:rPr>
        <w:t xml:space="preserve">  Author: Aadhitya   |   Date: June 2026   |   BRICS-Trade-Labour-Portfolio</w:t>
      </w:r>
    </w:p>
    <w:p>
      <w:pPr>
        <w:shd w:fill="2E75B6" w:val="clear"/>
        <w:spacing w:after="0"/>
      </w:pPr>
      <w:r>
        <w:rPr>
          <w:rFonts w:ascii="Arial" w:cs="Arial" w:eastAsia="Arial" w:hAnsi="Arial"/>
          <w:sz w:val="6"/>
          <w:szCs w:val="6"/>
        </w:rPr>
        <w:t xml:space="preserve"/>
      </w:r>
    </w:p>
    <w:p>
      <w:pPr>
        <w:spacing w:after="240"/>
      </w:pPr>
    </w:p>
    <w:p>
      <w:pPr>
        <w:pStyle w:val="Heading1"/>
      </w:pPr>
      <w:r>
        <w:rPr>
          <w:rFonts w:ascii="Arial" w:cs="Arial" w:eastAsia="Arial" w:hAnsi="Arial"/>
          <w:b/>
          <w:bCs/>
          <w:color w:val="1F3864"/>
          <w:sz w:val="32"/>
          <w:szCs w:val="32"/>
        </w:rPr>
        <w:t xml:space="preserve">1. Purpose and Scope</w:t>
      </w:r>
    </w:p>
    <w:p>
      <w:pPr>
        <w:spacing w:after="120" w:before="0"/>
        <w:jc w:val="left"/>
      </w:pPr>
      <w:r>
        <w:rPr>
          <w:rFonts w:ascii="Arial" w:cs="Arial" w:eastAsia="Arial" w:hAnsi="Arial"/>
          <w:b w:val="false"/>
          <w:bCs w:val="false"/>
          <w:i w:val="false"/>
          <w:iCs w:val="false"/>
          <w:color w:val="000000"/>
          <w:sz w:val="22"/>
          <w:szCs w:val="22"/>
        </w:rPr>
        <w:t xml:space="preserve">02_merge.do is the second of three do-files in Project 2. It takes the two clean datasets produced by 01_clean.do — brics_trade_panel.dta and volatility_panel.dta — merges them with CEPII GeoDist gravity controls, and generates all analysis variables required by 03_analysis.do. Its output is master_panel.dta, the single analysis-ready dataset used in all three regression specifications.</w:t>
      </w:r>
    </w:p>
    <w:p>
      <w:pPr>
        <w:spacing w:after="80"/>
      </w:pPr>
    </w:p>
    <w:p>
      <w:pPr>
        <w:spacing w:after="120" w:before="0"/>
        <w:jc w:val="left"/>
      </w:pPr>
      <w:r>
        <w:rPr>
          <w:rFonts w:ascii="Arial" w:cs="Arial" w:eastAsia="Arial" w:hAnsi="Arial"/>
          <w:b w:val="false"/>
          <w:bCs w:val="false"/>
          <w:i w:val="false"/>
          <w:iCs w:val="false"/>
          <w:color w:val="000000"/>
          <w:sz w:val="22"/>
          <w:szCs w:val="22"/>
        </w:rPr>
        <w:t xml:space="preserve">The do-file has five sections:</w:t>
      </w:r>
    </w:p>
    <w:p>
      <w:pPr>
        <w:pStyle w:val="ListParagraph"/>
        <w:numPr>
          <w:ilvl w:val="0"/>
          <w:numId w:val="2"/>
        </w:numPr>
        <w:spacing w:after="80"/>
      </w:pPr>
      <w:r>
        <w:rPr>
          <w:rFonts w:ascii="Arial" w:cs="Arial" w:eastAsia="Arial" w:hAnsi="Arial"/>
          <w:b w:val="false"/>
          <w:bCs w:val="false"/>
          <w:i w:val="false"/>
          <w:iCs w:val="false"/>
          <w:sz w:val="22"/>
          <w:szCs w:val="22"/>
        </w:rPr>
        <w:t xml:space="preserve">Section 1: Load the trade panel and standardise variable types for clean merging</w:t>
      </w:r>
    </w:p>
    <w:p>
      <w:pPr>
        <w:pStyle w:val="ListParagraph"/>
        <w:numPr>
          <w:ilvl w:val="0"/>
          <w:numId w:val="2"/>
        </w:numPr>
        <w:spacing w:after="80"/>
      </w:pPr>
      <w:r>
        <w:rPr>
          <w:rFonts w:ascii="Arial" w:cs="Arial" w:eastAsia="Arial" w:hAnsi="Arial"/>
          <w:b w:val="false"/>
          <w:bCs w:val="false"/>
          <w:i w:val="false"/>
          <w:iCs w:val="false"/>
          <w:sz w:val="22"/>
          <w:szCs w:val="22"/>
        </w:rPr>
        <w:t xml:space="preserve">Section 2: Merge the volatility panel on exporter-importer-year</w:t>
      </w:r>
    </w:p>
    <w:p>
      <w:pPr>
        <w:pStyle w:val="ListParagraph"/>
        <w:numPr>
          <w:ilvl w:val="0"/>
          <w:numId w:val="2"/>
        </w:numPr>
        <w:spacing w:after="80"/>
      </w:pPr>
      <w:r>
        <w:rPr>
          <w:rFonts w:ascii="Arial" w:cs="Arial" w:eastAsia="Arial" w:hAnsi="Arial"/>
          <w:b w:val="false"/>
          <w:bCs w:val="false"/>
          <w:i w:val="false"/>
          <w:iCs w:val="false"/>
          <w:sz w:val="22"/>
          <w:szCs w:val="22"/>
        </w:rPr>
        <w:t xml:space="preserve">Section 3: Merge GeoDist gravity controls on exporter-importer pair</w:t>
      </w:r>
    </w:p>
    <w:p>
      <w:pPr>
        <w:pStyle w:val="ListParagraph"/>
        <w:numPr>
          <w:ilvl w:val="0"/>
          <w:numId w:val="2"/>
        </w:numPr>
        <w:spacing w:after="80"/>
      </w:pPr>
      <w:r>
        <w:rPr>
          <w:rFonts w:ascii="Arial" w:cs="Arial" w:eastAsia="Arial" w:hAnsi="Arial"/>
          <w:b w:val="false"/>
          <w:bCs w:val="false"/>
          <w:i w:val="false"/>
          <w:iCs w:val="false"/>
          <w:sz w:val="22"/>
          <w:szCs w:val="22"/>
        </w:rPr>
        <w:t xml:space="preserve">Section 4: Generate all analysis variables — dependent variables, log transformations, fixed effect identifiers, and the Russia sensitivity indicator</w:t>
      </w:r>
    </w:p>
    <w:p>
      <w:pPr>
        <w:pStyle w:val="ListParagraph"/>
        <w:numPr>
          <w:ilvl w:val="0"/>
          <w:numId w:val="2"/>
        </w:numPr>
        <w:spacing w:after="80"/>
      </w:pPr>
      <w:r>
        <w:rPr>
          <w:rFonts w:ascii="Arial" w:cs="Arial" w:eastAsia="Arial" w:hAnsi="Arial"/>
          <w:b w:val="false"/>
          <w:bCs w:val="false"/>
          <w:i w:val="false"/>
          <w:iCs w:val="false"/>
          <w:sz w:val="22"/>
          <w:szCs w:val="22"/>
        </w:rPr>
        <w:t xml:space="preserve">Section 5: Data quality checks and save master_panel.dta</w:t>
      </w:r>
    </w:p>
    <w:p>
      <w:pPr>
        <w:pBdr>
          <w:bottom w:val="single" w:color="2E75B6" w:sz="6" w:space="1"/>
        </w:pBdr>
        <w:spacing w:after="160" w:before="160"/>
      </w:pPr>
    </w:p>
    <w:p>
      <w:pPr>
        <w:pStyle w:val="Heading1"/>
      </w:pPr>
      <w:r>
        <w:rPr>
          <w:rFonts w:ascii="Arial" w:cs="Arial" w:eastAsia="Arial" w:hAnsi="Arial"/>
          <w:b/>
          <w:bCs/>
          <w:color w:val="1F3864"/>
          <w:sz w:val="32"/>
          <w:szCs w:val="32"/>
        </w:rPr>
        <w:t xml:space="preserve">2. File Locations</w:t>
      </w:r>
    </w:p>
    <w:p>
      <w:pPr>
        <w:pStyle w:val="Heading2"/>
      </w:pPr>
      <w:r>
        <w:rPr>
          <w:rFonts w:ascii="Arial" w:cs="Arial" w:eastAsia="Arial" w:hAnsi="Arial"/>
          <w:b/>
          <w:bCs/>
          <w:color w:val="2E75B6"/>
          <w:sz w:val="26"/>
          <w:szCs w:val="26"/>
        </w:rPr>
        <w:t xml:space="preserve">2.1  Inputs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426"/>
      </w:tblGrid>
      <w:tr>
        <w:trPr>
          <w:tblHeader/>
        </w:trPr>
        <w:tc>
          <w:tcPr>
            <w:tcW w:type="dxa" w:w="26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File</w:t>
            </w:r>
          </w:p>
        </w:tc>
        <w:tc>
          <w:tcPr>
            <w:tcW w:type="dxa" w:w="2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Location</w:t>
            </w:r>
          </w:p>
        </w:tc>
        <w:tc>
          <w:tcPr>
            <w:tcW w:type="dxa" w:w="44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brics_trade_panel.dta</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data/</w:t>
            </w:r>
          </w:p>
        </w:tc>
        <w:tc>
          <w:tcPr>
            <w:tcW w:type="dxa" w:w="44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23,940 obs — exporter, importer, year, trade (USD thousands). Output of 01_clean.do Section 1.</w:t>
            </w:r>
          </w:p>
        </w:tc>
      </w:tr>
      <w:tr>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volatility_panel.dta</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data/</w:t>
            </w:r>
          </w:p>
        </w:tc>
        <w:tc>
          <w:tcPr>
            <w:tcW w:type="dxa" w:w="44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20,565 obs — exporter, importer, year, volatility. Output of 01_clean.do Section 2.</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dist_cepii.dta</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data/</w:t>
            </w:r>
          </w:p>
        </w:tc>
        <w:tc>
          <w:tcPr>
            <w:tcW w:type="dxa" w:w="44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CEPII GeoDist bilateral gravity controls — distance, language, colonial link, contiguity.</w:t>
            </w:r>
          </w:p>
        </w:tc>
      </w:tr>
    </w:tbl>
    <w:p>
      <w:pPr>
        <w:spacing w:after="160"/>
      </w:pPr>
    </w:p>
    <w:p>
      <w:pPr>
        <w:pStyle w:val="Heading2"/>
      </w:pPr>
      <w:r>
        <w:rPr>
          <w:rFonts w:ascii="Arial" w:cs="Arial" w:eastAsia="Arial" w:hAnsi="Arial"/>
          <w:b/>
          <w:bCs/>
          <w:color w:val="2E75B6"/>
          <w:sz w:val="26"/>
          <w:szCs w:val="26"/>
        </w:rPr>
        <w:t xml:space="preserve">2.2  Outputs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426"/>
      </w:tblGrid>
      <w:tr>
        <w:trPr>
          <w:tblHeader/>
        </w:trPr>
        <w:tc>
          <w:tcPr>
            <w:tcW w:type="dxa" w:w="26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File</w:t>
            </w:r>
          </w:p>
        </w:tc>
        <w:tc>
          <w:tcPr>
            <w:tcW w:type="dxa" w:w="2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Location</w:t>
            </w:r>
          </w:p>
        </w:tc>
        <w:tc>
          <w:tcPr>
            <w:tcW w:type="dxa" w:w="44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master_panel.dta</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data/</w:t>
            </w:r>
          </w:p>
        </w:tc>
        <w:tc>
          <w:tcPr>
            <w:tcW w:type="dxa" w:w="44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24,579 obs — fully merged analysis dataset with all variables for 03_analysis.do</w:t>
            </w:r>
          </w:p>
        </w:tc>
      </w:tr>
      <w:tr>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02_merge.log</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log/</w:t>
            </w:r>
          </w:p>
        </w:tc>
        <w:tc>
          <w:tcPr>
            <w:tcW w:type="dxa" w:w="44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Full run log — all merge results, quality checks, and variable generation output</w:t>
            </w:r>
          </w:p>
        </w:tc>
      </w:tr>
    </w:tbl>
    <w:p>
      <w:pPr>
        <w:pBdr>
          <w:bottom w:val="single" w:color="2E75B6" w:sz="6" w:space="1"/>
        </w:pBdr>
        <w:spacing w:after="160" w:before="160"/>
      </w:pPr>
    </w:p>
    <w:p>
      <w:pPr>
        <w:pStyle w:val="Heading1"/>
      </w:pPr>
      <w:r>
        <w:rPr>
          <w:rFonts w:ascii="Arial" w:cs="Arial" w:eastAsia="Arial" w:hAnsi="Arial"/>
          <w:b/>
          <w:bCs/>
          <w:color w:val="1F3864"/>
          <w:sz w:val="32"/>
          <w:szCs w:val="32"/>
        </w:rPr>
        <w:t xml:space="preserve">3. Panel Design and Observation Structure</w:t>
      </w:r>
    </w:p>
    <w:p>
      <w:pPr>
        <w:spacing w:after="120" w:before="0"/>
        <w:jc w:val="left"/>
      </w:pPr>
      <w:r>
        <w:rPr>
          <w:rFonts w:ascii="Arial" w:cs="Arial" w:eastAsia="Arial" w:hAnsi="Arial"/>
          <w:b w:val="false"/>
          <w:bCs w:val="false"/>
          <w:i w:val="false"/>
          <w:iCs w:val="false"/>
          <w:color w:val="000000"/>
          <w:sz w:val="22"/>
          <w:szCs w:val="22"/>
        </w:rPr>
        <w:t xml:space="preserve">The master panel is an unbalanced exporter-importer-year triplet dataset. Each observation represents one bilateral trade relationship between a BRICS exporter and a partner country in a given year. The panel is unbalanced for two reasons: not all BRICS-partner pairs have trade in every year, and not all pairs have exchange rate data in every year.</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Dimension</w:t>
            </w:r>
          </w:p>
        </w:tc>
        <w:tc>
          <w:tcPr>
            <w:tcW w:type="dxa" w:w="62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Value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Exporters</w:t>
            </w:r>
          </w:p>
        </w:tc>
        <w:tc>
          <w:tcPr>
            <w:tcW w:type="dxa" w:w="6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5 (BRA, CHN, IND, RUS, ZAF)</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Partner countries (importers)</w:t>
            </w:r>
          </w:p>
        </w:tc>
        <w:tc>
          <w:tcPr>
            <w:tcW w:type="dxa" w:w="6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Up to 232 — varies by year and exporter</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Years</w:t>
            </w:r>
          </w:p>
        </w:tc>
        <w:tc>
          <w:tcPr>
            <w:tcW w:type="dxa" w:w="6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2000–2022 (23 years)</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Unit of observation</w:t>
            </w:r>
          </w:p>
        </w:tc>
        <w:tc>
          <w:tcPr>
            <w:tcW w:type="dxa" w:w="6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Exporter–importer–year triplet</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Total observations</w:t>
            </w:r>
          </w:p>
        </w:tc>
        <w:tc>
          <w:tcPr>
            <w:tcW w:type="dxa" w:w="6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24,579</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Observations per year</w:t>
            </w:r>
          </w:p>
        </w:tc>
        <w:tc>
          <w:tcPr>
            <w:tcW w:type="dxa" w:w="6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1,057–1,081 (stable across 23 years)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Positive trade observations</w:t>
            </w:r>
          </w:p>
        </w:tc>
        <w:tc>
          <w:tcPr>
            <w:tcW w:type="dxa" w:w="6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23,940 (from BACI master)</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Zero/missing trade observations</w:t>
            </w:r>
          </w:p>
        </w:tc>
        <w:tc>
          <w:tcPr>
            <w:tcW w:type="dxa" w:w="6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639 (from volatility-only rows — pairs with ER data but no BACI trade flow)</w:t>
            </w:r>
          </w:p>
        </w:tc>
      </w:tr>
    </w:tbl>
    <w:p>
      <w:pPr>
        <w:spacing w:after="120"/>
      </w:pPr>
    </w:p>
    <w:p>
      <w:pPr>
        <w:spacing w:after="120" w:before="0"/>
        <w:jc w:val="left"/>
      </w:pPr>
      <w:r>
        <w:rPr>
          <w:rFonts w:ascii="Arial" w:cs="Arial" w:eastAsia="Arial" w:hAnsi="Arial"/>
          <w:b w:val="false"/>
          <w:bCs w:val="false"/>
          <w:i w:val="false"/>
          <w:iCs w:val="false"/>
          <w:color w:val="000000"/>
          <w:sz w:val="22"/>
          <w:szCs w:val="22"/>
        </w:rPr>
        <w:t xml:space="preserve">The 639 observations with missing trade are the extensive margin observations — BRICS-partner pairs for which exchange rate data exists but no trade flow was recorded in BACI. These are exactly the observations that log-OLS discards (because ln(0) is undefined) but that PPML and LPM retain. Their presence in the dataset is intentional and econometrically important.</w:t>
      </w:r>
    </w:p>
    <w:p>
      <w:pPr>
        <w:pBdr>
          <w:bottom w:val="single" w:color="2E75B6" w:sz="6" w:space="1"/>
        </w:pBdr>
        <w:spacing w:after="160" w:before="160"/>
      </w:pPr>
    </w:p>
    <w:p>
      <w:pPr>
        <w:pStyle w:val="Heading1"/>
      </w:pPr>
      <w:r>
        <w:rPr>
          <w:rFonts w:ascii="Arial" w:cs="Arial" w:eastAsia="Arial" w:hAnsi="Arial"/>
          <w:b/>
          <w:bCs/>
          <w:color w:val="1F3864"/>
          <w:sz w:val="32"/>
          <w:szCs w:val="32"/>
        </w:rPr>
        <w:t xml:space="preserve">4. Section 1 — Load and Standardise Types</w:t>
      </w:r>
    </w:p>
    <w:p>
      <w:pPr>
        <w:spacing w:after="120" w:before="0"/>
        <w:jc w:val="left"/>
      </w:pPr>
      <w:r>
        <w:rPr>
          <w:rFonts w:ascii="Arial" w:cs="Arial" w:eastAsia="Arial" w:hAnsi="Arial"/>
          <w:b w:val="false"/>
          <w:bCs w:val="false"/>
          <w:i w:val="false"/>
          <w:iCs w:val="false"/>
          <w:color w:val="000000"/>
          <w:sz w:val="22"/>
          <w:szCs w:val="22"/>
        </w:rPr>
        <w:t xml:space="preserve">The trade panel is loaded and two type mismatches with the volatility panel are corrected before any merge is attempted.</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2000"/>
        <w:gridCol w:w="3026"/>
      </w:tblGrid>
      <w:tr>
        <w:trPr>
          <w:tblHeader/>
        </w:trPr>
        <w:tc>
          <w:tcPr>
            <w:tcW w:type="dxa" w:w="2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Variable</w:t>
            </w:r>
          </w:p>
        </w:tc>
        <w:tc>
          <w:tcPr>
            <w:tcW w:type="dxa" w:w="2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Trade Panel Type</w:t>
            </w:r>
          </w:p>
        </w:tc>
        <w:tc>
          <w:tcPr>
            <w:tcW w:type="dxa" w:w="2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Volatility Panel Type</w:t>
            </w:r>
          </w:p>
        </w:tc>
        <w:tc>
          <w:tcPr>
            <w:tcW w:type="dxa" w:w="30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Fix</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year</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int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float</w:t>
            </w:r>
          </w:p>
        </w:tc>
        <w:tc>
          <w:tcPr>
            <w:tcW w:type="dxa" w:w="3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recast int year — standardise both to int</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exporter</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str3</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str4</w:t>
            </w:r>
          </w:p>
        </w:tc>
        <w:tc>
          <w:tcPr>
            <w:tcW w:type="dxa" w:w="3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recast str4 exporter importer — pad trade panel to str4</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importer</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str3</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str4</w:t>
            </w:r>
          </w:p>
        </w:tc>
        <w:tc>
          <w:tcPr>
            <w:tcW w:type="dxa" w:w="3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recast str4 exporter importer — pad trade panel to str4</w:t>
            </w:r>
          </w:p>
        </w:tc>
      </w:tr>
    </w:tbl>
    <w:p>
      <w:pPr>
        <w:spacing w:after="120"/>
      </w:pPr>
    </w:p>
    <w:p>
      <w:pPr>
        <w:spacing w:after="120" w:before="0"/>
        <w:jc w:val="left"/>
      </w:pPr>
      <w:r>
        <w:rPr>
          <w:rFonts w:ascii="Arial" w:cs="Arial" w:eastAsia="Arial" w:hAnsi="Arial"/>
          <w:b w:val="false"/>
          <w:bCs w:val="false"/>
          <w:i w:val="false"/>
          <w:iCs w:val="false"/>
          <w:color w:val="000000"/>
          <w:sz w:val="22"/>
          <w:szCs w:val="22"/>
        </w:rPr>
        <w:t xml:space="preserve">The str3 vs str4 discrepancy arose because the IFS download produced country IDs with str4 storage (e.g. "BRA " with trailing space padding), while the BACI crosswalk produced exact str3 values. The actual ISO3 content is identical — the recast simply aligns the storage type so Stata's merge engine treats them as equal. recast does not alter any values.</w:t>
      </w:r>
    </w:p>
    <w:p>
      <w:pPr>
        <w:pBdr>
          <w:bottom w:val="single" w:color="2E75B6" w:sz="6" w:space="1"/>
        </w:pBdr>
        <w:spacing w:after="160" w:before="160"/>
      </w:pPr>
    </w:p>
    <w:p>
      <w:pPr>
        <w:pStyle w:val="Heading1"/>
      </w:pPr>
      <w:r>
        <w:rPr>
          <w:rFonts w:ascii="Arial" w:cs="Arial" w:eastAsia="Arial" w:hAnsi="Arial"/>
          <w:b/>
          <w:bCs/>
          <w:color w:val="1F3864"/>
          <w:sz w:val="32"/>
          <w:szCs w:val="32"/>
        </w:rPr>
        <w:t xml:space="preserve">5. Section 2 — Merge Volatility Panel</w:t>
      </w:r>
    </w:p>
    <w:p>
      <w:pPr>
        <w:pStyle w:val="Heading2"/>
      </w:pPr>
      <w:r>
        <w:rPr>
          <w:rFonts w:ascii="Arial" w:cs="Arial" w:eastAsia="Arial" w:hAnsi="Arial"/>
          <w:b/>
          <w:bCs/>
          <w:color w:val="2E75B6"/>
          <w:sz w:val="26"/>
          <w:szCs w:val="26"/>
        </w:rPr>
        <w:t xml:space="preserve">5.1  Merge Specification</w:t>
      </w:r>
    </w:p>
    <w:p>
      <w:pPr>
        <w:spacing w:after="120" w:before="0"/>
        <w:jc w:val="left"/>
      </w:pPr>
      <w:r>
        <w:rPr>
          <w:rFonts w:ascii="Arial" w:cs="Arial" w:eastAsia="Arial" w:hAnsi="Arial"/>
          <w:b w:val="false"/>
          <w:bCs w:val="false"/>
          <w:i w:val="false"/>
          <w:iCs w:val="false"/>
          <w:color w:val="000000"/>
          <w:sz w:val="22"/>
          <w:szCs w:val="22"/>
        </w:rPr>
        <w:t xml:space="preserve">The merge is 1:1 on exporter, importer, and year. Both datasets are uniquely identified by this triplet after the duplicates drop in Step 3 of 01_clean.do. The merge is run without generating the _merge variable (nogenerate) since the match outcome is documented through explicit counts rather than the indicator variable.</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Merge Outcome</w:t>
            </w:r>
          </w:p>
        </w:tc>
        <w:tc>
          <w:tcPr>
            <w:tcW w:type="dxa" w:w="62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Count</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Matched (trade + volatility both present)</w:t>
            </w:r>
          </w:p>
        </w:tc>
        <w:tc>
          <w:tcPr>
            <w:tcW w:type="dxa" w:w="6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19,926</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Master only (trade present, no volatility)</w:t>
            </w:r>
          </w:p>
        </w:tc>
        <w:tc>
          <w:tcPr>
            <w:tcW w:type="dxa" w:w="6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4,015 → 4,014 after ghost row drop</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Using only (volatility present, no trade)</w:t>
            </w:r>
          </w:p>
        </w:tc>
        <w:tc>
          <w:tcPr>
            <w:tcW w:type="dxa" w:w="6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639</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Total after merge</w:t>
            </w:r>
          </w:p>
        </w:tc>
        <w:tc>
          <w:tcPr>
            <w:tcW w:type="dxa" w:w="6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24,579</w:t>
            </w:r>
          </w:p>
        </w:tc>
      </w:tr>
    </w:tbl>
    <w:p>
      <w:pPr>
        <w:spacing w:after="120"/>
      </w:pPr>
    </w:p>
    <w:p>
      <w:pPr>
        <w:pStyle w:val="Heading2"/>
      </w:pPr>
      <w:r>
        <w:rPr>
          <w:rFonts w:ascii="Arial" w:cs="Arial" w:eastAsia="Arial" w:hAnsi="Arial"/>
          <w:b/>
          <w:bCs/>
          <w:color w:val="2E75B6"/>
          <w:sz w:val="26"/>
          <w:szCs w:val="26"/>
        </w:rPr>
        <w:t xml:space="preserve">5.2  Interpreting Unmatched Observations</w:t>
      </w:r>
    </w:p>
    <w:p>
      <w:pPr>
        <w:pStyle w:val="Heading3"/>
      </w:pPr>
      <w:r>
        <w:rPr>
          <w:rFonts w:ascii="Arial" w:cs="Arial" w:eastAsia="Arial" w:hAnsi="Arial"/>
          <w:b/>
          <w:bCs/>
          <w:color w:val="1F3864"/>
          <w:sz w:val="23"/>
          <w:szCs w:val="23"/>
        </w:rPr>
        <w:t xml:space="preserve">Master-only (4,014 observations)</w:t>
      </w:r>
    </w:p>
    <w:p>
      <w:pPr>
        <w:spacing w:after="120" w:before="0"/>
        <w:jc w:val="left"/>
      </w:pPr>
      <w:r>
        <w:rPr>
          <w:rFonts w:ascii="Arial" w:cs="Arial" w:eastAsia="Arial" w:hAnsi="Arial"/>
          <w:b w:val="false"/>
          <w:bCs w:val="false"/>
          <w:i w:val="false"/>
          <w:iCs w:val="false"/>
          <w:color w:val="000000"/>
          <w:sz w:val="22"/>
          <w:szCs w:val="22"/>
        </w:rPr>
        <w:t xml:space="preserve">These are BRICS-partner trade relationships for which the IFS had no exchange rate data. The most common causes are: small island economies with no reported exchange rate series, currency union members where the national rate is not separately reported (e.g. some WAEMU members), and countries with very limited IMF reporting. These observations retain their trade values but have missing volatility. They will drop out of all three regression specifications since volatility is the primary regressor, but they are kept in the master panel for completeness and potential future use.</w:t>
      </w:r>
    </w:p>
    <w:p>
      <w:pPr>
        <w:spacing w:after="80"/>
      </w:pPr>
    </w:p>
    <w:p>
      <w:pPr>
        <w:pStyle w:val="Heading3"/>
      </w:pPr>
      <w:r>
        <w:rPr>
          <w:rFonts w:ascii="Arial" w:cs="Arial" w:eastAsia="Arial" w:hAnsi="Arial"/>
          <w:b/>
          <w:bCs/>
          <w:color w:val="1F3864"/>
          <w:sz w:val="23"/>
          <w:szCs w:val="23"/>
        </w:rPr>
        <w:t xml:space="preserve">Using-only (639 observations)</w:t>
      </w:r>
    </w:p>
    <w:p>
      <w:pPr>
        <w:spacing w:after="120" w:before="0"/>
        <w:jc w:val="left"/>
      </w:pPr>
      <w:r>
        <w:rPr>
          <w:rFonts w:ascii="Arial" w:cs="Arial" w:eastAsia="Arial" w:hAnsi="Arial"/>
          <w:b w:val="false"/>
          <w:bCs w:val="false"/>
          <w:i w:val="false"/>
          <w:iCs w:val="false"/>
          <w:color w:val="000000"/>
          <w:sz w:val="22"/>
          <w:szCs w:val="22"/>
        </w:rPr>
        <w:t xml:space="preserve">These are BRICS-partner pairs for which exchange rate data exists but no trade flow was recorded in BACI over the full 2000–2022 period. They enter the master panel with trade == . (missing). They are the extensive margin observations — potential trade relationships that never formed. They are essential for the LPM specification in 03_analysis.do, which estimates the probability of positive trade as a function of volatility. Dropping them would bias the extensive margin estimate by conditioning the sample on trade having occurred at least once.</w:t>
      </w:r>
    </w:p>
    <w:p>
      <w:pPr>
        <w:spacing w:after="80"/>
      </w:pPr>
    </w:p>
    <w:p>
      <w:pPr>
        <w:pStyle w:val="Heading3"/>
      </w:pPr>
      <w:r>
        <w:rPr>
          <w:rFonts w:ascii="Arial" w:cs="Arial" w:eastAsia="Arial" w:hAnsi="Arial"/>
          <w:b/>
          <w:bCs/>
          <w:color w:val="1F3864"/>
          <w:sz w:val="23"/>
          <w:szCs w:val="23"/>
        </w:rPr>
        <w:t xml:space="preserve">Ghost row removal</w:t>
      </w:r>
    </w:p>
    <w:p>
      <w:pPr>
        <w:spacing w:after="120" w:before="0"/>
        <w:jc w:val="left"/>
      </w:pPr>
      <w:r>
        <w:rPr>
          <w:rFonts w:ascii="Arial" w:cs="Arial" w:eastAsia="Arial" w:hAnsi="Arial"/>
          <w:b w:val="false"/>
          <w:bCs w:val="false"/>
          <w:i w:val="false"/>
          <w:iCs w:val="false"/>
          <w:color w:val="000000"/>
          <w:sz w:val="22"/>
          <w:szCs w:val="22"/>
        </w:rPr>
        <w:t xml:space="preserve">One observation with missing exporter and importer identifiers was dropped after the merge. This arose from the empty tempfile initialisation in the 01_clean.do BACI loop — the emptyok save created a placeholder row that survived into the final panel. It was identified via drop if missing(exporter) | missing(importer) and confirmed to be the only such row. A duplicates drop on exporter-importer-year following the ghost drop confirmed zero remaining duplicates.</w:t>
      </w:r>
    </w:p>
    <w:p>
      <w:pPr>
        <w:pBdr>
          <w:bottom w:val="single" w:color="2E75B6" w:sz="6" w:space="1"/>
        </w:pBdr>
        <w:spacing w:after="160" w:before="160"/>
      </w:pPr>
    </w:p>
    <w:p>
      <w:pPr>
        <w:pStyle w:val="Heading1"/>
      </w:pPr>
      <w:r>
        <w:rPr>
          <w:rFonts w:ascii="Arial" w:cs="Arial" w:eastAsia="Arial" w:hAnsi="Arial"/>
          <w:b/>
          <w:bCs/>
          <w:color w:val="1F3864"/>
          <w:sz w:val="32"/>
          <w:szCs w:val="32"/>
        </w:rPr>
        <w:t xml:space="preserve">6. Section 3 — Merge GeoDist Gravity Controls</w:t>
      </w:r>
    </w:p>
    <w:p>
      <w:pPr>
        <w:pStyle w:val="Heading2"/>
      </w:pPr>
      <w:r>
        <w:rPr>
          <w:rFonts w:ascii="Arial" w:cs="Arial" w:eastAsia="Arial" w:hAnsi="Arial"/>
          <w:b/>
          <w:bCs/>
          <w:color w:val="2E75B6"/>
          <w:sz w:val="26"/>
          <w:szCs w:val="26"/>
        </w:rPr>
        <w:t xml:space="preserve">6.1  What GeoDist Provides</w:t>
      </w:r>
    </w:p>
    <w:p>
      <w:pPr>
        <w:spacing w:after="120" w:before="0"/>
        <w:jc w:val="left"/>
      </w:pPr>
      <w:r>
        <w:rPr>
          <w:rFonts w:ascii="Arial" w:cs="Arial" w:eastAsia="Arial" w:hAnsi="Arial"/>
          <w:b w:val="false"/>
          <w:bCs w:val="false"/>
          <w:i w:val="false"/>
          <w:iCs w:val="false"/>
          <w:color w:val="000000"/>
          <w:sz w:val="22"/>
          <w:szCs w:val="22"/>
        </w:rPr>
        <w:t xml:space="preserve">CEPII GeoDist (dist_cepii.dta) provides time-invariant bilateral characteristics for country pairs. Four variables are retained using the keepusing() option:</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5626"/>
      </w:tblGrid>
      <w:tr>
        <w:trPr>
          <w:tblHeader/>
        </w:trPr>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Variable</w:t>
            </w:r>
          </w:p>
        </w:tc>
        <w:tc>
          <w:tcPr>
            <w:tcW w:type="dxa" w:w="16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56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distw</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double</w:t>
            </w:r>
          </w:p>
        </w:tc>
        <w:tc>
          <w:tcPr>
            <w:tcW w:type="dxa" w:w="5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Population-weighted great circle distance in km — the standard gravity distance measure</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comlang_off</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byte</w:t>
            </w:r>
          </w:p>
        </w:tc>
        <w:tc>
          <w:tcPr>
            <w:tcW w:type="dxa" w:w="56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1 if the pair shares a common official or primary language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colony</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byte</w:t>
            </w:r>
          </w:p>
        </w:tc>
        <w:tc>
          <w:tcPr>
            <w:tcW w:type="dxa" w:w="5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1 if the pair ever had a colonial relationship</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contig</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byte</w:t>
            </w:r>
          </w:p>
        </w:tc>
        <w:tc>
          <w:tcPr>
            <w:tcW w:type="dxa" w:w="56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1 if the pair shares a land border</w:t>
            </w:r>
          </w:p>
        </w:tc>
      </w:tr>
    </w:tbl>
    <w:p>
      <w:pPr>
        <w:spacing w:after="120"/>
      </w:pPr>
    </w:p>
    <w:p>
      <w:pPr>
        <w:spacing w:after="120" w:before="0"/>
        <w:jc w:val="left"/>
      </w:pPr>
      <w:r>
        <w:rPr>
          <w:rFonts w:ascii="Arial" w:cs="Arial" w:eastAsia="Arial" w:hAnsi="Arial"/>
          <w:b w:val="false"/>
          <w:bCs w:val="false"/>
          <w:i w:val="false"/>
          <w:iCs w:val="false"/>
          <w:color w:val="000000"/>
          <w:sz w:val="22"/>
          <w:szCs w:val="22"/>
        </w:rPr>
        <w:t xml:space="preserve">These variables enter only the log-OLS specification (Column 2 of the results table). In the PPML and LPM specifications they are absorbed by pair fixed effects (phi_ij), which capture all time-invariant bilateral characteristics — distance, language, colonial ties, and contiguity — without requiring them to be entered explicitly.</w:t>
      </w:r>
    </w:p>
    <w:p>
      <w:pPr>
        <w:spacing w:after="80"/>
      </w:pPr>
    </w:p>
    <w:p>
      <w:pPr>
        <w:pStyle w:val="Heading2"/>
      </w:pPr>
      <w:r>
        <w:rPr>
          <w:rFonts w:ascii="Arial" w:cs="Arial" w:eastAsia="Arial" w:hAnsi="Arial"/>
          <w:b/>
          <w:bCs/>
          <w:color w:val="2E75B6"/>
          <w:sz w:val="26"/>
          <w:szCs w:val="26"/>
        </w:rPr>
        <w:t xml:space="preserve">6.2  Merge Specification and Coverage</w:t>
      </w:r>
    </w:p>
    <w:p>
      <w:pPr>
        <w:spacing w:after="120" w:before="0"/>
        <w:jc w:val="left"/>
      </w:pPr>
      <w:r>
        <w:rPr>
          <w:rFonts w:ascii="Arial" w:cs="Arial" w:eastAsia="Arial" w:hAnsi="Arial"/>
          <w:b w:val="false"/>
          <w:bCs w:val="false"/>
          <w:i w:val="false"/>
          <w:iCs w:val="false"/>
          <w:color w:val="000000"/>
          <w:sz w:val="22"/>
          <w:szCs w:val="22"/>
        </w:rPr>
        <w:t xml:space="preserve">The merge is m:1 on iso_o (exporter) and iso_d (importer) — many panel years per country pair map to one GeoDist row. The keep(match master) option retains all panel observations regardless of whether they matched GeoDist, preventing any observation loss.</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Merge Outcome</w:t>
            </w:r>
          </w:p>
        </w:tc>
        <w:tc>
          <w:tcPr>
            <w:tcW w:type="dxa" w:w="62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Count</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Matched</w:t>
            </w:r>
          </w:p>
        </w:tc>
        <w:tc>
          <w:tcPr>
            <w:tcW w:type="dxa" w:w="6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23,305</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Master only (no GeoDist match)</w:t>
            </w:r>
          </w:p>
        </w:tc>
        <w:tc>
          <w:tcPr>
            <w:tcW w:type="dxa" w:w="6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1,274</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Total after merge</w:t>
            </w:r>
          </w:p>
        </w:tc>
        <w:tc>
          <w:tcPr>
            <w:tcW w:type="dxa" w:w="6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24,579 (unchanged)</w:t>
            </w:r>
          </w:p>
        </w:tc>
      </w:tr>
    </w:tbl>
    <w:p>
      <w:pPr>
        <w:spacing w:after="120"/>
      </w:pPr>
    </w:p>
    <w:p>
      <w:pPr>
        <w:spacing w:after="120" w:before="0"/>
        <w:jc w:val="left"/>
      </w:pPr>
      <w:r>
        <w:rPr>
          <w:rFonts w:ascii="Arial" w:cs="Arial" w:eastAsia="Arial" w:hAnsi="Arial"/>
          <w:b w:val="false"/>
          <w:bCs w:val="false"/>
          <w:i w:val="false"/>
          <w:iCs w:val="false"/>
          <w:color w:val="000000"/>
          <w:sz w:val="22"/>
          <w:szCs w:val="22"/>
        </w:rPr>
        <w:t xml:space="preserve">The 1,274 unmatched observations (1,612 missing distw after accounting for the 639 using-only obs) correspond to territories not covered by the 2004 GeoDist vintage. Common examples include Hong Kong SAR, Macao SAR, Taiwan Province of China, and several small island economies. These observations retain all other variables and participate fully in PPML and LPM regressions. They are excluded from log-OLS only because ln_distw is missing.</w:t>
      </w:r>
    </w:p>
    <w:p>
      <w:pPr>
        <w:pBdr>
          <w:bottom w:val="single" w:color="2E75B6" w:sz="6" w:space="1"/>
        </w:pBdr>
        <w:spacing w:after="160" w:before="160"/>
      </w:pPr>
    </w:p>
    <w:p>
      <w:pPr>
        <w:pStyle w:val="Heading1"/>
      </w:pPr>
      <w:r>
        <w:rPr>
          <w:rFonts w:ascii="Arial" w:cs="Arial" w:eastAsia="Arial" w:hAnsi="Arial"/>
          <w:b/>
          <w:bCs/>
          <w:color w:val="1F3864"/>
          <w:sz w:val="32"/>
          <w:szCs w:val="32"/>
        </w:rPr>
        <w:t xml:space="preserve">7. Section 4 — Generated Analysis Variables</w:t>
      </w:r>
    </w:p>
    <w:p>
      <w:pPr>
        <w:pStyle w:val="Heading2"/>
      </w:pPr>
      <w:r>
        <w:rPr>
          <w:rFonts w:ascii="Arial" w:cs="Arial" w:eastAsia="Arial" w:hAnsi="Arial"/>
          <w:b/>
          <w:bCs/>
          <w:color w:val="2E75B6"/>
          <w:sz w:val="26"/>
          <w:szCs w:val="26"/>
        </w:rPr>
        <w:t xml:space="preserve">7.1  Dependent Variables</w:t>
      </w:r>
    </w:p>
    <w:p>
      <w:pPr>
        <w:pStyle w:val="Heading3"/>
      </w:pPr>
      <w:r>
        <w:rPr>
          <w:rFonts w:ascii="Arial" w:cs="Arial" w:eastAsia="Arial" w:hAnsi="Arial"/>
          <w:b/>
          <w:bCs/>
          <w:color w:val="1F3864"/>
          <w:sz w:val="23"/>
          <w:szCs w:val="23"/>
        </w:rPr>
        <w:t xml:space="preserve">ln_trade — Intensive Margin (log-OLS)</w:t>
      </w:r>
    </w:p>
    <w:p>
      <w:pPr>
        <w:spacing w:after="120" w:before="0"/>
        <w:jc w:val="left"/>
      </w:pPr>
      <w:r>
        <w:rPr>
          <w:rFonts w:ascii="Arial" w:cs="Arial" w:eastAsia="Arial" w:hAnsi="Arial"/>
          <w:b w:val="false"/>
          <w:bCs w:val="false"/>
          <w:i w:val="false"/>
          <w:iCs w:val="false"/>
          <w:color w:val="000000"/>
          <w:sz w:val="22"/>
          <w:szCs w:val="22"/>
        </w:rPr>
        <w:t xml:space="preserve">ln_trade = ln(trade). The natural log of bilateral trade value in thousands of USD. Generated using Stata's ln() function, which automatically produces missing for non-positive trade values. The 639 observations with missing trade receive missing ln_trade.</w:t>
      </w:r>
    </w:p>
    <w:p>
      <w:pPr>
        <w:spacing w:after="80"/>
      </w:pPr>
    </w:p>
    <w:p>
      <w:pPr>
        <w:spacing w:after="120" w:before="0"/>
        <w:jc w:val="left"/>
      </w:pPr>
      <w:r>
        <w:rPr>
          <w:rFonts w:ascii="Arial" w:cs="Arial" w:eastAsia="Arial" w:hAnsi="Arial"/>
          <w:b w:val="false"/>
          <w:bCs w:val="false"/>
          <w:i w:val="false"/>
          <w:iCs w:val="false"/>
          <w:color w:val="000000"/>
          <w:sz w:val="22"/>
          <w:szCs w:val="22"/>
        </w:rPr>
        <w:t xml:space="preserve">ln_trade is the dependent variable in Column (2) of the results table — the log-OLS specification. Because ln(0) is undefined, log-OLS is estimated on the subsample of strictly positive trade flows only. The difference between the PPML observation count and the log-OLS observation count directly quantifies the number of zero and missing trade flows that log-OLS discards — this is reported explicitly in the results table note.</w:t>
      </w:r>
    </w:p>
    <w:p>
      <w:pPr>
        <w:spacing w:after="80"/>
      </w:pPr>
    </w:p>
    <w:p>
      <w:pPr>
        <w:pStyle w:val="Heading3"/>
      </w:pPr>
      <w:r>
        <w:rPr>
          <w:rFonts w:ascii="Arial" w:cs="Arial" w:eastAsia="Arial" w:hAnsi="Arial"/>
          <w:b/>
          <w:bCs/>
          <w:color w:val="1F3864"/>
          <w:sz w:val="23"/>
          <w:szCs w:val="23"/>
        </w:rPr>
        <w:t xml:space="preserve">trade_dummy — Extensive Margin (LPM)</w:t>
      </w:r>
    </w:p>
    <w:p>
      <w:pPr>
        <w:spacing w:after="120" w:before="0"/>
        <w:jc w:val="left"/>
      </w:pPr>
      <w:r>
        <w:rPr>
          <w:rFonts w:ascii="Arial" w:cs="Arial" w:eastAsia="Arial" w:hAnsi="Arial"/>
          <w:b w:val="false"/>
          <w:bCs w:val="false"/>
          <w:i w:val="false"/>
          <w:iCs w:val="false"/>
          <w:color w:val="000000"/>
          <w:sz w:val="22"/>
          <w:szCs w:val="22"/>
        </w:rPr>
        <w:t xml:space="preserve">trade_dummy = 1 if trade &gt; 0, and 0 if trade is missing (i.e. the 639 using-only observations). Generated with a guard condition (!missing(trade)) so that the dummy is also missing for the 639 observations where trade is genuinely missing — these represent pairs with ER data and no BACI trade record, which should be coded as 0 (no trade) not missing. The guard ensures correct coding.</w:t>
      </w:r>
    </w:p>
    <w:p>
      <w:pPr>
        <w:spacing w:after="80"/>
      </w:pPr>
    </w:p>
    <w:p>
      <w:pPr>
        <w:spacing w:after="120" w:before="0"/>
        <w:jc w:val="left"/>
      </w:pPr>
      <w:r>
        <w:rPr>
          <w:rFonts w:ascii="Arial" w:cs="Arial" w:eastAsia="Arial" w:hAnsi="Arial"/>
          <w:b w:val="false"/>
          <w:bCs w:val="false"/>
          <w:i w:val="false"/>
          <w:iCs w:val="false"/>
          <w:color w:val="000000"/>
          <w:sz w:val="22"/>
          <w:szCs w:val="22"/>
        </w:rPr>
        <w:t xml:space="preserve">trade_dummy is the dependent variable in Column (3) of the results table — the linear probability model. The LPM coefficient on volatility gives the percentage point change in the probability of positive trade associated with a one-unit increase in the rolling 12-month exchange rate standard deviation.</w:t>
      </w:r>
    </w:p>
    <w:p>
      <w:pPr>
        <w:spacing w:after="80"/>
      </w:pPr>
    </w:p>
    <w:p>
      <w:pPr>
        <w:pStyle w:val="Heading2"/>
      </w:pPr>
      <w:r>
        <w:rPr>
          <w:rFonts w:ascii="Arial" w:cs="Arial" w:eastAsia="Arial" w:hAnsi="Arial"/>
          <w:b/>
          <w:bCs/>
          <w:color w:val="2E75B6"/>
          <w:sz w:val="26"/>
          <w:szCs w:val="26"/>
        </w:rPr>
        <w:t xml:space="preserve">7.2  Gravity Control Transformation</w:t>
      </w:r>
    </w:p>
    <w:p>
      <w:pPr>
        <w:pStyle w:val="Heading3"/>
      </w:pPr>
      <w:r>
        <w:rPr>
          <w:rFonts w:ascii="Arial" w:cs="Arial" w:eastAsia="Arial" w:hAnsi="Arial"/>
          <w:b/>
          <w:bCs/>
          <w:color w:val="1F3864"/>
          <w:sz w:val="23"/>
          <w:szCs w:val="23"/>
        </w:rPr>
        <w:t xml:space="preserve">ln_distw — Log Distance</w:t>
      </w:r>
    </w:p>
    <w:p>
      <w:pPr>
        <w:spacing w:after="120" w:before="0"/>
        <w:jc w:val="left"/>
      </w:pPr>
      <w:r>
        <w:rPr>
          <w:rFonts w:ascii="Arial" w:cs="Arial" w:eastAsia="Arial" w:hAnsi="Arial"/>
          <w:b w:val="false"/>
          <w:bCs w:val="false"/>
          <w:i w:val="false"/>
          <w:iCs w:val="false"/>
          <w:color w:val="000000"/>
          <w:sz w:val="22"/>
          <w:szCs w:val="22"/>
        </w:rPr>
        <w:t xml:space="preserve">ln_distw = ln(distw). Log of population-weighted bilateral distance in km. 1,612 missing values from the GeoDist non-matches. Enters only the log-OLS specification as a control variable — pair fixed effects in PPML and LPM absorb distance entirely.</w:t>
      </w:r>
    </w:p>
    <w:p>
      <w:pPr>
        <w:spacing w:after="80"/>
      </w:pPr>
    </w:p>
    <w:p>
      <w:pPr>
        <w:pStyle w:val="Heading2"/>
      </w:pPr>
      <w:r>
        <w:rPr>
          <w:rFonts w:ascii="Arial" w:cs="Arial" w:eastAsia="Arial" w:hAnsi="Arial"/>
          <w:b/>
          <w:bCs/>
          <w:color w:val="2E75B6"/>
          <w:sz w:val="26"/>
          <w:szCs w:val="26"/>
        </w:rPr>
        <w:t xml:space="preserve">7.3  Fixed Effect Identifiers</w:t>
      </w:r>
    </w:p>
    <w:p>
      <w:pPr>
        <w:spacing w:after="120" w:before="0"/>
        <w:jc w:val="left"/>
      </w:pPr>
      <w:r>
        <w:rPr>
          <w:rFonts w:ascii="Arial" w:cs="Arial" w:eastAsia="Arial" w:hAnsi="Arial"/>
          <w:b w:val="false"/>
          <w:bCs w:val="false"/>
          <w:i w:val="false"/>
          <w:iCs w:val="false"/>
          <w:color w:val="000000"/>
          <w:sz w:val="22"/>
          <w:szCs w:val="22"/>
        </w:rPr>
        <w:t xml:space="preserve">Three numeric group identifiers are generated using egen group(), which assigns a unique integer to each distinct combination of the specified variables:</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Variable</w:t>
            </w:r>
          </w:p>
        </w:tc>
        <w:tc>
          <w:tcPr>
            <w:tcW w:type="dxa" w:w="3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Definition</w:t>
            </w:r>
          </w:p>
        </w:tc>
        <w:tc>
          <w:tcPr>
            <w:tcW w:type="dxa" w:w="40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Purpose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pair_id</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group(exporter importer)</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Pair fixed effects (phi_ij) — absorbs all time-invariant bilateral characteristics in PPML and LPM</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exporter_year</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group(exporter year)</w:t>
            </w:r>
          </w:p>
        </w:tc>
        <w:tc>
          <w:tcPr>
            <w:tcW w:type="dxa" w:w="4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Exporter × year fixed effects (gamma_it) — absorbs exporter-specific multilateral resistance, GDP, and all exporter time trends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importer_year</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group(importer year)</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Importer × year fixed effects (delta_jt) — absorbs importer-specific multilateral resistance, GDP, and all importer time trends</w:t>
            </w:r>
          </w:p>
        </w:tc>
      </w:tr>
    </w:tbl>
    <w:p>
      <w:pPr>
        <w:spacing w:after="120"/>
      </w:pPr>
    </w:p>
    <w:p>
      <w:pPr>
        <w:spacing w:after="120" w:before="0"/>
        <w:jc w:val="left"/>
      </w:pPr>
      <w:r>
        <w:rPr>
          <w:rFonts w:ascii="Arial" w:cs="Arial" w:eastAsia="Arial" w:hAnsi="Arial"/>
          <w:b w:val="false"/>
          <w:bCs w:val="false"/>
          <w:i w:val="false"/>
          <w:iCs w:val="false"/>
          <w:color w:val="000000"/>
          <w:sz w:val="22"/>
          <w:szCs w:val="22"/>
        </w:rPr>
        <w:t xml:space="preserve">These three fixed effect sets together constitute the three-way fixed effects gravity specification recommended by Head and Mayer (2014). The exporter_year and importer_year effects are the solution to the Anderson and van Wincoop (2003) multilateral resistance problem — they absorb all country-specific time-varying factors including GDP, price levels, and multilateral resistance terms, so none of these need to be entered as explicit controls.</w:t>
      </w:r>
    </w:p>
    <w:p>
      <w:pPr>
        <w:spacing w:after="80"/>
      </w:pPr>
    </w:p>
    <w:p>
      <w:pPr>
        <w:spacing w:after="120" w:before="0"/>
        <w:jc w:val="left"/>
      </w:pPr>
      <w:r>
        <w:rPr>
          <w:rFonts w:ascii="Arial" w:cs="Arial" w:eastAsia="Arial" w:hAnsi="Arial"/>
          <w:b w:val="false"/>
          <w:bCs w:val="false"/>
          <w:i w:val="false"/>
          <w:iCs w:val="false"/>
          <w:color w:val="000000"/>
          <w:sz w:val="22"/>
          <w:szCs w:val="22"/>
        </w:rPr>
        <w:t xml:space="preserve">The identifiers are passed directly to reghdfe and ppmlhdfe via the absorb() option in 03_analysis.do:</w:t>
      </w:r>
    </w:p>
    <w:p>
      <w:pPr>
        <w:shd w:fill="F4F4F4" w:val="clear"/>
        <w:spacing w:after="120"/>
        <w:ind w:left="360"/>
      </w:pPr>
      <w:r>
        <w:rPr>
          <w:rFonts w:ascii="Courier New" w:cs="Courier New" w:eastAsia="Courier New" w:hAnsi="Courier New"/>
          <w:color w:val="1F3864"/>
          <w:sz w:val="18"/>
          <w:szCs w:val="18"/>
        </w:rPr>
        <w:t xml:space="preserve">ppmlhdfe trade volatility, absorb(pair_id exporter_year importer_year) vce(robust)</w:t>
      </w:r>
    </w:p>
    <w:p>
      <w:pPr>
        <w:spacing w:after="80"/>
      </w:pPr>
    </w:p>
    <w:p>
      <w:pPr>
        <w:pStyle w:val="Heading2"/>
      </w:pPr>
      <w:r>
        <w:rPr>
          <w:rFonts w:ascii="Arial" w:cs="Arial" w:eastAsia="Arial" w:hAnsi="Arial"/>
          <w:b/>
          <w:bCs/>
          <w:color w:val="2E75B6"/>
          <w:sz w:val="26"/>
          <w:szCs w:val="26"/>
        </w:rPr>
        <w:t xml:space="preserve">7.4  Russia Post-Sanctions Indicator</w:t>
      </w:r>
    </w:p>
    <w:p>
      <w:pPr>
        <w:pStyle w:val="Heading3"/>
      </w:pPr>
      <w:r>
        <w:rPr>
          <w:rFonts w:ascii="Arial" w:cs="Arial" w:eastAsia="Arial" w:hAnsi="Arial"/>
          <w:b/>
          <w:bCs/>
          <w:color w:val="1F3864"/>
          <w:sz w:val="23"/>
          <w:szCs w:val="23"/>
        </w:rPr>
        <w:t xml:space="preserve">russia_post22</w:t>
      </w:r>
    </w:p>
    <w:p>
      <w:pPr>
        <w:spacing w:after="120" w:before="0"/>
        <w:jc w:val="left"/>
      </w:pPr>
      <w:r>
        <w:rPr>
          <w:rFonts w:ascii="Arial" w:cs="Arial" w:eastAsia="Arial" w:hAnsi="Arial"/>
          <w:b w:val="false"/>
          <w:bCs w:val="false"/>
          <w:i w:val="false"/>
          <w:iCs w:val="false"/>
          <w:color w:val="000000"/>
          <w:sz w:val="22"/>
          <w:szCs w:val="22"/>
        </w:rPr>
        <w:t xml:space="preserve">russia_post22 = 1 when exporter == "RUS" and year &gt;= 2022, and 0 otherwise. This indicator flags the 197 Russia-exporter observations from 2022 onwards where the rouble exchange rate reflects CBR capital controls rather than market determination.</w:t>
      </w:r>
    </w:p>
    <w:p>
      <w:pPr>
        <w:spacing w:after="80"/>
      </w:pPr>
    </w:p>
    <w:p>
      <w:pPr>
        <w:spacing w:after="120" w:before="0"/>
        <w:jc w:val="left"/>
      </w:pPr>
      <w:r>
        <w:rPr>
          <w:rFonts w:ascii="Arial" w:cs="Arial" w:eastAsia="Arial" w:hAnsi="Arial"/>
          <w:b w:val="false"/>
          <w:bCs w:val="false"/>
          <w:i w:val="false"/>
          <w:iCs w:val="false"/>
          <w:color w:val="000000"/>
          <w:sz w:val="22"/>
          <w:szCs w:val="22"/>
        </w:rPr>
        <w:t xml:space="preserve">The rouble volatility measure for these observations is very large (up to 7.45 in the volatility panel) but driven by an institutional shock to capital flows rather than genuine market exchange rate uncertainty. Including these observations may inflate the estimated effect of volatility on trade. The sensitivity check in 03_analysis.do repeats all three specifications on the sample with russia_post22 == 0 to test whether the main findings hold independently of the sanctions shock.</w:t>
      </w:r>
    </w:p>
    <w:p>
      <w:pPr>
        <w:pBdr>
          <w:bottom w:val="single" w:color="2E75B6" w:sz="6" w:space="1"/>
        </w:pBdr>
        <w:spacing w:after="160" w:before="160"/>
      </w:pPr>
    </w:p>
    <w:p>
      <w:pPr>
        <w:pStyle w:val="Heading1"/>
      </w:pPr>
      <w:r>
        <w:rPr>
          <w:rFonts w:ascii="Arial" w:cs="Arial" w:eastAsia="Arial" w:hAnsi="Arial"/>
          <w:b/>
          <w:bCs/>
          <w:color w:val="1F3864"/>
          <w:sz w:val="32"/>
          <w:szCs w:val="32"/>
        </w:rPr>
        <w:t xml:space="preserve">8. Data Quality Report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2000"/>
        <w:gridCol w:w="3826"/>
      </w:tblGrid>
      <w:tr>
        <w:trPr>
          <w:tblHeader/>
        </w:trPr>
        <w:tc>
          <w:tcPr>
            <w:tcW w:type="dxa" w:w="3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Item</w:t>
            </w:r>
          </w:p>
        </w:tc>
        <w:tc>
          <w:tcPr>
            <w:tcW w:type="dxa" w:w="2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Count</w:t>
            </w:r>
          </w:p>
        </w:tc>
        <w:tc>
          <w:tcPr>
            <w:tcW w:type="dxa" w:w="38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Total observations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24,579</w:t>
            </w:r>
          </w:p>
        </w:tc>
        <w:tc>
          <w:tcPr>
            <w:tcW w:type="dxa" w:w="3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Final master panel</w:t>
            </w:r>
          </w:p>
        </w:tc>
      </w:tr>
      <w:tr>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Observations per exporter</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~4,750–5,030</w:t>
            </w:r>
          </w:p>
        </w:tc>
        <w:tc>
          <w:tcPr>
            <w:tcW w:type="dxa" w:w="3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All five BRICS ~20% each</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Observations per year</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1,057–1,081</w:t>
            </w:r>
          </w:p>
        </w:tc>
        <w:tc>
          <w:tcPr>
            <w:tcW w:type="dxa" w:w="3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Stable across 23 years — slight growth reflects expanding trade relationships</w:t>
            </w:r>
          </w:p>
        </w:tc>
      </w:tr>
      <w:tr>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Positive trade (trade &gt; 0)</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23,940</w:t>
            </w:r>
          </w:p>
        </w:tc>
        <w:tc>
          <w:tcPr>
            <w:tcW w:type="dxa" w:w="3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From BACI master — all had positive recorded bilateral trade</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Zero/missing trade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639</w:t>
            </w:r>
          </w:p>
        </w:tc>
        <w:tc>
          <w:tcPr>
            <w:tcW w:type="dxa" w:w="3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Volatility-only observations — extensive margin</w:t>
            </w:r>
          </w:p>
        </w:tc>
      </w:tr>
      <w:tr>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Missing volatility</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4,014</w:t>
            </w:r>
          </w:p>
        </w:tc>
        <w:tc>
          <w:tcPr>
            <w:tcW w:type="dxa" w:w="3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No IFS exchange rate coverage — drop out of all regressions</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Missing distw</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1,612</w:t>
            </w:r>
          </w:p>
        </w:tc>
        <w:tc>
          <w:tcPr>
            <w:tcW w:type="dxa" w:w="3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Not in GeoDist 2004 vintage — drop out of log-OLS only</w:t>
            </w:r>
          </w:p>
        </w:tc>
      </w:tr>
      <w:tr>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Russia post-2022</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197</w:t>
            </w:r>
          </w:p>
        </w:tc>
        <w:tc>
          <w:tcPr>
            <w:tcW w:type="dxa" w:w="3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Sensitivity check subsample</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Ghost rows dropped</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1</w:t>
            </w:r>
          </w:p>
        </w:tc>
        <w:tc>
          <w:tcPr>
            <w:tcW w:type="dxa" w:w="3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Empty tempfile initialisation row — missing exporter/importer</w:t>
            </w:r>
          </w:p>
        </w:tc>
      </w:tr>
      <w:tr>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Duplicate triplets remaining</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0</w:t>
            </w:r>
          </w:p>
        </w:tc>
        <w:tc>
          <w:tcPr>
            <w:tcW w:type="dxa" w:w="3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Confirmed by duplicates drop after ghost removal</w:t>
            </w:r>
          </w:p>
        </w:tc>
      </w:tr>
    </w:tbl>
    <w:p>
      <w:pPr>
        <w:spacing w:after="120"/>
      </w:pPr>
    </w:p>
    <w:p>
      <w:pPr>
        <w:spacing w:after="120" w:before="0"/>
        <w:jc w:val="left"/>
      </w:pPr>
      <w:r>
        <w:rPr>
          <w:rFonts w:ascii="Arial" w:cs="Arial" w:eastAsia="Arial" w:hAnsi="Arial"/>
          <w:b w:val="false"/>
          <w:bCs w:val="false"/>
          <w:i w:val="false"/>
          <w:iCs w:val="false"/>
          <w:color w:val="000000"/>
          <w:sz w:val="22"/>
          <w:szCs w:val="22"/>
        </w:rPr>
        <w:t xml:space="preserve">The effective regression sample for all three specifications — PPML, log-OLS, and LPM — will be approximately 20,565 observations (the 24,579 total minus the 4,014 with missing volatility). The log-OLS sample will be further reduced by the 639 missing trade observations, yielding approximately 19,926 observations for Column (2).</w:t>
      </w:r>
    </w:p>
    <w:p>
      <w:pPr>
        <w:pBdr>
          <w:bottom w:val="single" w:color="2E75B6" w:sz="6" w:space="1"/>
        </w:pBdr>
        <w:spacing w:after="160" w:before="160"/>
      </w:pPr>
    </w:p>
    <w:p>
      <w:pPr>
        <w:pStyle w:val="Heading1"/>
      </w:pPr>
      <w:r>
        <w:rPr>
          <w:rFonts w:ascii="Arial" w:cs="Arial" w:eastAsia="Arial" w:hAnsi="Arial"/>
          <w:b/>
          <w:bCs/>
          <w:color w:val="1F3864"/>
          <w:sz w:val="32"/>
          <w:szCs w:val="32"/>
        </w:rPr>
        <w:t xml:space="preserve">9. Master Panel Variable Reference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1400"/>
        <w:gridCol w:w="4626"/>
      </w:tblGrid>
      <w:tr>
        <w:trPr>
          <w:tblHeader/>
        </w:trPr>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Variable</w:t>
            </w:r>
          </w:p>
        </w:tc>
        <w:tc>
          <w:tcPr>
            <w:tcW w:type="dxa" w:w="1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1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Example</w:t>
            </w:r>
          </w:p>
        </w:tc>
        <w:tc>
          <w:tcPr>
            <w:tcW w:type="dxa" w:w="46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exporter</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str4</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IND</w:t>
            </w:r>
          </w:p>
        </w:tc>
        <w:tc>
          <w:tcPr>
            <w:tcW w:type="dxa" w:w="4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BRICS exporter ISO3 code</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importer</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str4</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USA</w:t>
            </w:r>
          </w:p>
        </w:tc>
        <w:tc>
          <w:tcPr>
            <w:tcW w:type="dxa" w:w="46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Trade partner ISO3 code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year</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float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2015</w:t>
            </w:r>
          </w:p>
        </w:tc>
        <w:tc>
          <w:tcPr>
            <w:tcW w:type="dxa" w:w="4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Calendar year</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trade</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double</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480,054</w:t>
            </w:r>
          </w:p>
        </w:tc>
        <w:tc>
          <w:tcPr>
            <w:tcW w:type="dxa" w:w="46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Bilateral trade value, USD thousands (missing for 639 obs)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volatility</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double</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0.032</w:t>
            </w:r>
          </w:p>
        </w:tc>
        <w:tc>
          <w:tcPr>
            <w:tcW w:type="dxa" w:w="4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Rolling 12-month SD of monthly log exchange rate changes (missing for 4,014 obs)</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distw</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double</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7,621</w:t>
            </w:r>
          </w:p>
        </w:tc>
        <w:tc>
          <w:tcPr>
            <w:tcW w:type="dxa" w:w="46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Population-weighted bilateral distance, km (missing for 1,612 obs)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comlang_off</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byte</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0</w:t>
            </w:r>
          </w:p>
        </w:tc>
        <w:tc>
          <w:tcPr>
            <w:tcW w:type="dxa" w:w="4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1 if common official language</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colony</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byte</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1</w:t>
            </w:r>
          </w:p>
        </w:tc>
        <w:tc>
          <w:tcPr>
            <w:tcW w:type="dxa" w:w="46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1 if ever in colonial relationship</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contig</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byte</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0</w:t>
            </w:r>
          </w:p>
        </w:tc>
        <w:tc>
          <w:tcPr>
            <w:tcW w:type="dxa" w:w="4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1 if share a land border</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ln_trade</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double</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13.08</w:t>
            </w:r>
          </w:p>
        </w:tc>
        <w:tc>
          <w:tcPr>
            <w:tcW w:type="dxa" w:w="46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ln(trade) — missing for zero/missing trade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trade_dummy</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byte</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1</w:t>
            </w:r>
          </w:p>
        </w:tc>
        <w:tc>
          <w:tcPr>
            <w:tcW w:type="dxa" w:w="4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1 if trade &gt; 0 — extensive margin dependent variable</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ln_distw</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double</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8.94</w:t>
            </w:r>
          </w:p>
        </w:tc>
        <w:tc>
          <w:tcPr>
            <w:tcW w:type="dxa" w:w="46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ln(distw) — missing for 1,612 obs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pair_id</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long</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342</w:t>
            </w:r>
          </w:p>
        </w:tc>
        <w:tc>
          <w:tcPr>
            <w:tcW w:type="dxa" w:w="4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Unique numeric ID for exporter-importer pair</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exporter_year</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long</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48</w:t>
            </w:r>
          </w:p>
        </w:tc>
        <w:tc>
          <w:tcPr>
            <w:tcW w:type="dxa" w:w="46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Exporter × year FE numeric identifier</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importer_year</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long</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891</w:t>
            </w:r>
          </w:p>
        </w:tc>
        <w:tc>
          <w:tcPr>
            <w:tcW w:type="dxa" w:w="4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Importer × year FE numeric identifier</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russia_post22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byte</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0</w:t>
            </w:r>
          </w:p>
        </w:tc>
        <w:tc>
          <w:tcPr>
            <w:tcW w:type="dxa" w:w="46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1 for RUS exporter observations from 2022 onwards</w:t>
            </w:r>
          </w:p>
        </w:tc>
      </w:tr>
    </w:tbl>
    <w:p>
      <w:pPr>
        <w:pBdr>
          <w:bottom w:val="single" w:color="2E75B6" w:sz="6" w:space="1"/>
        </w:pBdr>
        <w:spacing w:after="160" w:before="160"/>
      </w:pPr>
    </w:p>
    <w:p>
      <w:pPr>
        <w:pStyle w:val="Heading1"/>
      </w:pPr>
      <w:r>
        <w:rPr>
          <w:rFonts w:ascii="Arial" w:cs="Arial" w:eastAsia="Arial" w:hAnsi="Arial"/>
          <w:b/>
          <w:bCs/>
          <w:color w:val="1F3864"/>
          <w:sz w:val="32"/>
          <w:szCs w:val="32"/>
        </w:rPr>
        <w:t xml:space="preserve">10. Key Stata Commands Used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Command</w:t>
            </w:r>
          </w:p>
        </w:tc>
        <w:tc>
          <w:tcPr>
            <w:tcW w:type="dxa" w:w="66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Purpose in This Do-File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recast</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Change variable storage type without altering values — used to align str3/str4 and int/float before merging</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merge 1:1</w:t>
            </w:r>
          </w:p>
        </w:tc>
        <w:tc>
          <w:tcPr>
            <w:tcW w:type="dxa" w:w="66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One-to-one merge on exporter, importer, year — trade panel with volatility panel</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merge m:1</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Many-to-one merge on exporter, importer — panel with GeoDist (one GeoDist row per pair, many years)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keepusing()</w:t>
            </w:r>
          </w:p>
        </w:tc>
        <w:tc>
          <w:tcPr>
            <w:tcW w:type="dxa" w:w="66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Retain only specified variables from the using dataset — prevents GeoDist variables not needed from entering</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keep(match master)</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Retain all master observations regardless of GeoDist match — prevents observation loss from non-coverage</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drop if missing()</w:t>
            </w:r>
          </w:p>
        </w:tc>
        <w:tc>
          <w:tcPr>
            <w:tcW w:type="dxa" w:w="66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Remove ghost row with missing exporter/importer identifiers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duplicates drop</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Safety check — confirm no duplicate triplets after ghost removal</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gen ln_trade = ln(trade)</w:t>
            </w:r>
          </w:p>
        </w:tc>
        <w:tc>
          <w:tcPr>
            <w:tcW w:type="dxa" w:w="66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Generate log trade — automatically missing for non-positive values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gen trade_dummy</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Generate extensive margin binary indicator</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gen ln_distw = ln(distw)</w:t>
            </w:r>
          </w:p>
        </w:tc>
        <w:tc>
          <w:tcPr>
            <w:tcW w:type="dxa" w:w="66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Generate log distance for log-OLS gravity control</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egen group()</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Generate numeric fixed effect identifiers from string-year combinations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label variable</w:t>
            </w:r>
          </w:p>
        </w:tc>
        <w:tc>
          <w:tcPr>
            <w:tcW w:type="dxa" w:w="66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Attach descriptive labels to all generated variables for output readability</w:t>
            </w:r>
          </w:p>
        </w:tc>
      </w:tr>
    </w:tbl>
    <w:p>
      <w:pPr>
        <w:pBdr>
          <w:bottom w:val="single" w:color="2E75B6" w:sz="6" w:space="1"/>
        </w:pBdr>
        <w:spacing w:after="160" w:before="160"/>
      </w:pPr>
    </w:p>
    <w:p>
      <w:pPr>
        <w:pStyle w:val="Heading1"/>
      </w:pPr>
      <w:r>
        <w:rPr>
          <w:rFonts w:ascii="Arial" w:cs="Arial" w:eastAsia="Arial" w:hAnsi="Arial"/>
          <w:b/>
          <w:bCs/>
          <w:color w:val="1F3864"/>
          <w:sz w:val="32"/>
          <w:szCs w:val="32"/>
        </w:rPr>
        <w:t xml:space="preserve">11. Run Statistics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Item</w:t>
            </w:r>
          </w:p>
        </w:tc>
        <w:tc>
          <w:tcPr>
            <w:tcW w:type="dxa" w:w="58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Value</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Run date</w:t>
            </w:r>
          </w:p>
        </w:tc>
        <w:tc>
          <w:tcPr>
            <w:tcW w:type="dxa" w:w="5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1 June 2026</w:t>
            </w:r>
          </w:p>
        </w:tc>
      </w:tr>
      <w:tr>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Run time</w:t>
            </w:r>
          </w:p>
        </w:tc>
        <w:tc>
          <w:tcPr>
            <w:tcW w:type="dxa" w:w="5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14:53:23 – 14:53:23 (under 1 minute)</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Stata version</w:t>
            </w:r>
          </w:p>
        </w:tc>
        <w:tc>
          <w:tcPr>
            <w:tcW w:type="dxa" w:w="5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18.0</w:t>
            </w:r>
          </w:p>
        </w:tc>
      </w:tr>
      <w:tr>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Input: brics_trade_panel.dta</w:t>
            </w:r>
          </w:p>
        </w:tc>
        <w:tc>
          <w:tcPr>
            <w:tcW w:type="dxa" w:w="5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23,940 observations, 4 variables</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Input: volatility_panel.dta</w:t>
            </w:r>
          </w:p>
        </w:tc>
        <w:tc>
          <w:tcPr>
            <w:tcW w:type="dxa" w:w="5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20,565 observations, 4 variables</w:t>
            </w:r>
          </w:p>
        </w:tc>
      </w:tr>
      <w:tr>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Input: dist_cepii.dta</w:t>
            </w:r>
          </w:p>
        </w:tc>
        <w:tc>
          <w:tcPr>
            <w:tcW w:type="dxa" w:w="5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50,176 observations, 14 variables</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Output: master_panel.dta</w:t>
            </w:r>
          </w:p>
        </w:tc>
        <w:tc>
          <w:tcPr>
            <w:tcW w:type="dxa" w:w="5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24,579 observations, 16 variables</w:t>
            </w:r>
          </w:p>
        </w:tc>
      </w:tr>
      <w:tr>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Volatility merge — matched</w:t>
            </w:r>
          </w:p>
        </w:tc>
        <w:tc>
          <w:tcPr>
            <w:tcW w:type="dxa" w:w="5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19,926</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Volatility merge — master only</w:t>
            </w:r>
          </w:p>
        </w:tc>
        <w:tc>
          <w:tcPr>
            <w:tcW w:type="dxa" w:w="5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4,014 (after ghost drop)</w:t>
            </w:r>
          </w:p>
        </w:tc>
      </w:tr>
      <w:tr>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Volatility merge — using only</w:t>
            </w:r>
          </w:p>
        </w:tc>
        <w:tc>
          <w:tcPr>
            <w:tcW w:type="dxa" w:w="5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639</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GeoDist merge — matched</w:t>
            </w:r>
          </w:p>
        </w:tc>
        <w:tc>
          <w:tcPr>
            <w:tcW w:type="dxa" w:w="5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23,305</w:t>
            </w:r>
          </w:p>
        </w:tc>
      </w:tr>
      <w:tr>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GeoDist merge — master only (no coverage)</w:t>
            </w:r>
          </w:p>
        </w:tc>
        <w:tc>
          <w:tcPr>
            <w:tcW w:type="dxa" w:w="5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1,274</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Ghost rows dropped</w:t>
            </w:r>
          </w:p>
        </w:tc>
        <w:tc>
          <w:tcPr>
            <w:tcW w:type="dxa" w:w="5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1</w:t>
            </w:r>
          </w:p>
        </w:tc>
      </w:tr>
      <w:tr>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Duplicate triplets dropped</w:t>
            </w:r>
          </w:p>
        </w:tc>
        <w:tc>
          <w:tcPr>
            <w:tcW w:type="dxa" w:w="5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0</w:t>
            </w:r>
          </w:p>
        </w:tc>
      </w:tr>
    </w:tbl>
    <w:p>
      <w:pPr>
        <w:pBdr>
          <w:bottom w:val="single" w:color="2E75B6" w:sz="6" w:space="1"/>
        </w:pBdr>
        <w:spacing w:after="160" w:before="160"/>
      </w:pPr>
    </w:p>
    <w:p>
      <w:pPr>
        <w:pStyle w:val="Heading1"/>
      </w:pPr>
      <w:r>
        <w:rPr>
          <w:rFonts w:ascii="Arial" w:cs="Arial" w:eastAsia="Arial" w:hAnsi="Arial"/>
          <w:b/>
          <w:bCs/>
          <w:color w:val="1F3864"/>
          <w:sz w:val="32"/>
          <w:szCs w:val="32"/>
        </w:rPr>
        <w:t xml:space="preserve">12. Next Steps — 03_analysis.do</w:t>
      </w:r>
    </w:p>
    <w:p>
      <w:pPr>
        <w:spacing w:after="120" w:before="0"/>
        <w:jc w:val="left"/>
      </w:pPr>
      <w:r>
        <w:rPr>
          <w:rFonts w:ascii="Arial" w:cs="Arial" w:eastAsia="Arial" w:hAnsi="Arial"/>
          <w:b w:val="false"/>
          <w:bCs w:val="false"/>
          <w:i w:val="false"/>
          <w:iCs w:val="false"/>
          <w:color w:val="000000"/>
          <w:sz w:val="22"/>
          <w:szCs w:val="22"/>
        </w:rPr>
        <w:t xml:space="preserve">03_analysis.do takes master_panel.dta as its sole input and runs all three regression specifications:</w:t>
      </w:r>
    </w:p>
    <w:p>
      <w:pPr>
        <w:spacing w:after="80"/>
      </w:pPr>
    </w:p>
    <w:p>
      <w:pPr>
        <w:pStyle w:val="ListParagraph"/>
        <w:numPr>
          <w:ilvl w:val="0"/>
          <w:numId w:val="3"/>
        </w:numPr>
        <w:spacing w:after="80"/>
      </w:pPr>
      <w:r>
        <w:rPr>
          <w:rFonts w:ascii="Arial" w:cs="Arial" w:eastAsia="Arial" w:hAnsi="Arial"/>
          <w:sz w:val="22"/>
          <w:szCs w:val="22"/>
        </w:rPr>
        <w:t xml:space="preserve">PPML with three-way fixed effects — primary specification. Full sample including zero trade flows. Dependent variable: trade (levels). Estimator: ppmlhdfe. Absorbs pair_id, exporter_year, importer_year.</w:t>
      </w:r>
    </w:p>
    <w:p>
      <w:pPr>
        <w:pStyle w:val="ListParagraph"/>
        <w:numPr>
          <w:ilvl w:val="0"/>
          <w:numId w:val="3"/>
        </w:numPr>
        <w:spacing w:after="80"/>
      </w:pPr>
      <w:r>
        <w:rPr>
          <w:rFonts w:ascii="Arial" w:cs="Arial" w:eastAsia="Arial" w:hAnsi="Arial"/>
          <w:sz w:val="22"/>
          <w:szCs w:val="22"/>
        </w:rPr>
        <w:t xml:space="preserve">Log-OLS with three-way fixed effects — robustness check. Sample restricted to strictly positive trade flows (ln_trade non-missing). Dependent variable: ln_trade. Estimator: reghdfe. Reports the observation count difference vs PPML to quantify discarded zeros.</w:t>
      </w:r>
    </w:p>
    <w:p>
      <w:pPr>
        <w:pStyle w:val="ListParagraph"/>
        <w:numPr>
          <w:ilvl w:val="0"/>
          <w:numId w:val="3"/>
        </w:numPr>
        <w:spacing w:after="80"/>
      </w:pPr>
      <w:r>
        <w:rPr>
          <w:rFonts w:ascii="Arial" w:cs="Arial" w:eastAsia="Arial" w:hAnsi="Arial"/>
          <w:sz w:val="22"/>
          <w:szCs w:val="22"/>
        </w:rPr>
        <w:t xml:space="preserve">Linear probability model — extensive margin. Full sample. Dependent variable: trade_dummy. Estimator: reghdfe. Coefficient interpreted as percentage point change in probability of positive trade.</w:t>
      </w:r>
    </w:p>
    <w:p>
      <w:pPr>
        <w:spacing w:after="80"/>
      </w:pPr>
    </w:p>
    <w:p>
      <w:pPr>
        <w:spacing w:after="120" w:before="0"/>
        <w:jc w:val="left"/>
      </w:pPr>
      <w:r>
        <w:rPr>
          <w:rFonts w:ascii="Arial" w:cs="Arial" w:eastAsia="Arial" w:hAnsi="Arial"/>
          <w:b w:val="false"/>
          <w:bCs w:val="false"/>
          <w:i w:val="false"/>
          <w:iCs w:val="false"/>
          <w:color w:val="000000"/>
          <w:sz w:val="22"/>
          <w:szCs w:val="22"/>
        </w:rPr>
        <w:t xml:space="preserve">Each specification is additionally run with BRICS exporter interactions to recover country-specific volatility coefficients, and with the russia_post22 == 0 restriction for the sanctions sensitivity check. Results are exported to output/results_table.xlsx using estout.</w:t>
      </w:r>
    </w:p>
    <w:p>
      <w:pPr>
        <w:spacing w:after="200"/>
      </w:pPr>
    </w:p>
    <w:p>
      <w:pPr>
        <w:spacing w:after="0"/>
        <w:jc w:val="center"/>
      </w:pPr>
      <w:r>
        <w:rPr>
          <w:rFonts w:ascii="Arial" w:cs="Arial" w:eastAsia="Arial" w:hAnsi="Arial"/>
          <w:color w:val="888888"/>
          <w:sz w:val="18"/>
          <w:szCs w:val="18"/>
        </w:rPr>
        <w:t xml:space="preserve">End of Documentation — 02_merge.do</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888888"/>
        <w:sz w:val="18"/>
        <w:szCs w:val="18"/>
      </w:rPr>
      <w:t xml:space="preserve">Project 2 — Do-file 02 Documentation   |   Page </w:t>
    </w:r>
    <w:r>
      <w:rPr>
        <w:rFonts w:ascii="Arial" w:cs="Arial" w:eastAsia="Arial" w:hAnsi="Arial"/>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6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2E75B6"/>
      <w:sz w:val="26"/>
      <w:szCs w:val="26"/>
    </w:rPr>
  </w:style>
  <w:style w:type="paragraph" w:styleId="Heading3">
    <w:name w:val="Heading 3"/>
    <w:basedOn w:val="Normal"/>
    <w:next w:val="Normal"/>
    <w:qFormat/>
    <w:pPr>
      <w:spacing w:after="80" w:before="180"/>
      <w:outlineLvl w:val="2"/>
    </w:pPr>
    <w:rPr>
      <w:rFonts w:ascii="Arial" w:cs="Arial" w:eastAsia="Arial" w:hAnsi="Arial"/>
      <w:b/>
      <w:bCs/>
      <w:color w:val="1F3864"/>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2026-06-01T13:06:15.335Z</dcterms:created>
  <dcterms:modified xsi:type="dcterms:W3CDTF">2026-06-01T13:06:15.352Z</dcterms:modified>
</cp:coreProperties>
</file>

<file path=docProps/custom.xml><?xml version="1.0" encoding="utf-8"?>
<Properties xmlns="http://schemas.openxmlformats.org/officeDocument/2006/custom-properties" xmlns:vt="http://schemas.openxmlformats.org/officeDocument/2006/docPropsVTypes"/>
</file>