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ageBreakBefore w:val="0"/>
        <w:spacing w:after="120" w:before="0" w:line="259" w:lineRule="auto"/>
        <w:jc w:val="left"/>
      </w:pPr>
      <w:r>
        <w:rPr>
          <w:b/>
          <w:sz w:val="40"/>
        </w:rPr>
        <w:t>Project 2 Exchange Rate Volatility and Trade</w:t>
      </w:r>
    </w:p>
    <w:p>
      <w:pPr>
        <w:pStyle w:val="Normal"/>
        <w:pageBreakBefore w:val="0"/>
        <w:spacing w:after="120" w:before="0" w:line="259" w:lineRule="auto"/>
        <w:jc w:val="left"/>
      </w:pPr>
      <w:r>
        <w:rPr>
          <w:rFonts w:ascii="Calibri" w:cs="Arial" w:eastAsia="Arial" w:hAnsi="Calibri"/>
          <w:color w:val="000000"/>
          <w:sz w:val="20"/>
          <w:szCs w:val="24"/>
        </w:rPr>
        <w:t xml:space="preserve">  Do-file 01: Data Cleaning and Variable Construction — Full Documentation</w:t>
      </w:r>
    </w:p>
    <w:p>
      <w:pPr>
        <w:pStyle w:val="Normal"/>
        <w:pageBreakBefore w:val="0"/>
        <w:spacing w:after="120" w:before="0" w:line="259" w:lineRule="auto"/>
      </w:pPr>
      <w:r>
        <w:rPr>
          <w:rFonts w:ascii="Calibri" w:cs="Arial" w:eastAsia="Arial" w:hAnsi="Calibri"/>
          <w:color w:val="000000"/>
          <w:sz w:val="20"/>
          <w:szCs w:val="19"/>
        </w:rPr>
        <w:t xml:space="preserve">  Author: Aadhitya   |   Date: June 2026   |   BRICS-Trade-Labour-Portfolio</w:t>
      </w:r>
    </w:p>
    <w:p>
      <w:pPr>
        <w:pStyle w:val="Heading1"/>
        <w:keepNext/>
        <w:pageBreakBefore w:val="0"/>
        <w:spacing w:line="259" w:lineRule="auto" w:after="120"/>
      </w:pPr>
      <w:r>
        <w:rPr>
          <w:rFonts w:ascii="Calibri" w:hAnsi="Calibri"/>
          <w:color w:val="000000"/>
          <w:sz w:val="28"/>
        </w:rPr>
        <w:t>1 Purpose and Scope</w:t>
      </w:r>
    </w:p>
    <w:p>
      <w:pPr>
        <w:pStyle w:val="Normal"/>
        <w:pageBreakBefore w:val="0"/>
        <w:spacing w:after="120" w:before="0" w:line="259" w:lineRule="auto"/>
        <w:jc w:val="left"/>
      </w:pPr>
      <w:r>
        <w:rPr>
          <w:rFonts w:ascii="Calibri" w:cs="Arial" w:eastAsia="Arial" w:hAnsi="Calibri"/>
          <w:b w:val="false"/>
          <w:bCs w:val="false"/>
          <w:i w:val="false"/>
          <w:iCs w:val="false"/>
          <w:color w:val="000000"/>
          <w:sz w:val="20"/>
          <w:szCs w:val="22"/>
        </w:rPr>
        <w:t xml:space="preserve">01_clean.do is the first of three do-files in Project 2. Its sole responsibility is converting three raw data sources — CEPII BACI trade flows, IMF International Financial Statistics exchange rates, and the CEPII country code crosswalk — into two clean Stata datasets that serve as inputs to 02_merge.do.</w:t>
      </w:r>
    </w:p>
    <w:p>
      <w:pPr>
        <w:pStyle w:val="Normal"/>
        <w:pageBreakBefore w:val="0"/>
        <w:spacing w:after="120" w:before="0" w:line="259" w:lineRule="auto"/>
        <w:jc w:val="left"/>
      </w:pPr>
      <w:r>
        <w:rPr>
          <w:rFonts w:ascii="Calibri" w:cs="Arial" w:eastAsia="Arial" w:hAnsi="Calibri"/>
          <w:b w:val="false"/>
          <w:bCs w:val="false"/>
          <w:i w:val="false"/>
          <w:iCs w:val="false"/>
          <w:color w:val="000000"/>
          <w:sz w:val="20"/>
          <w:szCs w:val="22"/>
        </w:rPr>
        <w:t xml:space="preserve">The do-file produces:</w:t>
      </w:r>
    </w:p>
    <w:p>
      <w:pPr>
        <w:pStyle w:val="ListParagraph"/>
        <w:pageBreakBefore w:val="0"/>
        <w:numPr>
          <w:ilvl w:val="0"/>
          <w:numId w:val="2"/>
        </w:numPr>
        <w:spacing w:after="120" w:line="259" w:lineRule="auto"/>
      </w:pPr>
      <w:r>
        <w:rPr>
          <w:rFonts w:ascii="Calibri" w:cs="Arial" w:eastAsia="Arial" w:hAnsi="Calibri"/>
          <w:b w:val="false"/>
          <w:bCs w:val="false"/>
          <w:i w:val="false"/>
          <w:iCs w:val="false"/>
          <w:color w:val="000000"/>
          <w:sz w:val="20"/>
          <w:szCs w:val="22"/>
        </w:rPr>
        <w:t xml:space="preserve">brics_trade_panel.dta — bilateral annual trade values (thousands USD) for 5 BRICS exporters across all trading partners, 2000–2022, aggregated from HS6 product level to exporter-importer-year triplets.</w:t>
      </w:r>
    </w:p>
    <w:p>
      <w:pPr>
        <w:pStyle w:val="ListParagraph"/>
        <w:pageBreakBefore w:val="0"/>
        <w:numPr>
          <w:ilvl w:val="0"/>
          <w:numId w:val="2"/>
        </w:numPr>
        <w:spacing w:after="120" w:line="259" w:lineRule="auto"/>
      </w:pPr>
      <w:r>
        <w:rPr>
          <w:rFonts w:ascii="Calibri" w:cs="Arial" w:eastAsia="Arial" w:hAnsi="Calibri"/>
          <w:b w:val="false"/>
          <w:bCs w:val="false"/>
          <w:i w:val="false"/>
          <w:iCs w:val="false"/>
          <w:color w:val="000000"/>
          <w:sz w:val="20"/>
          <w:szCs w:val="22"/>
        </w:rPr>
        <w:t xml:space="preserve">volatility_panel.dta — annual bilateral exchange rate volatility measures for all BRICS-partner pairs, 2000–2022, constructed as the rolling 12-month standard deviation of monthly log exchange rate changes.</w:t>
      </w:r>
    </w:p>
    <w:p>
      <w:pPr>
        <w:pStyle w:val="Normal"/>
        <w:pageBreakBefore w:val="0"/>
        <w:spacing w:after="120" w:before="0" w:line="259" w:lineRule="auto"/>
        <w:jc w:val="left"/>
      </w:pPr>
      <w:r>
        <w:rPr>
          <w:rFonts w:ascii="Calibri" w:cs="Arial" w:eastAsia="Arial" w:hAnsi="Calibri"/>
          <w:b w:val="false"/>
          <w:bCs w:val="false"/>
          <w:i w:val="false"/>
          <w:iCs w:val="false"/>
          <w:color w:val="000000"/>
          <w:sz w:val="20"/>
          <w:szCs w:val="22"/>
        </w:rPr>
        <w:t xml:space="preserve">Neither dataset is directly used in any regression. Both are passed to 02_merge.do, which constructs the master panel for analysis.</w:t>
      </w:r>
    </w:p>
    <w:p>
      <w:pPr>
        <w:pStyle w:val="Heading1"/>
        <w:keepNext/>
        <w:pageBreakBefore w:val="0"/>
        <w:spacing w:line="259" w:lineRule="auto" w:after="120"/>
      </w:pPr>
      <w:r>
        <w:rPr>
          <w:rFonts w:ascii="Calibri" w:hAnsi="Calibri"/>
          <w:color w:val="000000"/>
          <w:sz w:val="28"/>
        </w:rPr>
        <w:t>2 File Locations</w:t>
      </w:r>
    </w:p>
    <w:p>
      <w:pPr>
        <w:pStyle w:val="Heading2"/>
        <w:keepNext/>
        <w:pageBreakBefore w:val="0"/>
        <w:spacing w:line="259" w:lineRule="auto" w:after="120"/>
      </w:pPr>
      <w:r>
        <w:rPr>
          <w:rFonts w:ascii="Calibri" w:hAnsi="Calibri"/>
          <w:color w:val="000000"/>
          <w:sz w:val="22"/>
        </w:rPr>
        <w:t>2 1 Inputs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48"/>
        <w:gridCol w:w="1728"/>
        <w:gridCol w:w="6192"/>
      </w:tblGrid>
      <w:tr>
        <w:trPr>
          <w:tblHeader/>
          <w:cantSplit/>
          <w:tblHeader/>
        </w:trPr>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File</w:t>
            </w:r>
          </w:p>
        </w:tc>
        <w:tc>
          <w:tcPr>
            <w:tcW w:type="dxa" w:w="172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Location</w:t>
            </w:r>
          </w:p>
        </w:tc>
        <w:tc>
          <w:tcPr>
            <w:tcW w:type="dxa" w:w="6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Description</w:t>
            </w:r>
          </w:p>
        </w:tc>
      </w:tr>
      <w:tr>
        <w:trPr>
          <w:cantSplit/>
        </w:trPr>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BACI_HS92_Y****_V202601.csv (×30)</w:t>
            </w:r>
          </w:p>
        </w:tc>
        <w:tc>
          <w:tcPr>
            <w:tcW w:type="dxa" w:w="172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data/BACI_HS92_V202601/</w:t>
            </w:r>
          </w:p>
        </w:tc>
        <w:tc>
          <w:tcPr>
            <w:tcW w:type="dxa" w:w="6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Annual bilateral trade flows, HS6 level, 1995–2024</w:t>
            </w:r>
          </w:p>
        </w:tc>
      </w:tr>
      <w:tr>
        <w:trPr>
          <w:cantSplit/>
        </w:trPr>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country_codes_V202601.csv</w:t>
            </w:r>
          </w:p>
        </w:tc>
        <w:tc>
          <w:tcPr>
            <w:tcW w:type="dxa" w:w="172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data/BACI_HS92_V202601/</w:t>
            </w:r>
          </w:p>
        </w:tc>
        <w:tc>
          <w:tcPr>
            <w:tcW w:type="dxa" w:w="6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CEPII numeric code to ISO3 crosswalk (238 countries)</w:t>
            </w:r>
          </w:p>
        </w:tc>
      </w:tr>
      <w:tr>
        <w:trPr>
          <w:cantSplit/>
        </w:trPr>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ifs_exchange_rates.csv</w:t>
            </w:r>
          </w:p>
        </w:tc>
        <w:tc>
          <w:tcPr>
            <w:tcW w:type="dxa" w:w="172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data/</w:t>
            </w:r>
          </w:p>
        </w:tc>
        <w:tc>
          <w:tcPr>
            <w:tcW w:type="dxa" w:w="6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IMF IFS monthly exchange rates, domestic currency per USD, period average, 2000–2022</w:t>
            </w:r>
          </w:p>
        </w:tc>
      </w:tr>
    </w:tbl>
    <w:p>
      <w:pPr>
        <w:pStyle w:val="Heading2"/>
        <w:keepNext/>
        <w:pageBreakBefore w:val="0"/>
        <w:spacing w:line="259" w:lineRule="auto" w:after="120" w:before="160"/>
      </w:pPr>
      <w:r>
        <w:rPr>
          <w:rFonts w:ascii="Calibri" w:hAnsi="Calibri"/>
          <w:color w:val="000000"/>
          <w:sz w:val="22"/>
        </w:rPr>
        <w:t>2 2 Outputs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48"/>
        <w:gridCol w:w="1728"/>
        <w:gridCol w:w="6192"/>
      </w:tblGrid>
      <w:tr>
        <w:trPr>
          <w:tblHeader/>
          <w:cantSplit/>
          <w:tblHeader/>
        </w:trPr>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File</w:t>
            </w:r>
          </w:p>
        </w:tc>
        <w:tc>
          <w:tcPr>
            <w:tcW w:type="dxa" w:w="172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Location</w:t>
            </w:r>
          </w:p>
        </w:tc>
        <w:tc>
          <w:tcPr>
            <w:tcW w:type="dxa" w:w="6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Description</w:t>
            </w:r>
          </w:p>
        </w:tc>
      </w:tr>
      <w:tr>
        <w:trPr>
          <w:cantSplit/>
        </w:trPr>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brics_trade_panel.dta</w:t>
            </w:r>
          </w:p>
        </w:tc>
        <w:tc>
          <w:tcPr>
            <w:tcW w:type="dxa" w:w="172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data/</w:t>
            </w:r>
          </w:p>
        </w:tc>
        <w:tc>
          <w:tcPr>
            <w:tcW w:type="dxa" w:w="6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23,940 obs — exporter, importer, year, trade (USD thousands)</w:t>
            </w:r>
          </w:p>
        </w:tc>
      </w:tr>
      <w:tr>
        <w:trPr>
          <w:cantSplit/>
        </w:trPr>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volatility_panel.dta</w:t>
            </w:r>
          </w:p>
        </w:tc>
        <w:tc>
          <w:tcPr>
            <w:tcW w:type="dxa" w:w="172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data/</w:t>
            </w:r>
          </w:p>
        </w:tc>
        <w:tc>
          <w:tcPr>
            <w:tcW w:type="dxa" w:w="6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20,565 obs — exporter, importer, year, volatility (rolling 12m SD)</w:t>
            </w:r>
          </w:p>
        </w:tc>
      </w:tr>
      <w:tr>
        <w:trPr>
          <w:cantSplit/>
        </w:trPr>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country_crosswalk.dta</w:t>
            </w:r>
          </w:p>
        </w:tc>
        <w:tc>
          <w:tcPr>
            <w:tcW w:type="dxa" w:w="172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data/</w:t>
            </w:r>
          </w:p>
        </w:tc>
        <w:tc>
          <w:tcPr>
            <w:tcW w:type="dxa" w:w="6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Intermediate — BACI numeric codes to ISO3 strings (238 rows)</w:t>
            </w:r>
          </w:p>
        </w:tc>
      </w:tr>
      <w:tr>
        <w:trPr>
          <w:cantSplit/>
        </w:trPr>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ifs_monthly_rates.dta</w:t>
            </w:r>
          </w:p>
        </w:tc>
        <w:tc>
          <w:tcPr>
            <w:tcW w:type="dxa" w:w="172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data/</w:t>
            </w:r>
          </w:p>
        </w:tc>
        <w:tc>
          <w:tcPr>
            <w:tcW w:type="dxa" w:w="6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Intermediate — 49,642 obs of monthly USD rates by country</w:t>
            </w:r>
          </w:p>
        </w:tc>
      </w:tr>
      <w:tr>
        <w:trPr>
          <w:cantSplit/>
        </w:trPr>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01_clean.log</w:t>
            </w:r>
          </w:p>
        </w:tc>
        <w:tc>
          <w:tcPr>
            <w:tcW w:type="dxa" w:w="172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log/</w:t>
            </w:r>
          </w:p>
        </w:tc>
        <w:tc>
          <w:tcPr>
            <w:tcW w:type="dxa" w:w="6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Full run log — all commands and output captured</w:t>
            </w:r>
          </w:p>
        </w:tc>
      </w:tr>
    </w:tbl>
    <w:p>
      <w:pPr>
        <w:pStyle w:val="Heading1"/>
        <w:keepNext/>
        <w:pageBreakBefore w:val="0"/>
        <w:spacing w:line="259" w:lineRule="auto" w:after="120" w:before="160"/>
      </w:pPr>
      <w:r>
        <w:rPr>
          <w:rFonts w:ascii="Calibri" w:hAnsi="Calibri"/>
          <w:color w:val="000000"/>
          <w:sz w:val="28"/>
        </w:rPr>
        <w:t>3 Data Sources</w:t>
      </w:r>
    </w:p>
    <w:p>
      <w:pPr>
        <w:pStyle w:val="Heading2"/>
        <w:keepNext/>
        <w:pageBreakBefore w:val="0"/>
        <w:spacing w:line="259" w:lineRule="auto" w:after="120"/>
      </w:pPr>
      <w:r>
        <w:rPr>
          <w:rFonts w:ascii="Calibri" w:hAnsi="Calibri"/>
          <w:color w:val="000000"/>
          <w:sz w:val="22"/>
        </w:rPr>
        <w:t>3 1 CEPII BACI HS92 V202601</w:t>
      </w:r>
    </w:p>
    <w:p>
      <w:pPr>
        <w:pStyle w:val="Normal"/>
        <w:pageBreakBefore w:val="0"/>
        <w:spacing w:after="120" w:before="0" w:line="259" w:lineRule="auto"/>
        <w:jc w:val="left"/>
      </w:pPr>
      <w:r>
        <w:rPr>
          <w:rFonts w:ascii="Calibri" w:cs="Arial" w:eastAsia="Arial" w:hAnsi="Calibri"/>
          <w:b w:val="false"/>
          <w:bCs w:val="false"/>
          <w:i w:val="false"/>
          <w:iCs w:val="false"/>
          <w:color w:val="000000"/>
          <w:sz w:val="20"/>
          <w:szCs w:val="22"/>
        </w:rPr>
        <w:t xml:space="preserve">BACI (Base pour l'Analyse du Commerce International) is CEPII's harmonised bilateral trade database. It improves on raw UN Comtrade by reconciling the systematic discrepancy between exporters' and importers' reports of the same trade flow, which arises because exports are recorded FOB and imports are recorded CIF. CEPII applies a maximum likelihood reconciliation procedure to produce a single harmonised value per bilateral-product-year observation.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84"/>
        <w:gridCol w:w="6984"/>
      </w:tblGrid>
      <w:tr>
        <w:trPr>
          <w:tblHeader/>
          <w:cantSplit/>
          <w:tblHeader/>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Attribute</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Detail</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Vintage</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V202601 (January 2026 release — most recent available)</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HS Revision</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HS 1992 — longest available series (1995–2024)</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Years used</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2000–2022 (23 years)</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Unit of observation</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Exporter–importer–HS6 product–year (approx. 7–11 million rows per year)</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Key variables</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i (exporter CEPII numeric), j (importer CEPII numeric), k (HS6 code), v (value USD thousands), q (quantity metric tonnes)</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Country coding</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CEPII numeric codes — not ISO3. Crosswalk file required.</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Access</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baci.cepii.fr (free registration) or Harvard Dataverse CEPII deposit</w:t>
            </w:r>
          </w:p>
        </w:tc>
      </w:tr>
    </w:tbl>
    <w:p>
      <w:pPr>
        <w:pStyle w:val="Normal"/>
        <w:pageBreakBefore w:val="0"/>
        <w:spacing w:after="120" w:before="160" w:line="259" w:lineRule="auto"/>
        <w:jc w:val="left"/>
      </w:pPr>
      <w:r>
        <w:rPr>
          <w:rFonts w:ascii="Calibri" w:cs="Arial" w:eastAsia="Arial" w:hAnsi="Calibri"/>
          <w:b w:val="false"/>
          <w:bCs w:val="false"/>
          <w:i w:val="false"/>
          <w:iCs w:val="false"/>
          <w:color w:val="000000"/>
          <w:sz w:val="20"/>
          <w:szCs w:val="22"/>
        </w:rPr>
        <w:t xml:space="preserve">Variables used in this project: i, j, v, t. Variable k (product) and q (quantity) are dropped after aggregation. The do-file collapses all product-level rows to bilateral annual totals immediately after loading each year's file — the product dimension is not retained.</w:t>
      </w:r>
    </w:p>
    <w:p>
      <w:pPr>
        <w:pStyle w:val="Heading2"/>
        <w:keepNext/>
        <w:pageBreakBefore w:val="0"/>
        <w:spacing w:line="259" w:lineRule="auto" w:after="120"/>
      </w:pPr>
      <w:r>
        <w:rPr>
          <w:rFonts w:ascii="Calibri" w:hAnsi="Calibri"/>
          <w:color w:val="000000"/>
          <w:sz w:val="22"/>
        </w:rPr>
        <w:t>3 2 IMF International Financial Statistics Exchange Rates</w:t>
      </w:r>
    </w:p>
    <w:p>
      <w:pPr>
        <w:pStyle w:val="Normal"/>
        <w:pageBreakBefore w:val="0"/>
        <w:spacing w:after="120" w:before="0" w:line="259" w:lineRule="auto"/>
        <w:jc w:val="left"/>
      </w:pPr>
      <w:r>
        <w:rPr>
          <w:rFonts w:ascii="Calibri" w:cs="Arial" w:eastAsia="Arial" w:hAnsi="Calibri"/>
          <w:b w:val="false"/>
          <w:bCs w:val="false"/>
          <w:i w:val="false"/>
          <w:iCs w:val="false"/>
          <w:color w:val="000000"/>
          <w:sz w:val="20"/>
          <w:szCs w:val="22"/>
        </w:rPr>
        <w:t xml:space="preserve">Exchange rate data is sourced from the IMF's International Financial Statistics (IFS) Exchange Rates dataset, downloaded via the IMF Data Portal (data.imf.org). The specific series used is domestic currency per US Dollar, period average, monthly frequency.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84"/>
        <w:gridCol w:w="6984"/>
      </w:tblGrid>
      <w:tr>
        <w:trPr>
          <w:tblHeader/>
          <w:cantSplit/>
          <w:tblHeader/>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Attribute</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Detail</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Indicator</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Domestic currency per US Dollar (XDC_USD)</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Transformation type</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Period average (PA_RT) — not end of period</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Frequency</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Monthly</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Period</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January 2000 – December 2022 (276 months)</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Country coverage</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193 countries (all IMF member states)</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Country identifier</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IMF country ID (e.g. BRA, CHN, IND, RUS, ZAF) — ISO3 compatible</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File format</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CSV, observation per row, with Country, Indicator, Type of Transformation, Frequency columns</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Raw file size</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~24 MB, 902,668 rows (includes annual, quarterly, and monthly; multiple series types)</w:t>
            </w:r>
          </w:p>
        </w:tc>
      </w:tr>
    </w:tbl>
    <w:p>
      <w:pPr>
        <w:pStyle w:val="Normal"/>
        <w:pageBreakBefore w:val="0"/>
        <w:spacing w:after="120" w:before="160" w:line="259" w:lineRule="auto"/>
        <w:jc w:val="left"/>
      </w:pPr>
      <w:r>
        <w:rPr>
          <w:rFonts w:ascii="Calibri" w:cs="Arial" w:eastAsia="Arial" w:hAnsi="Calibri"/>
          <w:b w:val="false"/>
          <w:bCs w:val="false"/>
          <w:i w:val="false"/>
          <w:iCs w:val="false"/>
          <w:color w:val="000000"/>
          <w:sz w:val="20"/>
          <w:szCs w:val="22"/>
        </w:rPr>
        <w:t xml:space="preserve">The raw download contains multiple series types for each country — end of period, period average, USD per domestic currency, domestic currency per SDR, etc. Filtering to the correct series requires three simultaneous conditions: frequencyid == "M", indicatorid == "XDC_USD", and type_of_transformationid == "PA_RT". After filtering, the dataset reduces to 52,825 rows — one observation per country-month.</w:t>
      </w:r>
    </w:p>
    <w:p>
      <w:pPr>
        <w:pStyle w:val="Heading2"/>
        <w:keepNext/>
        <w:pageBreakBefore w:val="0"/>
        <w:spacing w:line="259" w:lineRule="auto" w:after="120"/>
      </w:pPr>
      <w:r>
        <w:rPr>
          <w:rFonts w:ascii="Calibri" w:hAnsi="Calibri"/>
          <w:color w:val="000000"/>
          <w:sz w:val="22"/>
        </w:rPr>
        <w:t>3 3 CEPII Country Code Crosswalk</w:t>
      </w:r>
    </w:p>
    <w:p>
      <w:pPr>
        <w:pStyle w:val="Normal"/>
        <w:pageBreakBefore w:val="0"/>
        <w:spacing w:after="120" w:before="0" w:line="259" w:lineRule="auto"/>
        <w:jc w:val="left"/>
      </w:pPr>
      <w:r>
        <w:rPr>
          <w:rFonts w:ascii="Calibri" w:cs="Arial" w:eastAsia="Arial" w:hAnsi="Calibri"/>
          <w:b w:val="false"/>
          <w:bCs w:val="false"/>
          <w:i w:val="false"/>
          <w:iCs w:val="false"/>
          <w:color w:val="000000"/>
          <w:sz w:val="20"/>
          <w:szCs w:val="22"/>
        </w:rPr>
        <w:t xml:space="preserve">BACI uses CEPII's own numeric country codes (not ISO2 or ISO3). The companion file country_codes_V202601.csv maps these numeric codes to ISO3 strings, enabling the merge with GeoDist and IFS data which both use ISO3. The crosswalk contains 238 countries with four variables: country_code (int), country_name (str40), country_iso2 (str2), country_iso3 (str3).</w:t>
      </w:r>
    </w:p>
    <w:p>
      <w:pPr>
        <w:pStyle w:val="Heading1"/>
        <w:keepNext/>
        <w:pageBreakBefore w:val="0"/>
        <w:spacing w:line="259" w:lineRule="auto" w:after="120"/>
      </w:pPr>
      <w:r>
        <w:rPr>
          <w:rFonts w:ascii="Calibri" w:hAnsi="Calibri"/>
          <w:color w:val="000000"/>
          <w:sz w:val="28"/>
        </w:rPr>
        <w:t>4 Section 1 BACI Trade Flow Panel</w:t>
      </w:r>
    </w:p>
    <w:p>
      <w:pPr>
        <w:pStyle w:val="Heading2"/>
        <w:keepNext/>
        <w:pageBreakBefore w:val="0"/>
        <w:spacing w:line="259" w:lineRule="auto" w:after="120"/>
      </w:pPr>
      <w:r>
        <w:rPr>
          <w:rFonts w:ascii="Calibri" w:hAnsi="Calibri"/>
          <w:color w:val="000000"/>
          <w:sz w:val="22"/>
        </w:rPr>
        <w:t>4 1 Objective</w:t>
      </w:r>
    </w:p>
    <w:p>
      <w:pPr>
        <w:pStyle w:val="Normal"/>
        <w:pageBreakBefore w:val="0"/>
        <w:spacing w:after="120" w:before="0" w:line="259" w:lineRule="auto"/>
        <w:jc w:val="left"/>
      </w:pPr>
      <w:r>
        <w:rPr>
          <w:rFonts w:ascii="Calibri" w:cs="Arial" w:eastAsia="Arial" w:hAnsi="Calibri"/>
          <w:b w:val="false"/>
          <w:bCs w:val="false"/>
          <w:i w:val="false"/>
          <w:iCs w:val="false"/>
          <w:color w:val="000000"/>
          <w:sz w:val="20"/>
          <w:szCs w:val="22"/>
        </w:rPr>
        <w:t xml:space="preserve">Produce a clean bilateral annual panel of trade flows (brics_trade_panel.dta) with one row per exporter-importer-year triplet, where the exporter is one of the five BRICS economies and the importer is any country with which that BRICS economy trades. Trade values are denominated in thousands of USD.</w:t>
      </w:r>
    </w:p>
    <w:p>
      <w:pPr>
        <w:pStyle w:val="Heading2"/>
        <w:keepNext/>
        <w:pageBreakBefore w:val="0"/>
        <w:spacing w:line="259" w:lineRule="auto" w:after="120"/>
      </w:pPr>
      <w:r>
        <w:rPr>
          <w:rFonts w:ascii="Calibri" w:hAnsi="Calibri"/>
          <w:color w:val="000000"/>
          <w:sz w:val="22"/>
        </w:rPr>
        <w:t>4 2 Step by Step Logic</w:t>
      </w:r>
    </w:p>
    <w:p>
      <w:pPr>
        <w:pStyle w:val="Heading3"/>
        <w:keepNext/>
        <w:pageBreakBefore w:val="0"/>
        <w:spacing w:line="259" w:lineRule="auto" w:after="120"/>
      </w:pPr>
      <w:r>
        <w:rPr>
          <w:rFonts w:ascii="Calibri" w:hAnsi="Calibri"/>
          <w:color w:val="000000"/>
          <w:sz w:val="22"/>
        </w:rPr>
        <w:t>Step 1 Country Code Crosswalk</w:t>
      </w:r>
    </w:p>
    <w:p>
      <w:pPr>
        <w:pStyle w:val="Normal"/>
        <w:pageBreakBefore w:val="0"/>
        <w:spacing w:after="120" w:before="0" w:line="259" w:lineRule="auto"/>
        <w:jc w:val="left"/>
      </w:pPr>
      <w:r>
        <w:rPr>
          <w:rFonts w:ascii="Calibri" w:cs="Arial" w:eastAsia="Arial" w:hAnsi="Calibri"/>
          <w:b w:val="false"/>
          <w:bCs w:val="false"/>
          <w:i w:val="false"/>
          <w:iCs w:val="false"/>
          <w:color w:val="000000"/>
          <w:sz w:val="20"/>
          <w:szCs w:val="22"/>
        </w:rPr>
        <w:t xml:space="preserve">The country code crosswalk is loaded first and saved as a Stata .dta file (country_crosswalk.dta). Only two variables are retained — baci_code (CEPII numeric) and iso3 (ISO3 string). The crosswalk is saved to disk rather than held in memory because it will be merged twice per loop iteration — once for exporters and once for importers — and Stata has only one active dataset in memory at a time.</w:t>
      </w:r>
    </w:p>
    <w:p>
      <w:pPr>
        <w:pStyle w:val="Normal"/>
        <w:pageBreakBefore w:val="0"/>
        <w:spacing w:after="120" w:before="0" w:line="259" w:lineRule="auto"/>
        <w:jc w:val="left"/>
      </w:pPr>
      <w:r>
        <w:rPr>
          <w:rFonts w:ascii="Calibri" w:cs="Arial" w:eastAsia="Arial" w:hAnsi="Calibri"/>
          <w:b w:val="false"/>
          <w:bCs w:val="false"/>
          <w:i w:val="false"/>
          <w:iCs w:val="false"/>
          <w:color w:val="000000"/>
          <w:sz w:val="20"/>
          <w:szCs w:val="22"/>
        </w:rPr>
        <w:t xml:space="preserve">The five BRICS numeric codes confirmed from the crosswalk:</w:t>
      </w:r>
    </w:p>
    <w:tbl>
      <w:tblPr>
        <w:tblW w:type="dxa" w:w="4513"/>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48"/>
        <w:gridCol w:w="1728"/>
        <w:gridCol w:w="6192"/>
      </w:tblGrid>
      <w:tr>
        <w:trPr>
          <w:tblHeader/>
          <w:cantSplit/>
          <w:tblHeader/>
        </w:trPr>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ISO3</w:t>
            </w:r>
          </w:p>
        </w:tc>
        <w:tc>
          <w:tcPr>
            <w:tcW w:type="dxa" w:w="172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BACI Code</w:t>
            </w:r>
          </w:p>
        </w:tc>
        <w:tc>
          <w:tcPr>
            <w:tcW w:type="dxa" w:w="6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Country</w:t>
            </w:r>
          </w:p>
        </w:tc>
      </w:tr>
      <w:tr>
        <w:trPr>
          <w:cantSplit/>
        </w:trPr>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BRA</w:t>
            </w:r>
          </w:p>
        </w:tc>
        <w:tc>
          <w:tcPr>
            <w:tcW w:type="dxa" w:w="172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76</w:t>
            </w:r>
          </w:p>
        </w:tc>
        <w:tc>
          <w:tcPr>
            <w:tcW w:type="dxa" w:w="6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Brazil</w:t>
            </w:r>
          </w:p>
        </w:tc>
      </w:tr>
      <w:tr>
        <w:trPr>
          <w:cantSplit/>
        </w:trPr>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CHN</w:t>
            </w:r>
          </w:p>
        </w:tc>
        <w:tc>
          <w:tcPr>
            <w:tcW w:type="dxa" w:w="172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156</w:t>
            </w:r>
          </w:p>
        </w:tc>
        <w:tc>
          <w:tcPr>
            <w:tcW w:type="dxa" w:w="6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China</w:t>
            </w:r>
          </w:p>
        </w:tc>
      </w:tr>
      <w:tr>
        <w:trPr>
          <w:cantSplit/>
        </w:trPr>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RUS</w:t>
            </w:r>
          </w:p>
        </w:tc>
        <w:tc>
          <w:tcPr>
            <w:tcW w:type="dxa" w:w="172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643</w:t>
            </w:r>
          </w:p>
        </w:tc>
        <w:tc>
          <w:tcPr>
            <w:tcW w:type="dxa" w:w="6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Russian Federation</w:t>
            </w:r>
          </w:p>
        </w:tc>
      </w:tr>
      <w:tr>
        <w:trPr>
          <w:cantSplit/>
        </w:trPr>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IND</w:t>
            </w:r>
          </w:p>
        </w:tc>
        <w:tc>
          <w:tcPr>
            <w:tcW w:type="dxa" w:w="172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699</w:t>
            </w:r>
          </w:p>
        </w:tc>
        <w:tc>
          <w:tcPr>
            <w:tcW w:type="dxa" w:w="6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India</w:t>
            </w:r>
          </w:p>
        </w:tc>
      </w:tr>
      <w:tr>
        <w:trPr>
          <w:cantSplit/>
        </w:trPr>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ZAF</w:t>
            </w:r>
          </w:p>
        </w:tc>
        <w:tc>
          <w:tcPr>
            <w:tcW w:type="dxa" w:w="172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710</w:t>
            </w:r>
          </w:p>
        </w:tc>
        <w:tc>
          <w:tcPr>
            <w:tcW w:type="dxa" w:w="6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South Africa</w:t>
            </w:r>
          </w:p>
        </w:tc>
      </w:tr>
    </w:tbl>
    <w:p>
      <w:pPr>
        <w:pStyle w:val="Heading3"/>
        <w:keepNext/>
        <w:pageBreakBefore w:val="0"/>
        <w:spacing w:line="259" w:lineRule="auto" w:after="120" w:before="160"/>
      </w:pPr>
      <w:r>
        <w:rPr>
          <w:rFonts w:ascii="Calibri" w:hAnsi="Calibri"/>
          <w:color w:val="000000"/>
          <w:sz w:val="22"/>
        </w:rPr>
        <w:t>Step 2 Year Loop 2000 2022</w:t>
      </w:r>
    </w:p>
    <w:p>
      <w:pPr>
        <w:pStyle w:val="Normal"/>
        <w:pageBreakBefore w:val="0"/>
        <w:spacing w:after="120" w:before="0" w:line="259" w:lineRule="auto"/>
        <w:jc w:val="left"/>
      </w:pPr>
      <w:r>
        <w:rPr>
          <w:rFonts w:ascii="Calibri" w:cs="Arial" w:eastAsia="Arial" w:hAnsi="Calibri"/>
          <w:b w:val="false"/>
          <w:bCs w:val="false"/>
          <w:i w:val="false"/>
          <w:iCs w:val="false"/>
          <w:color w:val="000000"/>
          <w:sz w:val="20"/>
          <w:szCs w:val="22"/>
        </w:rPr>
        <w:t xml:space="preserve">A forvalues loop iterates over years 2000 to 2022. For each year the following sequence runs:</w:t>
      </w:r>
    </w:p>
    <w:p>
      <w:pPr>
        <w:pStyle w:val="ListParagraph"/>
        <w:pageBreakBefore w:val="0"/>
        <w:numPr>
          <w:ilvl w:val="0"/>
          <w:numId w:val="3"/>
        </w:numPr>
        <w:spacing w:after="120" w:line="259" w:lineRule="auto"/>
      </w:pPr>
      <w:r>
        <w:rPr>
          <w:rFonts w:ascii="Calibri" w:cs="Arial" w:eastAsia="Arial" w:hAnsi="Calibri"/>
          <w:color w:val="000000"/>
          <w:sz w:val="20"/>
          <w:szCs w:val="22"/>
        </w:rPr>
        <w:t xml:space="preserve">Load the annual BACI CSV using import delimited. Each file contains approximately 7–11 million product-level rows.</w:t>
      </w:r>
    </w:p>
    <w:p>
      <w:pPr>
        <w:pStyle w:val="ListParagraph"/>
        <w:pageBreakBefore w:val="0"/>
        <w:numPr>
          <w:ilvl w:val="0"/>
          <w:numId w:val="3"/>
        </w:numPr>
        <w:spacing w:after="120" w:line="259" w:lineRule="auto"/>
      </w:pPr>
      <w:r>
        <w:rPr>
          <w:rFonts w:ascii="Calibri" w:cs="Arial" w:eastAsia="Arial" w:hAnsi="Calibri"/>
          <w:color w:val="000000"/>
          <w:sz w:val="20"/>
          <w:szCs w:val="22"/>
        </w:rPr>
        <w:t xml:space="preserve">Filter immediately to BRICS exporters: keep if i == 76 | i == 156 | i == 643 | i == 699 | i == 710. This reduces the dataset to approximately 700,000–1,100,000 rows — about 10% of the original — and is the critical memory management step.</w:t>
      </w:r>
    </w:p>
    <w:p>
      <w:pPr>
        <w:pStyle w:val="ListParagraph"/>
        <w:pageBreakBefore w:val="0"/>
        <w:numPr>
          <w:ilvl w:val="0"/>
          <w:numId w:val="3"/>
        </w:numPr>
        <w:spacing w:after="120" w:line="259" w:lineRule="auto"/>
      </w:pPr>
      <w:r>
        <w:rPr>
          <w:rFonts w:ascii="Calibri" w:cs="Arial" w:eastAsia="Arial" w:hAnsi="Calibri"/>
          <w:color w:val="000000"/>
          <w:sz w:val="20"/>
          <w:szCs w:val="22"/>
        </w:rPr>
        <w:t xml:space="preserve">Collapse across products: collapse (sum) v, by(t i j). This replaces the product-level rows with one row per exporter-importer-year, summing trade values across all HS6 categories. The result is approximately 1,000–1,065 rows per year.</w:t>
      </w:r>
    </w:p>
    <w:p>
      <w:pPr>
        <w:pStyle w:val="ListParagraph"/>
        <w:pageBreakBefore w:val="0"/>
        <w:numPr>
          <w:ilvl w:val="0"/>
          <w:numId w:val="3"/>
        </w:numPr>
        <w:spacing w:after="120" w:line="259" w:lineRule="auto"/>
      </w:pPr>
      <w:r>
        <w:rPr>
          <w:rFonts w:ascii="Calibri" w:cs="Arial" w:eastAsia="Arial" w:hAnsi="Calibri"/>
          <w:color w:val="000000"/>
          <w:sz w:val="20"/>
          <w:szCs w:val="22"/>
        </w:rPr>
        <w:t xml:space="preserve">Merge exporter numeric codes to ISO3: rename i to baci_code, merge m:1 on baci_code using the crosswalk, recover iso3 as the exporter variable.</w:t>
      </w:r>
    </w:p>
    <w:p>
      <w:pPr>
        <w:pStyle w:val="ListParagraph"/>
        <w:pageBreakBefore w:val="0"/>
        <w:numPr>
          <w:ilvl w:val="0"/>
          <w:numId w:val="3"/>
        </w:numPr>
        <w:spacing w:after="120" w:line="259" w:lineRule="auto"/>
      </w:pPr>
      <w:r>
        <w:rPr>
          <w:rFonts w:ascii="Calibri" w:cs="Arial" w:eastAsia="Arial" w:hAnsi="Calibri"/>
          <w:color w:val="000000"/>
          <w:sz w:val="20"/>
          <w:szCs w:val="22"/>
        </w:rPr>
        <w:t xml:space="preserve">Merge importer numeric codes to ISO3 using the same crosswalk. Both merges are m:1 (many collapsed rows to one crosswalk entry). Both merges produce zero unmatched observations across all 23 years.</w:t>
      </w:r>
    </w:p>
    <w:p>
      <w:pPr>
        <w:pStyle w:val="ListParagraph"/>
        <w:pageBreakBefore w:val="0"/>
        <w:numPr>
          <w:ilvl w:val="0"/>
          <w:numId w:val="3"/>
        </w:numPr>
        <w:spacing w:after="120" w:line="259" w:lineRule="auto"/>
      </w:pPr>
      <w:r>
        <w:rPr>
          <w:rFonts w:ascii="Calibri" w:cs="Arial" w:eastAsia="Arial" w:hAnsi="Calibri"/>
          <w:color w:val="000000"/>
          <w:sz w:val="20"/>
          <w:szCs w:val="22"/>
        </w:rPr>
        <w:t xml:space="preserve">Rename variables to human-readable names: t → year, v → trade. Drop the now-redundant numeric code columns.</w:t>
      </w:r>
    </w:p>
    <w:p>
      <w:pPr>
        <w:pStyle w:val="ListParagraph"/>
        <w:pageBreakBefore w:val="0"/>
        <w:numPr>
          <w:ilvl w:val="0"/>
          <w:numId w:val="3"/>
        </w:numPr>
        <w:spacing w:after="120" w:line="259" w:lineRule="auto"/>
      </w:pPr>
      <w:r>
        <w:rPr>
          <w:rFonts w:ascii="Calibri" w:cs="Arial" w:eastAsia="Arial" w:hAnsi="Calibri"/>
          <w:color w:val="000000"/>
          <w:sz w:val="20"/>
          <w:szCs w:val="22"/>
        </w:rPr>
        <w:t xml:space="preserve">Append to a growing master tempfile. The tempfile is initialised as empty before the loop with save emptyok and rebuilt each iteration.</w:t>
      </w:r>
    </w:p>
    <w:p>
      <w:pPr>
        <w:pStyle w:val="Heading3"/>
        <w:keepNext/>
        <w:pageBreakBefore w:val="0"/>
        <w:spacing w:line="259" w:lineRule="auto" w:after="120"/>
      </w:pPr>
      <w:r>
        <w:rPr>
          <w:rFonts w:ascii="Calibri" w:hAnsi="Calibri"/>
          <w:color w:val="000000"/>
          <w:sz w:val="22"/>
        </w:rPr>
        <w:t>Step 3 Save Final Panel</w:t>
      </w:r>
    </w:p>
    <w:p>
      <w:pPr>
        <w:pStyle w:val="Normal"/>
        <w:pageBreakBefore w:val="0"/>
        <w:spacing w:after="120" w:before="0" w:line="259" w:lineRule="auto"/>
        <w:jc w:val="left"/>
      </w:pPr>
      <w:r>
        <w:rPr>
          <w:rFonts w:ascii="Calibri" w:cs="Arial" w:eastAsia="Arial" w:hAnsi="Calibri"/>
          <w:b w:val="false"/>
          <w:bCs w:val="false"/>
          <w:i w:val="false"/>
          <w:iCs w:val="false"/>
          <w:color w:val="000000"/>
          <w:sz w:val="20"/>
          <w:szCs w:val="22"/>
        </w:rPr>
        <w:t xml:space="preserve">After the loop completes, the master tempfile is loaded and saved as brics_trade_panel.dta. Final observation count: 23,940.</w:t>
      </w:r>
    </w:p>
    <w:p>
      <w:pPr>
        <w:pStyle w:val="Heading2"/>
        <w:keepNext/>
        <w:pageBreakBefore w:val="0"/>
        <w:spacing w:line="259" w:lineRule="auto" w:after="120"/>
      </w:pPr>
      <w:r>
        <w:rPr>
          <w:rFonts w:ascii="Calibri" w:hAnsi="Calibri"/>
          <w:color w:val="000000"/>
          <w:sz w:val="22"/>
        </w:rPr>
        <w:t>4 3 Output Snapshot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4"/>
        <w:gridCol w:w="1872"/>
        <w:gridCol w:w="2016"/>
        <w:gridCol w:w="4176"/>
      </w:tblGrid>
      <w:tr>
        <w:trPr>
          <w:tblHeader/>
          <w:cantSplit/>
          <w:tblHeader/>
        </w:trPr>
        <w:tc>
          <w:tcPr>
            <w:tcW w:type="dxa" w:w="23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Variable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Type</w:t>
            </w:r>
          </w:p>
        </w:tc>
        <w:tc>
          <w:tcPr>
            <w:tcW w:type="dxa" w:w="20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Example</w:t>
            </w:r>
          </w:p>
        </w:tc>
        <w:tc>
          <w:tcPr>
            <w:tcW w:type="dxa" w:w="41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Description</w:t>
            </w:r>
          </w:p>
        </w:tc>
      </w:tr>
      <w:tr>
        <w:trPr>
          <w:cantSplit/>
        </w:trPr>
        <w:tc>
          <w:tcPr>
            <w:tcW w:type="dxa" w:w="23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exporter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str3</w:t>
            </w:r>
          </w:p>
        </w:tc>
        <w:tc>
          <w:tcPr>
            <w:tcW w:type="dxa" w:w="20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CHN</w:t>
            </w:r>
          </w:p>
        </w:tc>
        <w:tc>
          <w:tcPr>
            <w:tcW w:type="dxa" w:w="41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BRICS exporter ISO3 code</w:t>
            </w:r>
          </w:p>
        </w:tc>
      </w:tr>
      <w:tr>
        <w:trPr>
          <w:cantSplit/>
        </w:trPr>
        <w:tc>
          <w:tcPr>
            <w:tcW w:type="dxa" w:w="23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importer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str3</w:t>
            </w:r>
          </w:p>
        </w:tc>
        <w:tc>
          <w:tcPr>
            <w:tcW w:type="dxa" w:w="20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USA</w:t>
            </w:r>
          </w:p>
        </w:tc>
        <w:tc>
          <w:tcPr>
            <w:tcW w:type="dxa" w:w="41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Trade partner ISO3 code</w:t>
            </w:r>
          </w:p>
        </w:tc>
      </w:tr>
      <w:tr>
        <w:trPr>
          <w:cantSplit/>
        </w:trPr>
        <w:tc>
          <w:tcPr>
            <w:tcW w:type="dxa" w:w="23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year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int</w:t>
            </w:r>
          </w:p>
        </w:tc>
        <w:tc>
          <w:tcPr>
            <w:tcW w:type="dxa" w:w="20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2015</w:t>
            </w:r>
          </w:p>
        </w:tc>
        <w:tc>
          <w:tcPr>
            <w:tcW w:type="dxa" w:w="41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Calendar year</w:t>
            </w:r>
          </w:p>
        </w:tc>
      </w:tr>
      <w:tr>
        <w:trPr>
          <w:cantSplit/>
        </w:trPr>
        <w:tc>
          <w:tcPr>
            <w:tcW w:type="dxa" w:w="23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trade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float</w:t>
            </w:r>
          </w:p>
        </w:tc>
        <w:tc>
          <w:tcPr>
            <w:tcW w:type="dxa" w:w="20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563,421,000</w:t>
            </w:r>
          </w:p>
        </w:tc>
        <w:tc>
          <w:tcPr>
            <w:tcW w:type="dxa" w:w="41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Bilateral trade value, USD thousands</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84"/>
        <w:gridCol w:w="6984"/>
      </w:tblGrid>
      <w:tr>
        <w:trPr>
          <w:tblHeader/>
          <w:cantSplit/>
          <w:tblHeader/>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Statistic</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Value</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Total observations</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23,940</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Observations by exporter</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BRA: 4,860 | CHN: 4,800 | IND: 4,979 | RUS: 4,389 | ZAF: 4,912</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Trade value (median)</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USD 96 million</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Trade value (mean)</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USD 2.6 billion (right-skewed due to China's large flows)</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Trade value (max)</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USD 563 billion</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Russia 2022 observation count</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hAnsi="Calibri"/>
                <w:b w:val="0"/>
                <w:color w:val="000000"/>
                <w:sz w:val="18"/>
              </w:rPr>
              <w:t>1,023 (vs ~1,050 in prior years; cause not identified)</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Unmatched merge observations (all years)</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0 (both exporter and importer crosswalk merges)</w:t>
            </w:r>
          </w:p>
        </w:tc>
      </w:tr>
    </w:tbl>
    <w:p>
      <w:pPr>
        <w:pStyle w:val="Heading1"/>
        <w:keepNext/>
        <w:pageBreakBefore w:val="0"/>
        <w:spacing w:line="259" w:lineRule="auto" w:after="120" w:before="160"/>
      </w:pPr>
      <w:r>
        <w:rPr>
          <w:rFonts w:ascii="Calibri" w:hAnsi="Calibri"/>
          <w:color w:val="000000"/>
          <w:sz w:val="28"/>
        </w:rPr>
        <w:t>5 Section 2 Exchange Rate Volatility Panel</w:t>
      </w:r>
    </w:p>
    <w:p>
      <w:pPr>
        <w:pStyle w:val="Heading2"/>
        <w:keepNext/>
        <w:pageBreakBefore w:val="0"/>
        <w:spacing w:line="259" w:lineRule="auto" w:after="120"/>
      </w:pPr>
      <w:r>
        <w:rPr>
          <w:rFonts w:ascii="Calibri" w:hAnsi="Calibri"/>
          <w:color w:val="000000"/>
          <w:sz w:val="22"/>
        </w:rPr>
        <w:t>5 1 Objective</w:t>
      </w:r>
    </w:p>
    <w:p>
      <w:pPr>
        <w:pStyle w:val="Normal"/>
        <w:pageBreakBefore w:val="0"/>
        <w:spacing w:after="120" w:before="0" w:line="259" w:lineRule="auto"/>
        <w:jc w:val="left"/>
      </w:pPr>
      <w:r>
        <w:rPr>
          <w:rFonts w:ascii="Calibri" w:hAnsi="Calibri"/>
          <w:color w:val="000000"/>
          <w:sz w:val="20"/>
        </w:rPr>
        <w:t>Produce a clean annual bilateral panel of exchange rate volatility measures (volatility_panel.dta). The volatility measure for pair (i,j) in year t is the rolling 12-month standard deviation of monthly log changes in the bilateral exchange rate, measured at December of each year. This is the primary explanatory variable in the PPML and log-OLS specifications in 03_analysis.do.</w:t>
      </w:r>
    </w:p>
    <w:p>
      <w:pPr>
        <w:pStyle w:val="Heading2"/>
        <w:keepNext/>
        <w:pageBreakBefore w:val="0"/>
        <w:spacing w:line="259" w:lineRule="auto" w:after="120"/>
      </w:pPr>
      <w:r>
        <w:rPr>
          <w:rFonts w:ascii="Calibri" w:hAnsi="Calibri"/>
          <w:color w:val="000000"/>
          <w:sz w:val="22"/>
        </w:rPr>
        <w:t>5 2 Conceptual Foundation</w:t>
      </w:r>
    </w:p>
    <w:p>
      <w:pPr>
        <w:pStyle w:val="Normal"/>
        <w:pageBreakBefore w:val="0"/>
        <w:spacing w:after="120" w:before="0" w:line="259" w:lineRule="auto"/>
        <w:jc w:val="left"/>
      </w:pPr>
      <w:r>
        <w:rPr>
          <w:rFonts w:ascii="Calibri" w:cs="Arial" w:eastAsia="Arial" w:hAnsi="Calibri"/>
          <w:b w:val="false"/>
          <w:bCs w:val="false"/>
          <w:i w:val="false"/>
          <w:iCs w:val="false"/>
          <w:color w:val="000000"/>
          <w:sz w:val="20"/>
          <w:szCs w:val="22"/>
        </w:rPr>
        <w:t xml:space="preserve">The bilateral exchange rate between exporter i and importer j is constructed as a cross-rate from USD-denominated series:</w:t>
      </w:r>
    </w:p>
    <w:p>
      <w:pPr>
        <w:pStyle w:val="Normal"/>
        <w:pageBreakBefore w:val="0"/>
        <w:spacing w:after="120" w:line="259" w:lineRule="auto"/>
        <w:jc w:val="center"/>
      </w:pPr>
      <w:r>
        <w:rPr>
          <w:rFonts w:ascii="Calibri" w:cs="Courier New" w:eastAsia="Courier New" w:hAnsi="Calibri"/>
          <w:b/>
          <w:bCs/>
          <w:color w:val="000000"/>
          <w:sz w:val="20"/>
          <w:szCs w:val="24"/>
        </w:rPr>
        <w:t xml:space="preserve">e_ij = e_i/USD  ÷  e_j/USD</w:t>
      </w:r>
    </w:p>
    <w:p>
      <w:pPr>
        <w:pStyle w:val="Normal"/>
        <w:pageBreakBefore w:val="0"/>
        <w:spacing w:after="120" w:before="0" w:line="259" w:lineRule="auto"/>
        <w:jc w:val="left"/>
      </w:pPr>
      <w:r>
        <w:rPr>
          <w:rFonts w:ascii="Calibri" w:cs="Arial" w:eastAsia="Arial" w:hAnsi="Calibri"/>
          <w:b w:val="false"/>
          <w:bCs w:val="false"/>
          <w:i w:val="false"/>
          <w:iCs w:val="false"/>
          <w:color w:val="000000"/>
          <w:sz w:val="20"/>
          <w:szCs w:val="22"/>
        </w:rPr>
        <w:t xml:space="preserve">Where e_i/USD is the monthly period-average domestic currency of country i per US Dollar. Dividing cancels the USD and yields the bilateral rate: units of exporter i's currency per unit of importer j's currency. The log of this cross-rate is:</w:t>
      </w:r>
    </w:p>
    <w:p>
      <w:pPr>
        <w:pStyle w:val="Normal"/>
        <w:pageBreakBefore w:val="0"/>
        <w:spacing w:after="120" w:line="259" w:lineRule="auto"/>
        <w:jc w:val="center"/>
      </w:pPr>
      <w:r>
        <w:rPr>
          <w:rFonts w:ascii="Calibri" w:cs="Courier New" w:eastAsia="Courier New" w:hAnsi="Calibri"/>
          <w:b/>
          <w:bCs/>
          <w:color w:val="000000"/>
          <w:sz w:val="20"/>
          <w:szCs w:val="24"/>
        </w:rPr>
        <w:t xml:space="preserve">ln(e_ij) = ln(e_i/USD) − ln(e_j/USD)</w:t>
      </w:r>
    </w:p>
    <w:p>
      <w:pPr>
        <w:pStyle w:val="Normal"/>
        <w:pageBreakBefore w:val="0"/>
        <w:spacing w:after="120" w:before="0" w:line="259" w:lineRule="auto"/>
        <w:jc w:val="left"/>
      </w:pPr>
      <w:r>
        <w:rPr>
          <w:rFonts w:ascii="Calibri" w:cs="Arial" w:eastAsia="Arial" w:hAnsi="Calibri"/>
          <w:b w:val="false"/>
          <w:bCs w:val="false"/>
          <w:i w:val="false"/>
          <w:iCs w:val="false"/>
          <w:color w:val="000000"/>
          <w:sz w:val="20"/>
          <w:szCs w:val="22"/>
        </w:rPr>
        <w:t xml:space="preserve">Monthly log changes (delta_ln_e) are then first-differenced within each pair. The rolling 12-month standard deviation of delta_ln_e is the volatility measure — it captures realised exchange rate uncertainty faced by exporters and importers over the preceding year.</w:t>
      </w:r>
    </w:p>
    <w:p>
      <w:pPr>
        <w:pStyle w:val="Normal"/>
        <w:pageBreakBefore w:val="0"/>
        <w:spacing w:after="120" w:before="0" w:line="259" w:lineRule="auto"/>
        <w:jc w:val="left"/>
      </w:pPr>
      <w:r>
        <w:rPr>
          <w:rFonts w:ascii="Calibri" w:hAnsi="Calibri"/>
          <w:color w:val="000000"/>
          <w:sz w:val="20"/>
        </w:rPr>
        <w:t>This measure is standard in the empirical trade literature (Tenreyro 2007, Héricourt &amp; Poncet 2015). Its advantages are transparency, replicability, and direct interpretability. GARCH-based conditional volatility is a recognised robustness check but is not implemented in the current analysis.</w:t>
      </w:r>
    </w:p>
    <w:p>
      <w:pPr>
        <w:pStyle w:val="Heading2"/>
        <w:keepNext/>
        <w:pageBreakBefore w:val="0"/>
        <w:spacing w:line="259" w:lineRule="auto" w:after="120"/>
      </w:pPr>
      <w:r>
        <w:rPr>
          <w:rFonts w:ascii="Calibri" w:hAnsi="Calibri"/>
          <w:color w:val="000000"/>
          <w:sz w:val="22"/>
        </w:rPr>
        <w:t>5 3 Step by Step Logic</w:t>
      </w:r>
    </w:p>
    <w:p>
      <w:pPr>
        <w:pStyle w:val="Heading3"/>
        <w:keepNext/>
        <w:pageBreakBefore w:val="0"/>
        <w:spacing w:line="259" w:lineRule="auto" w:after="120"/>
      </w:pPr>
      <w:r>
        <w:rPr>
          <w:rFonts w:ascii="Calibri" w:hAnsi="Calibri"/>
          <w:color w:val="000000"/>
          <w:sz w:val="22"/>
        </w:rPr>
        <w:t>Step 1 Load IFS and Filter to Target Series</w:t>
      </w:r>
    </w:p>
    <w:p>
      <w:pPr>
        <w:pStyle w:val="Normal"/>
        <w:pageBreakBefore w:val="0"/>
        <w:spacing w:after="120" w:before="0" w:line="259" w:lineRule="auto"/>
        <w:jc w:val="left"/>
      </w:pPr>
      <w:r>
        <w:rPr>
          <w:rFonts w:ascii="Calibri" w:cs="Arial" w:eastAsia="Arial" w:hAnsi="Calibri"/>
          <w:b w:val="false"/>
          <w:bCs w:val="false"/>
          <w:i w:val="false"/>
          <w:iCs w:val="false"/>
          <w:color w:val="000000"/>
          <w:sz w:val="20"/>
          <w:szCs w:val="22"/>
        </w:rPr>
        <w:t xml:space="preserve">The raw IFS file contains 902,668 rows covering annual, quarterly, and monthly observations across multiple series types per country. Three simultaneous filter conditions are required to isolate the single correct series:</w:t>
      </w:r>
    </w:p>
    <w:p>
      <w:pPr>
        <w:pStyle w:val="ListParagraph"/>
        <w:pageBreakBefore w:val="0"/>
        <w:numPr>
          <w:ilvl w:val="0"/>
          <w:numId w:val="2"/>
        </w:numPr>
        <w:spacing w:after="120" w:line="259" w:lineRule="auto"/>
      </w:pPr>
      <w:r>
        <w:rPr>
          <w:rFonts w:ascii="Calibri" w:cs="Arial" w:eastAsia="Arial" w:hAnsi="Calibri"/>
          <w:b w:val="false"/>
          <w:bCs w:val="false"/>
          <w:i w:val="false"/>
          <w:iCs w:val="false"/>
          <w:color w:val="000000"/>
          <w:sz w:val="20"/>
          <w:szCs w:val="22"/>
        </w:rPr>
        <w:t xml:space="preserve">frequencyid == "M" — monthly frequency only (drops annual and quarterly)</w:t>
      </w:r>
    </w:p>
    <w:p>
      <w:pPr>
        <w:pStyle w:val="ListParagraph"/>
        <w:pageBreakBefore w:val="0"/>
        <w:numPr>
          <w:ilvl w:val="0"/>
          <w:numId w:val="2"/>
        </w:numPr>
        <w:spacing w:after="120" w:line="259" w:lineRule="auto"/>
      </w:pPr>
      <w:r>
        <w:rPr>
          <w:rFonts w:ascii="Calibri" w:cs="Arial" w:eastAsia="Arial" w:hAnsi="Calibri"/>
          <w:b w:val="false"/>
          <w:bCs w:val="false"/>
          <w:i w:val="false"/>
          <w:iCs w:val="false"/>
          <w:color w:val="000000"/>
          <w:sz w:val="20"/>
          <w:szCs w:val="22"/>
        </w:rPr>
        <w:t xml:space="preserve">indicatorid == "XDC_USD" — domestic currency per USD (drops SDR, Euro, ECU series)</w:t>
      </w:r>
    </w:p>
    <w:p>
      <w:pPr>
        <w:pStyle w:val="ListParagraph"/>
        <w:pageBreakBefore w:val="0"/>
        <w:numPr>
          <w:ilvl w:val="0"/>
          <w:numId w:val="2"/>
        </w:numPr>
        <w:spacing w:after="120" w:line="259" w:lineRule="auto"/>
      </w:pPr>
      <w:r>
        <w:rPr>
          <w:rFonts w:ascii="Calibri" w:cs="Arial" w:eastAsia="Arial" w:hAnsi="Calibri"/>
          <w:b w:val="false"/>
          <w:bCs w:val="false"/>
          <w:i w:val="false"/>
          <w:iCs w:val="false"/>
          <w:color w:val="000000"/>
          <w:sz w:val="20"/>
          <w:szCs w:val="22"/>
        </w:rPr>
        <w:t xml:space="preserve">type_of_transformationid == "PA_RT" — period average (drops end-of-period series)</w:t>
      </w:r>
    </w:p>
    <w:p>
      <w:pPr>
        <w:pStyle w:val="Normal"/>
        <w:pageBreakBefore w:val="0"/>
        <w:spacing w:after="120" w:before="0" w:line="259" w:lineRule="auto"/>
        <w:jc w:val="left"/>
      </w:pPr>
      <w:r>
        <w:rPr>
          <w:rFonts w:ascii="Calibri" w:cs="Arial" w:eastAsia="Arial" w:hAnsi="Calibri"/>
          <w:b w:val="false"/>
          <w:bCs w:val="false"/>
          <w:i w:val="false"/>
          <w:iCs w:val="false"/>
          <w:color w:val="000000"/>
          <w:sz w:val="20"/>
          <w:szCs w:val="22"/>
        </w:rPr>
        <w:t xml:space="preserve">After filtering: 52,825 rows remain — one observation per country-month. The identifier columns (frequencyid, indicatorid, type_of_transformationid) are then dropped as they are no longer needed.</w:t>
      </w:r>
    </w:p>
    <w:p>
      <w:pPr>
        <w:pStyle w:val="Heading3"/>
        <w:keepNext/>
        <w:pageBreakBefore w:val="0"/>
        <w:spacing w:line="259" w:lineRule="auto" w:after="120"/>
      </w:pPr>
      <w:r>
        <w:rPr>
          <w:rFonts w:ascii="Calibri" w:hAnsi="Calibri"/>
          <w:color w:val="000000"/>
          <w:sz w:val="22"/>
        </w:rPr>
        <w:t>Step 2 Parse Time Period</w:t>
      </w:r>
    </w:p>
    <w:p>
      <w:pPr>
        <w:pStyle w:val="Normal"/>
        <w:pageBreakBefore w:val="0"/>
        <w:spacing w:after="120" w:before="0" w:line="259" w:lineRule="auto"/>
        <w:jc w:val="left"/>
      </w:pPr>
      <w:r>
        <w:rPr>
          <w:rFonts w:ascii="Calibri" w:cs="Arial" w:eastAsia="Arial" w:hAnsi="Calibri"/>
          <w:b w:val="false"/>
          <w:bCs w:val="false"/>
          <w:i w:val="false"/>
          <w:iCs w:val="false"/>
          <w:color w:val="000000"/>
          <w:sz w:val="20"/>
          <w:szCs w:val="22"/>
        </w:rPr>
        <w:t xml:space="preserve">The time_period variable is a string in the format "2000-M01". Two numeric variables are extracted:</w:t>
      </w:r>
    </w:p>
    <w:p>
      <w:pPr>
        <w:pStyle w:val="ListParagraph"/>
        <w:pageBreakBefore w:val="0"/>
        <w:numPr>
          <w:ilvl w:val="0"/>
          <w:numId w:val="2"/>
        </w:numPr>
        <w:spacing w:after="120" w:line="259" w:lineRule="auto"/>
      </w:pPr>
      <w:r>
        <w:rPr>
          <w:rFonts w:ascii="Calibri" w:cs="Arial" w:eastAsia="Arial" w:hAnsi="Calibri"/>
          <w:b w:val="false"/>
          <w:bCs w:val="false"/>
          <w:i w:val="false"/>
          <w:iCs w:val="false"/>
          <w:color w:val="000000"/>
          <w:sz w:val="20"/>
          <w:szCs w:val="22"/>
        </w:rPr>
        <w:t xml:space="preserve">year = real(substr(time_period, 1, 4)) — characters 1–4</w:t>
      </w:r>
    </w:p>
    <w:p>
      <w:pPr>
        <w:pStyle w:val="ListParagraph"/>
        <w:pageBreakBefore w:val="0"/>
        <w:numPr>
          <w:ilvl w:val="0"/>
          <w:numId w:val="2"/>
        </w:numPr>
        <w:spacing w:after="120" w:line="259" w:lineRule="auto"/>
      </w:pPr>
      <w:r>
        <w:rPr>
          <w:rFonts w:ascii="Calibri" w:cs="Arial" w:eastAsia="Arial" w:hAnsi="Calibri"/>
          <w:b w:val="false"/>
          <w:bCs w:val="false"/>
          <w:i w:val="false"/>
          <w:iCs w:val="false"/>
          <w:color w:val="000000"/>
          <w:sz w:val="20"/>
          <w:szCs w:val="22"/>
        </w:rPr>
        <w:t xml:space="preserve">month = real(substr(time_period, 7, 2)) — characters 7–8</w:t>
      </w:r>
    </w:p>
    <w:p>
      <w:pPr>
        <w:pStyle w:val="Normal"/>
        <w:pageBreakBefore w:val="0"/>
        <w:spacing w:after="120" w:before="0" w:line="259" w:lineRule="auto"/>
        <w:jc w:val="left"/>
      </w:pPr>
      <w:r>
        <w:rPr>
          <w:rFonts w:ascii="Calibri" w:cs="Arial" w:eastAsia="Arial" w:hAnsi="Calibri"/>
          <w:b w:val="false"/>
          <w:bCs w:val="false"/>
          <w:i w:val="false"/>
          <w:iCs w:val="false"/>
          <w:color w:val="000000"/>
          <w:sz w:val="20"/>
          <w:szCs w:val="22"/>
        </w:rPr>
        <w:t xml:space="preserve">24 observations produce missing values for year and month — these correspond to malformed time_period strings in the raw file and are dropped. This leaves 52,801 clean monthly rows.</w:t>
      </w:r>
    </w:p>
    <w:p>
      <w:pPr>
        <w:pStyle w:val="Heading3"/>
        <w:keepNext/>
        <w:pageBreakBefore w:val="0"/>
        <w:spacing w:line="259" w:lineRule="auto" w:after="120"/>
      </w:pPr>
      <w:r>
        <w:rPr>
          <w:rFonts w:ascii="Calibri" w:hAnsi="Calibri"/>
          <w:color w:val="000000"/>
          <w:sz w:val="22"/>
        </w:rPr>
        <w:t>Step 3 Country Filter via BACI Panel Merge</w:t>
      </w:r>
    </w:p>
    <w:p>
      <w:pPr>
        <w:pStyle w:val="Normal"/>
        <w:pageBreakBefore w:val="0"/>
        <w:spacing w:after="120" w:before="0" w:line="259" w:lineRule="auto"/>
        <w:jc w:val="left"/>
      </w:pPr>
      <w:r>
        <w:rPr>
          <w:rFonts w:ascii="Calibri" w:cs="Arial" w:eastAsia="Arial" w:hAnsi="Calibri"/>
          <w:b w:val="false"/>
          <w:bCs w:val="false"/>
          <w:i w:val="false"/>
          <w:iCs w:val="false"/>
          <w:color w:val="000000"/>
          <w:sz w:val="20"/>
          <w:szCs w:val="22"/>
        </w:rPr>
        <w:t xml:space="preserve">Rather than retaining all 193 IFS countries, the dataset is filtered to only those countries that appear in the BACI trade panel — either as BRICS exporters or as their trade partners. This is done by:</w:t>
      </w:r>
    </w:p>
    <w:p>
      <w:pPr>
        <w:pStyle w:val="ListParagraph"/>
        <w:pageBreakBefore w:val="0"/>
        <w:numPr>
          <w:ilvl w:val="0"/>
          <w:numId w:val="3"/>
        </w:numPr>
        <w:spacing w:after="120" w:line="259" w:lineRule="auto"/>
      </w:pPr>
      <w:r>
        <w:rPr>
          <w:rFonts w:ascii="Calibri" w:cs="Arial" w:eastAsia="Arial" w:hAnsi="Calibri"/>
          <w:color w:val="000000"/>
          <w:sz w:val="20"/>
          <w:szCs w:val="22"/>
        </w:rPr>
        <w:t xml:space="preserve">Extracting unique importer ISO3 codes from brics_trade_panel.dta using preserve/restore and a tempfile.</w:t>
      </w:r>
    </w:p>
    <w:p>
      <w:pPr>
        <w:pStyle w:val="ListParagraph"/>
        <w:pageBreakBefore w:val="0"/>
        <w:numPr>
          <w:ilvl w:val="0"/>
          <w:numId w:val="3"/>
        </w:numPr>
        <w:spacing w:after="120" w:line="259" w:lineRule="auto"/>
      </w:pPr>
      <w:r>
        <w:rPr>
          <w:rFonts w:ascii="Calibri" w:cs="Arial" w:eastAsia="Arial" w:hAnsi="Calibri"/>
          <w:color w:val="000000"/>
          <w:sz w:val="20"/>
          <w:szCs w:val="22"/>
        </w:rPr>
        <w:t xml:space="preserve">Extracting unique exporter ISO3 codes and appending to the importer list, then deduplicating.</w:t>
      </w:r>
    </w:p>
    <w:p>
      <w:pPr>
        <w:pStyle w:val="ListParagraph"/>
        <w:pageBreakBefore w:val="0"/>
        <w:numPr>
          <w:ilvl w:val="0"/>
          <w:numId w:val="3"/>
        </w:numPr>
        <w:spacing w:after="120" w:line="259" w:lineRule="auto"/>
      </w:pPr>
      <w:r>
        <w:rPr>
          <w:rFonts w:ascii="Calibri" w:cs="Arial" w:eastAsia="Arial" w:hAnsi="Calibri"/>
          <w:color w:val="000000"/>
          <w:sz w:val="20"/>
          <w:szCs w:val="22"/>
        </w:rPr>
        <w:t xml:space="preserve">Merging the IFS monthly data m:1 on countryid, keeping only matched rows. Result: 49,642 rows, zero unmatched.</w:t>
      </w:r>
    </w:p>
    <w:p>
      <w:pPr>
        <w:pStyle w:val="Normal"/>
        <w:pageBreakBefore w:val="0"/>
        <w:spacing w:after="120" w:before="0" w:line="259" w:lineRule="auto"/>
        <w:jc w:val="left"/>
      </w:pPr>
      <w:r>
        <w:rPr>
          <w:rFonts w:ascii="Calibri" w:cs="Arial" w:eastAsia="Arial" w:hAnsi="Calibri"/>
          <w:b w:val="false"/>
          <w:bCs w:val="false"/>
          <w:i w:val="false"/>
          <w:iCs w:val="false"/>
          <w:color w:val="000000"/>
          <w:sz w:val="20"/>
          <w:szCs w:val="22"/>
        </w:rPr>
        <w:t xml:space="preserve">The preserve/restore pattern is used because Stata holds only one dataset in memory — it allows temporarily loading brics_trade_panel.dta to extract country lists without losing the IFS data in memory.</w:t>
      </w:r>
    </w:p>
    <w:p>
      <w:pPr>
        <w:pStyle w:val="Heading3"/>
        <w:keepNext/>
        <w:pageBreakBefore w:val="0"/>
        <w:spacing w:line="259" w:lineRule="auto" w:after="120"/>
      </w:pPr>
      <w:r>
        <w:rPr>
          <w:rFonts w:ascii="Calibri" w:hAnsi="Calibri"/>
          <w:color w:val="000000"/>
          <w:sz w:val="22"/>
        </w:rPr>
        <w:t>Step 4 Save Country Level Monthly Rates</w:t>
      </w:r>
    </w:p>
    <w:p>
      <w:pPr>
        <w:pStyle w:val="Normal"/>
        <w:pageBreakBefore w:val="0"/>
        <w:spacing w:after="120" w:before="0" w:line="259" w:lineRule="auto"/>
        <w:jc w:val="left"/>
      </w:pPr>
      <w:r>
        <w:rPr>
          <w:rFonts w:ascii="Calibri" w:cs="Arial" w:eastAsia="Arial" w:hAnsi="Calibri"/>
          <w:b w:val="false"/>
          <w:bCs w:val="false"/>
          <w:i w:val="false"/>
          <w:iCs w:val="false"/>
          <w:color w:val="000000"/>
          <w:sz w:val="20"/>
          <w:szCs w:val="22"/>
        </w:rPr>
        <w:t xml:space="preserve">Variables are renamed for clarity (countryid → iso3, obs_value → e_usd), unnecessary columns dropped, data sorted by iso3-year-month, and saved as ifs_monthly_rates.dta. This intermediate file (49,642 rows) is loaded twice in Step 5 — once for BRICS rates and once for partner rates.</w:t>
      </w:r>
    </w:p>
    <w:p>
      <w:pPr>
        <w:pStyle w:val="Heading3"/>
        <w:keepNext/>
        <w:pageBreakBefore w:val="0"/>
        <w:spacing w:line="259" w:lineRule="auto" w:after="120"/>
      </w:pPr>
      <w:r>
        <w:rPr>
          <w:rFonts w:ascii="Calibri" w:hAnsi="Calibri"/>
          <w:color w:val="000000"/>
          <w:sz w:val="22"/>
        </w:rPr>
        <w:t>Step 5 Construct Bilateral Cross Rates joinby</w:t>
      </w:r>
    </w:p>
    <w:p>
      <w:pPr>
        <w:pStyle w:val="Normal"/>
        <w:pageBreakBefore w:val="0"/>
        <w:spacing w:after="120" w:before="0" w:line="259" w:lineRule="auto"/>
        <w:jc w:val="left"/>
      </w:pPr>
      <w:r>
        <w:rPr>
          <w:rFonts w:ascii="Calibri" w:cs="Arial" w:eastAsia="Arial" w:hAnsi="Calibri"/>
          <w:b w:val="false"/>
          <w:bCs w:val="false"/>
          <w:i w:val="false"/>
          <w:iCs w:val="false"/>
          <w:color w:val="000000"/>
          <w:sz w:val="20"/>
          <w:szCs w:val="22"/>
        </w:rPr>
        <w:t xml:space="preserve">Bilateral rates require matching every BRICS exporter with every partner for each month. The procedure:</w:t>
      </w:r>
    </w:p>
    <w:p>
      <w:pPr>
        <w:pStyle w:val="ListParagraph"/>
        <w:pageBreakBefore w:val="0"/>
        <w:numPr>
          <w:ilvl w:val="0"/>
          <w:numId w:val="3"/>
        </w:numPr>
        <w:spacing w:after="120" w:line="259" w:lineRule="auto"/>
      </w:pPr>
      <w:r>
        <w:rPr>
          <w:rFonts w:ascii="Calibri" w:cs="Arial" w:eastAsia="Arial" w:hAnsi="Calibri"/>
          <w:color w:val="000000"/>
          <w:sz w:val="20"/>
          <w:szCs w:val="22"/>
        </w:rPr>
        <w:t xml:space="preserve">Load ifs_monthly_rates.dta, filter to the 5 BRICS countries, rename iso3 → exporter, e_usd → e_exporter. Save as tempfile brics_rates (1,380 rows: 5 × 23 × 12).</w:t>
      </w:r>
    </w:p>
    <w:p>
      <w:pPr>
        <w:pStyle w:val="ListParagraph"/>
        <w:pageBreakBefore w:val="0"/>
        <w:numPr>
          <w:ilvl w:val="0"/>
          <w:numId w:val="3"/>
        </w:numPr>
        <w:spacing w:after="120" w:line="259" w:lineRule="auto"/>
      </w:pPr>
      <w:r>
        <w:rPr>
          <w:rFonts w:ascii="Calibri" w:cs="Arial" w:eastAsia="Arial" w:hAnsi="Calibri"/>
          <w:color w:val="000000"/>
          <w:sz w:val="20"/>
          <w:szCs w:val="22"/>
        </w:rPr>
        <w:t xml:space="preserve">Reload ifs_monthly_rates.dta (all countries), rename iso3 → importer, e_usd → e_importer.</w:t>
      </w:r>
    </w:p>
    <w:p>
      <w:pPr>
        <w:pStyle w:val="ListParagraph"/>
        <w:pageBreakBefore w:val="0"/>
        <w:numPr>
          <w:ilvl w:val="0"/>
          <w:numId w:val="3"/>
        </w:numPr>
        <w:spacing w:after="120" w:line="259" w:lineRule="auto"/>
      </w:pPr>
      <w:r>
        <w:rPr>
          <w:rFonts w:ascii="Calibri" w:cs="Arial" w:eastAsia="Arial" w:hAnsi="Calibri"/>
          <w:color w:val="000000"/>
          <w:sz w:val="20"/>
          <w:szCs w:val="22"/>
        </w:rPr>
        <w:t xml:space="preserve">Run joinby year month using brics_rates. joinby is Stata's many-to-many merge on specified keys — for each partner-month row, it creates one row for each matching BRICS exporter-month. Result: 248,210 rows before dropping same-country pairs. After drop if exporter == importer: 246,830 rows.</w:t>
      </w:r>
    </w:p>
    <w:p>
      <w:pPr>
        <w:pStyle w:val="Normal"/>
        <w:pageBreakBefore w:val="0"/>
        <w:spacing w:after="120" w:before="0" w:line="259" w:lineRule="auto"/>
        <w:jc w:val="left"/>
      </w:pPr>
      <w:r>
        <w:rPr>
          <w:rFonts w:ascii="Calibri" w:cs="Arial" w:eastAsia="Arial" w:hAnsi="Calibri"/>
          <w:b w:val="false"/>
          <w:bCs w:val="false"/>
          <w:i w:val="false"/>
          <w:iCs w:val="false"/>
          <w:color w:val="000000"/>
          <w:sz w:val="20"/>
          <w:szCs w:val="22"/>
        </w:rPr>
        <w:t xml:space="preserve">The joinby approach avoids a full Cartesian product (cross) which would be computationally expensive. It is efficient because the merge key (year, month) is shared between both sides.</w:t>
      </w:r>
    </w:p>
    <w:p>
      <w:pPr>
        <w:pStyle w:val="Heading3"/>
        <w:keepNext/>
        <w:pageBreakBefore w:val="0"/>
        <w:spacing w:line="259" w:lineRule="auto" w:after="120"/>
      </w:pPr>
      <w:r>
        <w:rPr>
          <w:rFonts w:ascii="Calibri" w:hAnsi="Calibri"/>
          <w:color w:val="000000"/>
          <w:sz w:val="22"/>
        </w:rPr>
        <w:t>Step 6 Log Exchange Rate and Monthly Changes</w:t>
      </w:r>
    </w:p>
    <w:p>
      <w:pPr>
        <w:pStyle w:val="Normal"/>
        <w:pageBreakBefore w:val="0"/>
        <w:spacing w:after="120" w:before="0" w:line="259" w:lineRule="auto"/>
        <w:jc w:val="left"/>
      </w:pPr>
      <w:r>
        <w:rPr>
          <w:rFonts w:ascii="Calibri" w:cs="Arial" w:eastAsia="Arial" w:hAnsi="Calibri"/>
          <w:b w:val="false"/>
          <w:bCs w:val="false"/>
          <w:i w:val="false"/>
          <w:iCs w:val="false"/>
          <w:color w:val="000000"/>
          <w:sz w:val="20"/>
          <w:szCs w:val="22"/>
        </w:rPr>
        <w:t xml:space="preserve">Three variables are generated:</w:t>
      </w:r>
    </w:p>
    <w:p>
      <w:pPr>
        <w:pStyle w:val="ListParagraph"/>
        <w:pageBreakBefore w:val="0"/>
        <w:numPr>
          <w:ilvl w:val="0"/>
          <w:numId w:val="2"/>
        </w:numPr>
        <w:spacing w:after="120" w:line="259" w:lineRule="auto"/>
      </w:pPr>
      <w:r>
        <w:rPr>
          <w:rFonts w:ascii="Calibri" w:cs="Arial" w:eastAsia="Arial" w:hAnsi="Calibri"/>
          <w:b w:val="false"/>
          <w:bCs w:val="false"/>
          <w:i w:val="false"/>
          <w:iCs w:val="false"/>
          <w:color w:val="000000"/>
          <w:sz w:val="20"/>
          <w:szCs w:val="22"/>
        </w:rPr>
        <w:t xml:space="preserve">ln_e = ln(e_exporter) - ln(e_importer) — the log bilateral exchange rate (log cross-rate)</w:t>
      </w:r>
    </w:p>
    <w:p>
      <w:pPr>
        <w:pStyle w:val="ListParagraph"/>
        <w:pageBreakBefore w:val="0"/>
        <w:numPr>
          <w:ilvl w:val="0"/>
          <w:numId w:val="2"/>
        </w:numPr>
        <w:spacing w:after="120" w:line="259" w:lineRule="auto"/>
      </w:pPr>
      <w:r>
        <w:rPr>
          <w:rFonts w:ascii="Calibri" w:cs="Arial" w:eastAsia="Arial" w:hAnsi="Calibri"/>
          <w:b w:val="false"/>
          <w:bCs w:val="false"/>
          <w:i w:val="false"/>
          <w:iCs w:val="false"/>
          <w:color w:val="000000"/>
          <w:sz w:val="20"/>
          <w:szCs w:val="22"/>
        </w:rPr>
        <w:t xml:space="preserve">pair_id = egen group(exporter importer) — a unique numeric identifier for each exporter-importer pair, required by xtset and rangestat</w:t>
      </w:r>
    </w:p>
    <w:p>
      <w:pPr>
        <w:pStyle w:val="ListParagraph"/>
        <w:pageBreakBefore w:val="0"/>
        <w:numPr>
          <w:ilvl w:val="0"/>
          <w:numId w:val="2"/>
        </w:numPr>
        <w:spacing w:after="120" w:line="259" w:lineRule="auto"/>
      </w:pPr>
      <w:r>
        <w:rPr>
          <w:rFonts w:ascii="Calibri" w:cs="Arial" w:eastAsia="Arial" w:hAnsi="Calibri"/>
          <w:b w:val="false"/>
          <w:bCs w:val="false"/>
          <w:i w:val="false"/>
          <w:iCs w:val="false"/>
          <w:color w:val="000000"/>
          <w:sz w:val="20"/>
          <w:szCs w:val="22"/>
        </w:rPr>
        <w:t xml:space="preserve">ym = ym(year, month) — a Stata monthly date variable (formatted %tm), enabling xtset to recognise the monthly time dimension</w:t>
      </w:r>
    </w:p>
    <w:p>
      <w:pPr>
        <w:pStyle w:val="Normal"/>
        <w:pageBreakBefore w:val="0"/>
        <w:spacing w:after="120" w:before="0" w:line="259" w:lineRule="auto"/>
        <w:jc w:val="left"/>
      </w:pPr>
      <w:r>
        <w:rPr>
          <w:rFonts w:ascii="Calibri" w:cs="Arial" w:eastAsia="Arial" w:hAnsi="Calibri"/>
          <w:b w:val="false"/>
          <w:bCs w:val="false"/>
          <w:i w:val="false"/>
          <w:iCs w:val="false"/>
          <w:color w:val="000000"/>
          <w:sz w:val="20"/>
          <w:szCs w:val="22"/>
        </w:rPr>
        <w:t xml:space="preserve">The panel is declared: xtset pair_id ym. Stata reports the panel as unbalanced with gaps — some country pairs lack exchange rate data for certain months, particularly in the early 2000s. This is expected.</w:t>
      </w:r>
    </w:p>
    <w:p>
      <w:pPr>
        <w:pStyle w:val="Normal"/>
        <w:pageBreakBefore w:val="0"/>
        <w:spacing w:after="120" w:before="0" w:line="259" w:lineRule="auto"/>
        <w:jc w:val="left"/>
      </w:pPr>
      <w:r>
        <w:rPr>
          <w:rFonts w:ascii="Calibri" w:cs="Arial" w:eastAsia="Arial" w:hAnsi="Calibri"/>
          <w:b w:val="false"/>
          <w:bCs w:val="false"/>
          <w:i w:val="false"/>
          <w:iCs w:val="false"/>
          <w:color w:val="000000"/>
          <w:sz w:val="20"/>
          <w:szCs w:val="22"/>
        </w:rPr>
        <w:t xml:space="preserve">Monthly log change: delta_ln_e = d.ln_e. The d. prefix is Stata's first-difference operator, which exploits the xtset declaration to compute within-pair month-on-month differences. 975 missing values are generated — the first observation per pair, where no lag exists.</w:t>
      </w:r>
    </w:p>
    <w:p>
      <w:pPr>
        <w:pStyle w:val="Heading3"/>
        <w:keepNext/>
        <w:pageBreakBefore w:val="0"/>
        <w:spacing w:line="259" w:lineRule="auto" w:after="120"/>
      </w:pPr>
      <w:r>
        <w:rPr>
          <w:rFonts w:ascii="Calibri" w:hAnsi="Calibri"/>
          <w:color w:val="000000"/>
          <w:sz w:val="22"/>
        </w:rPr>
        <w:t>Step 7 Rolling 12 Month Standard Deviation</w:t>
      </w:r>
    </w:p>
    <w:p>
      <w:pPr>
        <w:pStyle w:val="Normal"/>
        <w:pageBreakBefore w:val="0"/>
        <w:spacing w:after="120" w:before="0" w:line="259" w:lineRule="auto"/>
        <w:jc w:val="left"/>
      </w:pPr>
      <w:r>
        <w:rPr>
          <w:rFonts w:ascii="Calibri" w:cs="Arial" w:eastAsia="Arial" w:hAnsi="Calibri"/>
          <w:b w:val="false"/>
          <w:bCs w:val="false"/>
          <w:i w:val="false"/>
          <w:iCs w:val="false"/>
          <w:color w:val="000000"/>
          <w:sz w:val="20"/>
          <w:szCs w:val="22"/>
        </w:rPr>
        <w:t xml:space="preserve">rangestat (sd) delta_ln_e, interval(ym -11 0) by(pair_id) computes the standard deviation of delta_ln_e over a backward-looking 12-month window for each observation. The interval(ym -11 0) argument specifies: use all observations from 11 months prior through the current month.</w:t>
      </w:r>
    </w:p>
    <w:p>
      <w:pPr>
        <w:pStyle w:val="Normal"/>
        <w:pageBreakBefore w:val="0"/>
        <w:spacing w:after="120" w:before="0" w:line="259" w:lineRule="auto"/>
        <w:jc w:val="left"/>
      </w:pPr>
      <w:r>
        <w:rPr>
          <w:rFonts w:ascii="Calibri" w:cs="Arial" w:eastAsia="Arial" w:hAnsi="Calibri"/>
          <w:b w:val="false"/>
          <w:bCs w:val="false"/>
          <w:i w:val="false"/>
          <w:iCs w:val="false"/>
          <w:color w:val="000000"/>
          <w:sz w:val="20"/>
          <w:szCs w:val="22"/>
        </w:rPr>
        <w:t xml:space="preserve">This produces delta_ln_e_sd, renamed to volatility. A full 12-month window requires at least 12 consecutive monthly observations without gaps. Where the window is incomplete, rangestat computes the SD over whatever observations are available — it does not require exactly 12 observations. Observations with fewer than 2 data points produce a missing SD (1,930 missing after this step).</w:t>
      </w:r>
    </w:p>
    <w:p>
      <w:pPr>
        <w:pStyle w:val="Normal"/>
        <w:pageBreakBefore w:val="0"/>
        <w:spacing w:after="120" w:before="0" w:line="259" w:lineRule="auto"/>
        <w:jc w:val="left"/>
      </w:pPr>
      <w:r>
        <w:rPr>
          <w:rFonts w:ascii="Calibri" w:hAnsi="Calibri"/>
          <w:color w:val="000000"/>
          <w:sz w:val="20"/>
        </w:rPr>
        <w:t>The historical volatility summary is mean 0.032, maximum 7.45 and minimum 0. The high Russia-related values in 2022 may reflect capital controls and other institutional changes; the data do not isolate their cause.</w:t>
      </w:r>
    </w:p>
    <w:p>
      <w:pPr>
        <w:pStyle w:val="Heading3"/>
        <w:keepNext/>
        <w:pageBreakBefore w:val="0"/>
        <w:spacing w:line="259" w:lineRule="auto" w:after="120"/>
      </w:pPr>
      <w:r>
        <w:rPr>
          <w:rFonts w:ascii="Calibri" w:hAnsi="Calibri"/>
          <w:color w:val="000000"/>
          <w:sz w:val="22"/>
        </w:rPr>
        <w:t>Step 8 Collapse to Annual</w:t>
      </w:r>
    </w:p>
    <w:p>
      <w:pPr>
        <w:pStyle w:val="Normal"/>
        <w:pageBreakBefore w:val="0"/>
        <w:spacing w:after="120" w:before="0" w:line="259" w:lineRule="auto"/>
        <w:jc w:val="left"/>
      </w:pPr>
      <w:r>
        <w:rPr>
          <w:rFonts w:ascii="Calibri" w:cs="Arial" w:eastAsia="Arial" w:hAnsi="Calibri"/>
          <w:b w:val="false"/>
          <w:bCs w:val="false"/>
          <w:i w:val="false"/>
          <w:iCs w:val="false"/>
          <w:color w:val="000000"/>
          <w:sz w:val="20"/>
          <w:szCs w:val="22"/>
        </w:rPr>
        <w:t xml:space="preserve">keep if month == 12 retains only December observations. The December volatility value represents the 12-month rolling SD over January–December of that year, which is the natural annual convention. Non-December rows are discarded.</w:t>
      </w:r>
    </w:p>
    <w:p>
      <w:pPr>
        <w:pStyle w:val="Normal"/>
        <w:pageBreakBefore w:val="0"/>
        <w:spacing w:after="120" w:before="0" w:line="259" w:lineRule="auto"/>
        <w:jc w:val="left"/>
      </w:pPr>
      <w:r>
        <w:rPr>
          <w:rFonts w:ascii="Calibri" w:cs="Arial" w:eastAsia="Arial" w:hAnsi="Calibri"/>
          <w:b w:val="false"/>
          <w:bCs w:val="false"/>
          <w:i w:val="false"/>
          <w:iCs w:val="false"/>
          <w:color w:val="000000"/>
          <w:sz w:val="20"/>
          <w:szCs w:val="22"/>
        </w:rPr>
        <w:t xml:space="preserve">After keeping December and dropping the 5 remaining missing volatility observations, 20,565 annual bilateral observations remain. These are saved as volatility_panel.dta.</w:t>
      </w:r>
    </w:p>
    <w:p>
      <w:pPr>
        <w:pStyle w:val="Heading2"/>
        <w:keepNext/>
        <w:pageBreakBefore w:val="0"/>
        <w:spacing w:line="259" w:lineRule="auto" w:after="120"/>
      </w:pPr>
      <w:r>
        <w:rPr>
          <w:rFonts w:ascii="Calibri" w:hAnsi="Calibri"/>
          <w:color w:val="000000"/>
          <w:sz w:val="22"/>
        </w:rPr>
        <w:t>5 4 Output Snapshot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4"/>
        <w:gridCol w:w="1872"/>
        <w:gridCol w:w="2016"/>
        <w:gridCol w:w="4176"/>
      </w:tblGrid>
      <w:tr>
        <w:trPr>
          <w:tblHeader/>
          <w:cantSplit/>
          <w:tblHeader/>
        </w:trPr>
        <w:tc>
          <w:tcPr>
            <w:tcW w:type="dxa" w:w="23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Variable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Type</w:t>
            </w:r>
          </w:p>
        </w:tc>
        <w:tc>
          <w:tcPr>
            <w:tcW w:type="dxa" w:w="20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Example</w:t>
            </w:r>
          </w:p>
        </w:tc>
        <w:tc>
          <w:tcPr>
            <w:tcW w:type="dxa" w:w="41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Description</w:t>
            </w:r>
          </w:p>
        </w:tc>
      </w:tr>
      <w:tr>
        <w:trPr>
          <w:cantSplit/>
        </w:trPr>
        <w:tc>
          <w:tcPr>
            <w:tcW w:type="dxa" w:w="23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exporter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str3</w:t>
            </w:r>
          </w:p>
        </w:tc>
        <w:tc>
          <w:tcPr>
            <w:tcW w:type="dxa" w:w="20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RUS</w:t>
            </w:r>
          </w:p>
        </w:tc>
        <w:tc>
          <w:tcPr>
            <w:tcW w:type="dxa" w:w="41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BRICS exporter ISO3 code</w:t>
            </w:r>
          </w:p>
        </w:tc>
      </w:tr>
      <w:tr>
        <w:trPr>
          <w:cantSplit/>
        </w:trPr>
        <w:tc>
          <w:tcPr>
            <w:tcW w:type="dxa" w:w="23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importer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str3</w:t>
            </w:r>
          </w:p>
        </w:tc>
        <w:tc>
          <w:tcPr>
            <w:tcW w:type="dxa" w:w="20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DEU</w:t>
            </w:r>
          </w:p>
        </w:tc>
        <w:tc>
          <w:tcPr>
            <w:tcW w:type="dxa" w:w="41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Trade partner ISO3 code</w:t>
            </w:r>
          </w:p>
        </w:tc>
      </w:tr>
      <w:tr>
        <w:trPr>
          <w:cantSplit/>
        </w:trPr>
        <w:tc>
          <w:tcPr>
            <w:tcW w:type="dxa" w:w="23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year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float</w:t>
            </w:r>
          </w:p>
        </w:tc>
        <w:tc>
          <w:tcPr>
            <w:tcW w:type="dxa" w:w="20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2022</w:t>
            </w:r>
          </w:p>
        </w:tc>
        <w:tc>
          <w:tcPr>
            <w:tcW w:type="dxa" w:w="41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Calendar year (December observation)</w:t>
            </w:r>
          </w:p>
        </w:tc>
      </w:tr>
      <w:tr>
        <w:trPr>
          <w:cantSplit/>
        </w:trPr>
        <w:tc>
          <w:tcPr>
            <w:tcW w:type="dxa" w:w="23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volatility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float</w:t>
            </w:r>
          </w:p>
        </w:tc>
        <w:tc>
          <w:tcPr>
            <w:tcW w:type="dxa" w:w="20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0.452</w:t>
            </w:r>
          </w:p>
        </w:tc>
        <w:tc>
          <w:tcPr>
            <w:tcW w:type="dxa" w:w="41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Rolling 12-month SD of monthly log exchange rate changes</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84"/>
        <w:gridCol w:w="6984"/>
      </w:tblGrid>
      <w:tr>
        <w:trPr>
          <w:tblHeader/>
          <w:cantSplit/>
          <w:tblHeader/>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Statistic</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Value</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Total observations</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20,565</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Mean volatility</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0.033 (3.3 percentage points monthly SD)</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Max volatility</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7.45 (Russia–partner pairs, 2022 — rouble shock)</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Min volatility</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0 (USD-pegged currencies — Aruba florin, etc.)</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Missing after December filter</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5 (dropped)</w:t>
            </w:r>
          </w:p>
        </w:tc>
      </w:tr>
    </w:tbl>
    <w:p>
      <w:pPr>
        <w:pStyle w:val="Heading1"/>
        <w:keepNext/>
        <w:pageBreakBefore w:val="0"/>
        <w:spacing w:line="259" w:lineRule="auto" w:after="120" w:before="160"/>
      </w:pPr>
      <w:r>
        <w:rPr>
          <w:rFonts w:ascii="Calibri" w:hAnsi="Calibri"/>
          <w:color w:val="000000"/>
          <w:sz w:val="28"/>
        </w:rPr>
        <w:t>6 Problems Encountered and How They Were Resolved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2"/>
        <w:gridCol w:w="3168"/>
        <w:gridCol w:w="4608"/>
      </w:tblGrid>
      <w:tr>
        <w:trPr>
          <w:tblHeader/>
          <w:cantSplit/>
          <w:tblHeader/>
        </w:trPr>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Problem</w:t>
            </w:r>
          </w:p>
        </w:tc>
        <w:tc>
          <w:tcPr>
            <w:tcW w:type="dxa" w:w="316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Diagnosis</w:t>
            </w:r>
          </w:p>
        </w:tc>
        <w:tc>
          <w:tcPr>
            <w:tcW w:type="dxa" w:w="46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Resolution</w:t>
            </w:r>
          </w:p>
        </w:tc>
      </w:tr>
      <w:tr>
        <w:trPr>
          <w:cantSplit/>
        </w:trPr>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BACI loop: drop i j produced error — variable j not found</w:t>
            </w:r>
          </w:p>
        </w:tc>
        <w:tc>
          <w:tcPr>
            <w:tcW w:type="dxa" w:w="316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After renaming j to baci_code and dropping baci_code, j no longer existed as a separate variable when drop i j was called.</w:t>
            </w:r>
          </w:p>
        </w:tc>
        <w:tc>
          <w:tcPr>
            <w:tcW w:type="dxa" w:w="46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Changed drop i j to drop i — j was already dropped implicitly when baci_code was dropped.</w:t>
            </w:r>
          </w:p>
        </w:tc>
      </w:tr>
      <w:tr>
        <w:trPr>
          <w:cantSplit/>
        </w:trPr>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IFS download: multiple series per country-month (e.g. Aruba had 3,316 monthly rows instead of 276)</w:t>
            </w:r>
          </w:p>
        </w:tc>
        <w:tc>
          <w:tcPr>
            <w:tcW w:type="dxa" w:w="316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The raw IFS file contains multiple transformation types — end of period, period average, and multiple denominations — all with frequencyid == "M". Filtering on frequency alone was insufficient.</w:t>
            </w:r>
          </w:p>
        </w:tc>
        <w:tc>
          <w:tcPr>
            <w:tcW w:type="dxa" w:w="46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Added two additional filter conditions: indicatorid == "XDC_USD" and type_of_transformationid == "PA_RT". Together these three conditions uniquely identify the period-average domestic-currency-per-USD monthly series.</w:t>
            </w:r>
          </w:p>
        </w:tc>
      </w:tr>
      <w:tr>
        <w:trPr>
          <w:cantSplit/>
        </w:trPr>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IFS country names did not match BACI country names (only 119 of 238 matched exactly)</w:t>
            </w:r>
          </w:p>
        </w:tc>
        <w:tc>
          <w:tcPr>
            <w:tcW w:type="dxa" w:w="316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IMF uses long-form country names (e.g. "China, People's Republic of") while BACI uses shorter variants. Direct name matching was infeasible.</w:t>
            </w:r>
          </w:p>
        </w:tc>
        <w:tc>
          <w:tcPr>
            <w:tcW w:type="dxa" w:w="46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Switched to downloading with ID format from the IMF portal. IMF country IDs (e.g. CHN, IND, RUS) are ISO3-compatible and match BACI and GeoDist directly — no crosswalk needed.</w:t>
            </w:r>
          </w:p>
        </w:tc>
      </w:tr>
      <w:tr>
        <w:trPr>
          <w:cantSplit/>
        </w:trPr>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Stata variable name type_of_transformationid was not recognised</w:t>
            </w:r>
          </w:p>
        </w:tc>
        <w:tc>
          <w:tcPr>
            <w:tcW w:type="dxa" w:w="316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The variable was displayed as type_of_trans~d in all output due to truncation. Attempting to reference type_of_transid caused a variable not found error.</w:t>
            </w:r>
          </w:p>
        </w:tc>
        <w:tc>
          <w:tcPr>
            <w:tcW w:type="dxa" w:w="46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Used ds, varwidth(32) to retrieve the full untruncated variable name. Full name: type_of_transformationid.</w:t>
            </w:r>
          </w:p>
        </w:tc>
      </w:tr>
      <w:tr>
        <w:trPr>
          <w:cantSplit/>
        </w:trPr>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list in 1/5 returned wrong rows when combining with if conditions</w:t>
            </w:r>
          </w:p>
        </w:tc>
        <w:tc>
          <w:tcPr>
            <w:tcW w:type="dxa" w:w="316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The in qualifier restricts to observation numbers in the full dataset — so in 1/5 returns rows 1–5 of the whole dataset, not the first 5 matching the if condition.</w:t>
            </w:r>
          </w:p>
        </w:tc>
        <w:tc>
          <w:tcPr>
            <w:tcW w:type="dxa" w:w="46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Used preserve / keep if [condition] / list in 1/5 / restore pattern to filter first, then inspect.</w:t>
            </w:r>
          </w:p>
        </w:tc>
      </w:tr>
      <w:tr>
        <w:trPr>
          <w:cantSplit/>
        </w:trPr>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Line continuation with /// did not work in the command window</w:t>
            </w:r>
          </w:p>
        </w:tc>
        <w:tc>
          <w:tcPr>
            <w:tcW w:type="dxa" w:w="316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 is a do-file editor continuation character. Pasting multi-line commands with /// into the command window splits them into separate invalid commands.</w:t>
            </w:r>
          </w:p>
        </w:tc>
        <w:tc>
          <w:tcPr>
            <w:tcW w:type="dxa" w:w="46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Typed all multi-condition keep if statements as a single line in the command window. /// is used only inside the do-file.</w:t>
            </w:r>
          </w:p>
        </w:tc>
      </w:tr>
    </w:tbl>
    <w:p>
      <w:pPr>
        <w:pStyle w:val="Heading1"/>
        <w:keepNext/>
        <w:pageBreakBefore w:val="0"/>
        <w:spacing w:line="259" w:lineRule="auto" w:after="120" w:before="160"/>
      </w:pPr>
      <w:r>
        <w:rPr>
          <w:rFonts w:ascii="Calibri" w:hAnsi="Calibri"/>
          <w:color w:val="000000"/>
          <w:sz w:val="28"/>
        </w:rPr>
        <w:t>7 Key Stata Commands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84"/>
        <w:gridCol w:w="6984"/>
      </w:tblGrid>
      <w:tr>
        <w:trPr>
          <w:tblHeader/>
          <w:cantSplit/>
          <w:tblHeader/>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Command</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Purpose in This Do-File</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import delimited</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Load BACI CSV files and IFS CSV file into memory</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keep if / drop if</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Filter rows by condition — BRICS exporters, monthly series, etc.</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collapse (sum)</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Aggregate product-level BACI rows to bilateral annual totals</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merge m:1</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Attach ISO3 codes from crosswalk to numeric BACI codes</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append using</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Stack annual BACI datasets across loop iterations</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forvalues</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Loop over years 2000–2022 for BACI processing</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tempfile / save emptyok</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Accumulate loop output without a permanent intermediate file</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preserve / restore</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Temporarily load a second dataset without losing the primary one</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joinby</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Many-to-many merge on year-month — cross BRICS rates with partner rates</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egen group()</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Create numeric pair identifier from exporter-importer string pair</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ym() / format %tm</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Create and format Stata monthly date variable for xtset</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xtset</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Declare panel structure — enables d. and l. time series operators</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d.varname</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First difference within panel — monthly log change of exchange rate</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rangestat</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Rolling window statistics — 12-month SD of monthly log changes (SSC package)</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substr() / real()</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Extract and convert year/month from time_period string</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levelsof</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Extract unique country names for inspection</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ds, varwidth(32)</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Display full variable names without truncation</w:t>
            </w:r>
          </w:p>
        </w:tc>
      </w:tr>
    </w:tbl>
    <w:p>
      <w:pPr>
        <w:pStyle w:val="Heading1"/>
        <w:keepNext/>
        <w:pageBreakBefore w:val="0"/>
        <w:spacing w:line="259" w:lineRule="auto" w:after="120" w:before="160"/>
      </w:pPr>
      <w:r>
        <w:rPr>
          <w:rFonts w:ascii="Calibri" w:hAnsi="Calibri"/>
          <w:color w:val="000000"/>
          <w:sz w:val="28"/>
        </w:rPr>
        <w:t>8 Run Statistics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84"/>
        <w:gridCol w:w="6984"/>
      </w:tblGrid>
      <w:tr>
        <w:trPr>
          <w:tblHeader/>
          <w:cantSplit/>
          <w:tblHeader/>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Item</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Value</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Run date</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1 June 2026</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Run time (full do-file)</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10:53:41 – 11:08:44 (approx. 15 minutes)</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Stata version</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18.0</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Operating system</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hAnsi="Calibri"/>
                <w:b w:val="0"/>
                <w:color w:val="000000"/>
                <w:sz w:val="18"/>
              </w:rPr>
              <w:t>macOS (MacBook Air)</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Section 1 duration (BACI loop)</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Approx. 10–11 minutes (23 files, 7–11M rows each)</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Section 2 duration (IFS + volatility)</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Approx. 4 minutes</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BACI merge errors (across 46 merges)</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0 unmatched observations</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IFS merge errors</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0 unmatched observations</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brics_trade_panel.dta — final obs</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23,940</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volatility_panel.dta — final obs</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20,565</w:t>
            </w:r>
          </w:p>
        </w:tc>
      </w:tr>
    </w:tbl>
    <w:p>
      <w:pPr>
        <w:pStyle w:val="Heading1"/>
        <w:keepNext/>
        <w:pageBreakBefore w:val="0"/>
        <w:spacing w:line="259" w:lineRule="auto" w:after="120" w:before="160"/>
      </w:pPr>
      <w:r>
        <w:rPr>
          <w:rFonts w:ascii="Calibri" w:hAnsi="Calibri"/>
          <w:color w:val="000000"/>
          <w:sz w:val="28"/>
        </w:rPr>
        <w:t>9 Next Steps 02_merge do</w:t>
      </w:r>
    </w:p>
    <w:p>
      <w:pPr>
        <w:pStyle w:val="Normal"/>
        <w:pageBreakBefore w:val="0"/>
        <w:spacing w:after="120" w:before="0" w:line="259" w:lineRule="auto"/>
        <w:jc w:val="left"/>
      </w:pPr>
      <w:r>
        <w:rPr>
          <w:rFonts w:ascii="Calibri" w:cs="Arial" w:eastAsia="Arial" w:hAnsi="Calibri"/>
          <w:b w:val="false"/>
          <w:bCs w:val="false"/>
          <w:i w:val="false"/>
          <w:iCs w:val="false"/>
          <w:color w:val="000000"/>
          <w:sz w:val="20"/>
          <w:szCs w:val="22"/>
        </w:rPr>
        <w:t xml:space="preserve">02_merge.do takes brics_trade_panel.dta and volatility_panel.dta as inputs and produces master_panel.dta — the fully merged analysis dataset. The merge do-file will:</w:t>
      </w:r>
    </w:p>
    <w:p>
      <w:pPr>
        <w:pStyle w:val="ListParagraph"/>
        <w:pageBreakBefore w:val="0"/>
        <w:numPr>
          <w:ilvl w:val="0"/>
          <w:numId w:val="2"/>
        </w:numPr>
        <w:spacing w:after="120" w:line="259" w:lineRule="auto"/>
      </w:pPr>
      <w:r>
        <w:rPr>
          <w:rFonts w:ascii="Calibri" w:cs="Arial" w:eastAsia="Arial" w:hAnsi="Calibri"/>
          <w:b w:val="false"/>
          <w:bCs w:val="false"/>
          <w:i w:val="false"/>
          <w:iCs w:val="false"/>
          <w:color w:val="000000"/>
          <w:sz w:val="20"/>
          <w:szCs w:val="22"/>
        </w:rPr>
        <w:t xml:space="preserve">Merge the trade panel with the volatility panel on exporter-importer-year to create a single bilateral panel</w:t>
      </w:r>
    </w:p>
    <w:p>
      <w:pPr>
        <w:pStyle w:val="ListParagraph"/>
        <w:pageBreakBefore w:val="0"/>
        <w:numPr>
          <w:ilvl w:val="0"/>
          <w:numId w:val="2"/>
        </w:numPr>
        <w:spacing w:after="120" w:line="259" w:lineRule="auto"/>
      </w:pPr>
      <w:r>
        <w:rPr>
          <w:rFonts w:ascii="Calibri" w:cs="Arial" w:eastAsia="Arial" w:hAnsi="Calibri"/>
          <w:b w:val="false"/>
          <w:bCs w:val="false"/>
          <w:i w:val="false"/>
          <w:iCs w:val="false"/>
          <w:color w:val="000000"/>
          <w:sz w:val="20"/>
          <w:szCs w:val="22"/>
        </w:rPr>
        <w:t xml:space="preserve">Merge in GeoDist gravity controls (bilateral distance, common language, colonial link, contiguity) on exporter-importer pair</w:t>
      </w:r>
    </w:p>
    <w:p>
      <w:pPr>
        <w:pStyle w:val="ListParagraph"/>
        <w:pageBreakBefore w:val="0"/>
        <w:numPr>
          <w:ilvl w:val="0"/>
          <w:numId w:val="2"/>
        </w:numPr>
        <w:spacing w:after="120" w:line="259" w:lineRule="auto"/>
      </w:pPr>
      <w:r>
        <w:rPr>
          <w:rFonts w:ascii="Calibri" w:cs="Arial" w:eastAsia="Arial" w:hAnsi="Calibri"/>
          <w:b w:val="false"/>
          <w:bCs w:val="false"/>
          <w:i w:val="false"/>
          <w:iCs w:val="false"/>
          <w:color w:val="000000"/>
          <w:sz w:val="20"/>
          <w:szCs w:val="22"/>
        </w:rPr>
        <w:t xml:space="preserve">Generate fixed effect identifiers: pair_id, exporter_year, importer_year</w:t>
      </w:r>
    </w:p>
    <w:p>
      <w:pPr>
        <w:pStyle w:val="ListParagraph"/>
        <w:pageBreakBefore w:val="0"/>
        <w:numPr>
          <w:ilvl w:val="0"/>
          <w:numId w:val="2"/>
        </w:numPr>
        <w:spacing w:after="120" w:line="259" w:lineRule="auto"/>
      </w:pPr>
      <w:r>
        <w:rPr>
          <w:rFonts w:ascii="Calibri" w:hAnsi="Calibri"/>
          <w:color w:val="000000"/>
          <w:sz w:val="20"/>
        </w:rPr>
        <w:t>Generate ln_trade for positive observed trade flows and trade_dummy as an observed-flow flag. Missing trade stays missing; the flag does not support an extensive-margin analysis.</w:t>
      </w:r>
    </w:p>
    <w:p>
      <w:pPr>
        <w:pStyle w:val="ListParagraph"/>
        <w:pageBreakBefore w:val="0"/>
        <w:numPr>
          <w:ilvl w:val="0"/>
          <w:numId w:val="2"/>
        </w:numPr>
        <w:spacing w:after="120" w:line="259" w:lineRule="auto"/>
      </w:pPr>
      <w:r>
        <w:rPr>
          <w:rFonts w:ascii="Calibri" w:cs="Arial" w:eastAsia="Arial" w:hAnsi="Calibri"/>
          <w:b w:val="false"/>
          <w:bCs w:val="false"/>
          <w:i w:val="false"/>
          <w:iCs w:val="false"/>
          <w:color w:val="000000"/>
          <w:sz w:val="20"/>
          <w:szCs w:val="22"/>
        </w:rPr>
        <w:t xml:space="preserve">Generate the Russia post-sanctions indicator: russia_post22 = (exporter == "RUS" &amp; year &gt;= 2022)</w:t>
      </w:r>
    </w:p>
    <w:p>
      <w:pPr>
        <w:pStyle w:val="ListParagraph"/>
        <w:pageBreakBefore w:val="0"/>
        <w:numPr>
          <w:ilvl w:val="0"/>
          <w:numId w:val="2"/>
        </w:numPr>
        <w:spacing w:after="120" w:line="259" w:lineRule="auto"/>
      </w:pPr>
      <w:r>
        <w:rPr>
          <w:rFonts w:ascii="Calibri" w:cs="Arial" w:eastAsia="Arial" w:hAnsi="Calibri"/>
          <w:b w:val="false"/>
          <w:bCs w:val="false"/>
          <w:i w:val="false"/>
          <w:iCs w:val="false"/>
          <w:color w:val="000000"/>
          <w:sz w:val="20"/>
          <w:szCs w:val="22"/>
        </w:rPr>
        <w:t xml:space="preserve">Perform final data quality checks and report merge rates</w:t>
      </w:r>
    </w:p>
    <w:p>
      <w:pPr>
        <w:pStyle w:val="Normal"/>
        <w:pageBreakBefore w:val="0"/>
        <w:spacing w:after="120" w:before="0" w:line="259" w:lineRule="auto"/>
        <w:jc w:val="left"/>
      </w:pPr>
      <w:r>
        <w:rPr>
          <w:rFonts w:ascii="Calibri" w:hAnsi="Calibri"/>
          <w:color w:val="000000"/>
          <w:sz w:val="20"/>
        </w:rPr>
        <w:t>The master_panel.dta produced by 02_merge.do is the input to 03_analysis.do, which estimates PPML and log-OLS, including a PPML interaction model and Russia sensitivity checks. The unsupported participation LPM is disabled.</w:t>
      </w:r>
    </w:p>
    <w:p>
      <w:pPr>
        <w:pStyle w:val="Normal"/>
        <w:pageBreakBefore w:val="0"/>
        <w:spacing w:after="120" w:line="259" w:lineRule="auto"/>
        <w:jc w:val="center"/>
      </w:pPr>
      <w:r>
        <w:rPr>
          <w:rFonts w:ascii="Calibri" w:cs="Arial" w:eastAsia="Arial" w:hAnsi="Calibri"/>
          <w:color w:val="000000"/>
          <w:sz w:val="20"/>
          <w:szCs w:val="18"/>
        </w:rPr>
        <w:t xml:space="preserve">End of Documentation — 01_clean.do</w:t>
      </w:r>
    </w:p>
    <w:sectPr>
      <w:footerReference w:type="default" r:id="rId7"/>
      <w:pgSz w:w="12240" w:h="15840" w:orient="portrait"/>
      <w:pgMar w:top="936" w:right="936" w:bottom="936" w:left="93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Project 2 — Do-file 01 Documentation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pPr>
      <w:spacing w:after="120" w:before="0"/>
    </w:pPr>
    <w:rPr>
      <w:rFonts w:ascii="Calibri" w:hAnsi="Calibri"/>
      <w:color w:val="000000"/>
      <w:sz w:val="40"/>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F3864"/>
      <w:sz w:val="23"/>
      <w:szCs w:val="23"/>
    </w:rPr>
  </w:style>
  <w:style w:type="paragraph" w:customStyle="1" w:styleId="Normal">
    <w:name w:val="Normal"/>
    <w:pPr>
      <w:spacing w:after="120" w:before="0"/>
    </w:pPr>
    <w:rPr>
      <w:rFonts w:ascii="Calibri" w:hAnsi="Calibri"/>
      <w:color w:val="000000"/>
      <w:sz w:val="20"/>
    </w:rPr>
  </w:style>
  <w:style w:type="paragraph" w:customStyle="1" w:styleId="Subtitle">
    <w:name w:val="Subtitle"/>
    <w:pPr>
      <w:spacing w:after="120" w:before="0"/>
    </w:pPr>
    <w:rPr>
      <w:rFonts w:ascii="Calibri" w:hAnsi="Calibri"/>
      <w:color w:val="000000"/>
      <w:sz w:val="22"/>
    </w:rPr>
  </w:style>
  <w:style w:type="paragraph" w:customStyle="1" w:styleId="Heading1">
    <w:name w:val="heading 1"/>
    <w:pPr>
      <w:spacing w:after="120" w:before="160"/>
    </w:pPr>
    <w:rPr>
      <w:rFonts w:ascii="Calibri" w:hAnsi="Calibri"/>
      <w:color w:val="000000"/>
      <w:sz w:val="28"/>
    </w:rPr>
  </w:style>
  <w:style w:type="paragraph" w:customStyle="1" w:styleId="Heading2">
    <w:name w:val="heading 2"/>
    <w:pPr>
      <w:spacing w:after="120" w:before="160"/>
    </w:pPr>
    <w:rPr>
      <w:rFonts w:ascii="Calibri" w:hAnsi="Calibri"/>
      <w:color w:val="000000"/>
      <w:sz w:val="23"/>
    </w:rPr>
  </w:style>
  <w:style w:type="paragraph" w:customStyle="1" w:styleId="Heading3">
    <w:name w:val="heading 3"/>
    <w:pPr>
      <w:spacing w:after="120" w:before="160"/>
    </w:pPr>
    <w:rPr>
      <w:rFonts w:ascii="Calibri" w:hAnsi="Calibri"/>
      <w:color w:val="000000"/>
      <w:sz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2026-06-01T09:16:05.549Z</dcterms:created>
  <dcterms:modified xsi:type="dcterms:W3CDTF">2026-06-01T09:16:05.550Z</dcterms:modified>
</cp:coreProperties>
</file>

<file path=docProps/custom.xml><?xml version="1.0" encoding="utf-8"?>
<Properties xmlns="http://schemas.openxmlformats.org/officeDocument/2006/custom-properties" xmlns:vt="http://schemas.openxmlformats.org/officeDocument/2006/docPropsVTypes"/>
</file>