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ageBreakBefore w:val="0"/>
        <w:spacing w:after="120" w:line="259" w:lineRule="auto"/>
        <w:jc w:val="left"/>
      </w:pPr>
      <w:r>
        <w:rPr>
          <w:b/>
          <w:sz w:val="40"/>
        </w:rPr>
        <w:t>Project 2 Exchange Rate Volatility and Trade</w:t>
      </w:r>
    </w:p>
    <w:p>
      <w:pPr>
        <w:pStyle w:val="Normal"/>
        <w:pageBreakBefore w:val="0"/>
        <w:spacing w:after="120" w:line="259" w:lineRule="auto"/>
        <w:jc w:val="left"/>
      </w:pPr>
      <w:r>
        <w:rPr>
          <w:rFonts w:ascii="Calibri" w:cs="Arial" w:eastAsia="Arial" w:hAnsi="Calibri"/>
          <w:color w:val="000000"/>
          <w:sz w:val="20"/>
          <w:szCs w:val="24"/>
        </w:rPr>
        <w:t xml:space="preserve">  Do-file 03: Regression Analysis and Results — Full Documentation</w:t>
      </w:r>
    </w:p>
    <w:p>
      <w:pPr>
        <w:pStyle w:val="Normal"/>
        <w:pageBreakBefore w:val="0"/>
        <w:spacing w:after="120" w:line="259" w:lineRule="auto"/>
      </w:pPr>
      <w:r>
        <w:rPr>
          <w:rFonts w:ascii="Calibri" w:cs="Arial" w:eastAsia="Arial" w:hAnsi="Calibri"/>
          <w:color w:val="000000"/>
          <w:sz w:val="20"/>
          <w:szCs w:val="19"/>
        </w:rPr>
        <w:t xml:space="preserve">  Author: Aadhitya   |   Date: June 2026   |   BRICS-Trade-Labour-Portfolio</w:t>
      </w:r>
    </w:p>
    <w:p>
      <w:pPr>
        <w:pStyle w:val="Heading1"/>
        <w:keepNext/>
        <w:pageBreakBefore w:val="0"/>
        <w:spacing w:line="259" w:lineRule="auto" w:after="120"/>
      </w:pPr>
      <w:r>
        <w:rPr>
          <w:rFonts w:ascii="Calibri" w:hAnsi="Calibri"/>
          <w:color w:val="000000"/>
          <w:sz w:val="28"/>
        </w:rPr>
        <w:t>1 Purpose and Scope</w:t>
      </w:r>
    </w:p>
    <w:p>
      <w:pPr>
        <w:pStyle w:val="Normal"/>
        <w:pageBreakBefore w:val="0"/>
        <w:spacing w:after="120" w:before="0" w:line="259" w:lineRule="auto"/>
        <w:jc w:val="left"/>
      </w:pPr>
      <w:r>
        <w:rPr>
          <w:rFonts w:ascii="Calibri" w:hAnsi="Calibri"/>
          <w:color w:val="000000"/>
          <w:sz w:val="20"/>
        </w:rPr>
        <w:t>03_analysis.do uses master_panel.dta to examine the association between bilateral exchange-rate volatility and observed BRICS trade flows. It exports primary, heterogeneity and Russia-sensitivity tables. Missing trade is not treated as zero, and no reliable extensive-margin estimate is available.</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do-file has four sections:</w:t>
      </w:r>
    </w:p>
    <w:p>
      <w:pPr>
        <w:pStyle w:val="ListParagraph"/>
        <w:pageBreakBefore w:val="0"/>
        <w:numPr>
          <w:ilvl w:val="0"/>
          <w:numId w:val="2"/>
        </w:numPr>
        <w:spacing w:after="120" w:line="259" w:lineRule="auto"/>
      </w:pPr>
      <w:r>
        <w:rPr>
          <w:rFonts w:ascii="Calibri" w:hAnsi="Calibri"/>
          <w:color w:val="000000"/>
          <w:sz w:val="20"/>
        </w:rPr>
        <w:t>Section 1: Two primary specifications - PPML and log-OLS. The unsupported participation LPM is disabled.</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Section 2: BRICS heterogeneity — country-specific volatility effects via interaction specification</w:t>
      </w:r>
    </w:p>
    <w:p>
      <w:pPr>
        <w:pStyle w:val="ListParagraph"/>
        <w:pageBreakBefore w:val="0"/>
        <w:numPr>
          <w:ilvl w:val="0"/>
          <w:numId w:val="2"/>
        </w:numPr>
        <w:spacing w:after="120" w:line="259" w:lineRule="auto"/>
      </w:pPr>
      <w:r>
        <w:rPr>
          <w:rFonts w:ascii="Calibri" w:hAnsi="Calibri"/>
          <w:color w:val="000000"/>
          <w:sz w:val="20"/>
        </w:rPr>
        <w:t>Section 3: Sensitivity checks excluding Russian exporter observations in 2022 and later years</w:t>
      </w:r>
    </w:p>
    <w:p>
      <w:pPr>
        <w:pStyle w:val="ListParagraph"/>
        <w:pageBreakBefore w:val="0"/>
        <w:numPr>
          <w:ilvl w:val="0"/>
          <w:numId w:val="2"/>
        </w:numPr>
        <w:spacing w:after="120" w:line="259" w:lineRule="auto"/>
      </w:pPr>
      <w:r>
        <w:rPr>
          <w:rFonts w:ascii="Calibri" w:cs="Arial" w:eastAsia="Arial" w:hAnsi="Calibri"/>
          <w:b w:val="false"/>
          <w:bCs w:val="false"/>
          <w:i w:val="false"/>
          <w:iCs w:val="false"/>
          <w:color w:val="000000"/>
          <w:sz w:val="20"/>
          <w:szCs w:val="22"/>
        </w:rPr>
        <w:t xml:space="preserve">Section 4: Export results tables to output/ using esttab</w:t>
      </w:r>
    </w:p>
    <w:p>
      <w:pPr>
        <w:pStyle w:val="Heading1"/>
        <w:keepNext/>
        <w:pageBreakBefore w:val="0"/>
        <w:spacing w:line="259" w:lineRule="auto" w:after="120"/>
      </w:pPr>
      <w:r>
        <w:rPr>
          <w:rFonts w:ascii="Calibri" w:hAnsi="Calibri"/>
          <w:color w:val="000000"/>
          <w:sz w:val="28"/>
        </w:rPr>
        <w:t>2 File Locations</w:t>
      </w:r>
    </w:p>
    <w:p>
      <w:pPr>
        <w:pStyle w:val="Heading2"/>
        <w:keepNext/>
        <w:pageBreakBefore w:val="0"/>
        <w:spacing w:line="259" w:lineRule="auto" w:after="120"/>
      </w:pPr>
      <w:r>
        <w:rPr>
          <w:rFonts w:ascii="Calibri" w:hAnsi="Calibri"/>
          <w:color w:val="000000"/>
          <w:sz w:val="22"/>
        </w:rPr>
        <w:t>2 1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1728"/>
        <w:gridCol w:w="6192"/>
      </w:tblGrid>
      <w:tr>
        <w:trPr>
          <w:tblHeader/>
          <w:cantSplit/>
          <w:tblHeader/>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File</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Location</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Description</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master_panel.dta</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data/</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24,579 obs — fully merged analysis dataset from 02_merge.do. 16 variables.</w:t>
            </w:r>
          </w:p>
        </w:tc>
      </w:tr>
    </w:tbl>
    <w:p>
      <w:pPr>
        <w:pStyle w:val="Heading2"/>
        <w:keepNext/>
        <w:pageBreakBefore w:val="0"/>
        <w:spacing w:line="259" w:lineRule="auto" w:after="120" w:before="160"/>
      </w:pPr>
      <w:r>
        <w:rPr>
          <w:rFonts w:ascii="Calibri" w:hAnsi="Calibri"/>
          <w:color w:val="000000"/>
          <w:sz w:val="22"/>
        </w:rPr>
        <w:t>2 2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1728"/>
        <w:gridCol w:w="6192"/>
      </w:tblGrid>
      <w:tr>
        <w:trPr>
          <w:tblHeader/>
          <w:cantSplit/>
          <w:tblHeader/>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File</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Location</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Description</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results_table.csv</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output/</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Primary results — PPML and log-OLS, full sample</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sensitivity_table.csv</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output/</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Sensitivity check — PPML and log-OLS excluding Russia 2022+</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heterogeneity_table.csv</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output/</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BRICS heterogeneity — country-specific volatility interactions</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03_analysis.log</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log/</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Full run log — all regression output and convergence details</w:t>
            </w:r>
          </w:p>
        </w:tc>
      </w:tr>
    </w:tbl>
    <w:p>
      <w:pPr>
        <w:pStyle w:val="Heading1"/>
        <w:keepNext/>
        <w:pageBreakBefore w:val="0"/>
        <w:spacing w:line="259" w:lineRule="auto" w:after="120" w:before="160"/>
      </w:pPr>
      <w:r>
        <w:rPr>
          <w:rFonts w:ascii="Calibri" w:hAnsi="Calibri"/>
          <w:color w:val="000000"/>
          <w:sz w:val="28"/>
        </w:rPr>
        <w:t>3 Econometric Framework</w:t>
      </w:r>
    </w:p>
    <w:p>
      <w:pPr>
        <w:pStyle w:val="Heading2"/>
        <w:keepNext/>
        <w:pageBreakBefore w:val="0"/>
        <w:spacing w:line="259" w:lineRule="auto" w:after="120"/>
      </w:pPr>
      <w:r>
        <w:rPr>
          <w:rFonts w:ascii="Calibri" w:hAnsi="Calibri"/>
          <w:color w:val="000000"/>
          <w:sz w:val="22"/>
        </w:rPr>
        <w:t>3 1 The Research Question and Identification Strategy</w:t>
      </w:r>
    </w:p>
    <w:p>
      <w:pPr>
        <w:pStyle w:val="Normal"/>
        <w:pageBreakBefore w:val="0"/>
        <w:spacing w:after="120" w:before="0" w:line="259" w:lineRule="auto"/>
        <w:jc w:val="left"/>
      </w:pPr>
      <w:r>
        <w:rPr>
          <w:rFonts w:ascii="Calibri" w:hAnsi="Calibri"/>
          <w:color w:val="000000"/>
          <w:sz w:val="20"/>
        </w:rPr>
        <w:t>The empirical question concerns observed bilateral trade values. Trade-participation mechanisms motivate further research, but cannot be estimated reliably without validating missing flows and constructing the eligible pair-year universe.</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identifying variation is within-pair, across-year changes in bilateral exchange rate volatility, net of exporter-wide and importer-wide annual trends. Three sets of fixed effects are absorbed simultaneously: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1728"/>
        <w:gridCol w:w="6192"/>
      </w:tblGrid>
      <w:tr>
        <w:trPr>
          <w:tblHeader/>
          <w:cantSplit/>
          <w:tblHeader/>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Fixed Effect</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Notation</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What It Absorbs</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Pair FE</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φ_ij</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All time-invariant bilateral characteristics — distance, language, colonial history, contiguity, and the average level of the bilateral trade relationship</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Exporter × Year FE</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γ_it</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All exporter-specific time variation — multilateral resistance, GDP, price level, monetary policy stance, export promotion policies</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Importer × Year FE</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δ_jt</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All importer-specific time variation — multilateral resistance, GDP, import demand, trade policy, tariffs</w:t>
            </w:r>
          </w:p>
        </w:tc>
      </w:tr>
    </w:tbl>
    <w:p>
      <w:pPr>
        <w:pStyle w:val="Normal"/>
        <w:pageBreakBefore w:val="0"/>
        <w:spacing w:after="120" w:before="160" w:line="259" w:lineRule="auto"/>
        <w:jc w:val="left"/>
      </w:pPr>
      <w:r>
        <w:rPr>
          <w:rFonts w:ascii="Calibri" w:hAnsi="Calibri"/>
          <w:color w:val="000000"/>
          <w:sz w:val="20"/>
        </w:rPr>
        <w:t>The coefficient is estimated from variation remaining after pair, exporter-year and importer-year fixed effects. Imprecise coefficients do not establish a zero relationship or prove that limited variation is the explanation.</w:t>
      </w:r>
    </w:p>
    <w:p>
      <w:pPr>
        <w:pStyle w:val="Heading2"/>
        <w:keepNext/>
        <w:pageBreakBefore w:val="0"/>
        <w:spacing w:line="259" w:lineRule="auto" w:after="120"/>
      </w:pPr>
      <w:r>
        <w:rPr>
          <w:rFonts w:ascii="Calibri" w:hAnsi="Calibri"/>
          <w:color w:val="000000"/>
          <w:sz w:val="22"/>
        </w:rPr>
        <w:t>3 2 The Multilateral Resistance Problem</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naive gravity equation — regressing log trade on distance, GDP, and volatility — is misspecified. Anderson and van Wincoop (2003, AER) showed that bilateral trade between i and j depends not just on bilateral trade costs but on how those costs compare to each country's average trade cost with all other partners. Omitting multilateral resistance biases the volatility coefficient. The three-way fixed effects specification is the correct solution: exporter-year and importer-year FE absorb the multilateral resistance terms completely.</w:t>
      </w:r>
    </w:p>
    <w:p>
      <w:pPr>
        <w:pStyle w:val="Heading2"/>
        <w:keepNext/>
        <w:pageBreakBefore w:val="0"/>
        <w:spacing w:line="259" w:lineRule="auto" w:after="120"/>
      </w:pPr>
      <w:r>
        <w:rPr>
          <w:rFonts w:ascii="Calibri" w:hAnsi="Calibri"/>
          <w:color w:val="000000"/>
          <w:sz w:val="22"/>
        </w:rPr>
        <w:t>3 3 The Zero Trade Flow Problem</w:t>
      </w:r>
    </w:p>
    <w:p>
      <w:pPr>
        <w:pStyle w:val="Normal"/>
        <w:pageBreakBefore w:val="0"/>
        <w:spacing w:after="120" w:before="0" w:line="259" w:lineRule="auto"/>
        <w:jc w:val="left"/>
      </w:pPr>
      <w:r>
        <w:rPr>
          <w:rFonts w:ascii="Calibri" w:hAnsi="Calibri"/>
          <w:color w:val="000000"/>
          <w:sz w:val="20"/>
        </w:rPr>
        <w:t>PPML models non-negative trade levels and can accommodate observed zeros under its conditional-mean assumptions. Log-OLS requires positive trade and estimates a different functional form. Neither estimator turns an absent or missing observation into a zero.</w:t>
      </w:r>
    </w:p>
    <w:p>
      <w:pPr>
        <w:pStyle w:val="Normal"/>
        <w:pageBreakBefore w:val="0"/>
        <w:spacing w:after="120" w:before="0" w:line="259" w:lineRule="auto"/>
        <w:jc w:val="left"/>
      </w:pPr>
      <w:r>
        <w:rPr>
          <w:rFonts w:ascii="Calibri" w:hAnsi="Calibri"/>
          <w:color w:val="000000"/>
          <w:sz w:val="20"/>
        </w:rPr>
        <w:t>Both estimators use the reported effective sample of 19,914 observations. The 639 missing trade values are excluded by both; they are not evidence of non-trading relationships.</w:t>
      </w:r>
    </w:p>
    <w:p>
      <w:pPr>
        <w:pStyle w:val="Heading1"/>
        <w:keepNext/>
        <w:pageBreakBefore w:val="0"/>
        <w:spacing w:line="259" w:lineRule="auto" w:after="120"/>
      </w:pPr>
      <w:r>
        <w:rPr>
          <w:rFonts w:ascii="Calibri" w:hAnsi="Calibri"/>
          <w:color w:val="000000"/>
          <w:sz w:val="28"/>
        </w:rPr>
        <w:t>4 Section 1 Primary Specifications</w:t>
      </w:r>
    </w:p>
    <w:p>
      <w:pPr>
        <w:pStyle w:val="Heading2"/>
        <w:keepNext/>
        <w:pageBreakBefore w:val="0"/>
        <w:spacing w:line="259" w:lineRule="auto" w:after="120"/>
      </w:pPr>
      <w:r>
        <w:rPr>
          <w:rFonts w:ascii="Calibri" w:hAnsi="Calibri"/>
          <w:color w:val="000000"/>
          <w:sz w:val="22"/>
        </w:rPr>
        <w:t>4 1 Column 1 PPML Primary Estimator</w:t>
      </w:r>
    </w:p>
    <w:p>
      <w:pPr>
        <w:pStyle w:val="Normal"/>
        <w:pageBreakBefore w:val="0"/>
        <w:spacing w:after="120" w:line="259" w:lineRule="auto"/>
        <w:ind w:left="360"/>
      </w:pPr>
      <w:r>
        <w:rPr>
          <w:rFonts w:ascii="Calibri" w:cs="Courier New" w:eastAsia="Courier New" w:hAnsi="Calibri"/>
          <w:color w:val="000000"/>
          <w:sz w:val="20"/>
          <w:szCs w:val="18"/>
        </w:rPr>
        <w:t xml:space="preserve">ppmlhdfe trade volatility, absorb(pair_id exporter_year importer_year) vce(robust)</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ppmlhdfe is Correia, Guimaraes and Zylkin's (2020, Stata Journal) implementation of PPML with high-dimensional fixed effects. It uses the Frisch-Waugh-Lovell theorem via the ftools package to partial out the fixed effects efficiently, then iterates to PPML convergence. The vce(robust) option computes heteroskedasticity-robust standard errors using the sandwich estimator.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4"/>
        <w:gridCol w:w="6984"/>
      </w:tblGrid>
      <w:tr>
        <w:trPr>
          <w:tblHeader/>
          <w:cantSplit/>
          <w:tblHeader/>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Output Item</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Value / Interpretation</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Observations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19,914 (12 singletons dropped automatically)</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Singletons dropped</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12 observations that are the sole observation in a fixed effect group — contribute no within-group variation and are dropped to avoid degenerate estimates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Volatility coefficient</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+0.490 (SE = 0.835, p = 0.557)</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Sign</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Positive — opposite to theoretical prior of negative effect</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Statistical significance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Not significant at any conventional level</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95% confidence interval</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[-1.147, +2.128] — wide interval spanning both large negative and positive effects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Pseudo R²</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0.9951 — almost all variation explained by three-way fixed effects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Wald chi²(1)</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0.34, p = 0.557 — fail to reject null of no volatility effect</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Convergence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15 outer iterations, 64 HDFE sub-iterations</w:t>
            </w:r>
          </w:p>
        </w:tc>
      </w:tr>
    </w:tbl>
    <w:p>
      <w:pPr>
        <w:pStyle w:val="Heading2"/>
        <w:keepNext/>
        <w:pageBreakBefore w:val="0"/>
        <w:spacing w:line="259" w:lineRule="auto" w:after="120" w:before="160"/>
      </w:pPr>
      <w:r>
        <w:rPr>
          <w:rFonts w:ascii="Calibri" w:hAnsi="Calibri"/>
          <w:color w:val="000000"/>
          <w:sz w:val="22"/>
        </w:rPr>
        <w:t>4 2 Column 2 Log OLS Robustness Check</w:t>
      </w:r>
    </w:p>
    <w:p>
      <w:pPr>
        <w:pStyle w:val="Normal"/>
        <w:pageBreakBefore w:val="0"/>
        <w:spacing w:after="120" w:line="259" w:lineRule="auto"/>
        <w:ind w:left="360"/>
      </w:pPr>
      <w:r>
        <w:rPr>
          <w:rFonts w:ascii="Calibri" w:cs="Courier New" w:eastAsia="Courier New" w:hAnsi="Calibri"/>
          <w:color w:val="000000"/>
          <w:sz w:val="20"/>
          <w:szCs w:val="18"/>
        </w:rPr>
        <w:t xml:space="preserve">reghdfe ln_trade volatility, absorb(pair_id exporter_year importer_year) vce(robust)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4"/>
        <w:gridCol w:w="6984"/>
      </w:tblGrid>
      <w:tr>
        <w:trPr>
          <w:tblHeader/>
          <w:cantSplit/>
          <w:tblHeader/>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Output Item</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Value / Interpretation</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Observations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19,914 (same as PPML — both exclude missing trade observations)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Volatility coefficient</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-1.823 (SE = 1.316, p = 0.166)</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Sign</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Negative — consistent with theoretical prior</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Statistical significance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Not significant at conventional levels (p = 0.166)</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95% confidence interval</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[-4.402, +0.756]</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Within R²</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0.0001 — volatility explains virtually none of the within-FE residual variation</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Overall R²</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0.9462 — three-way FE explains 94.6% of total variation in log trade</w:t>
            </w:r>
          </w:p>
        </w:tc>
      </w:tr>
    </w:tbl>
    <w:p>
      <w:pPr>
        <w:pStyle w:val="Heading2"/>
        <w:keepNext/>
        <w:pageBreakBefore w:val="0"/>
        <w:spacing w:line="259" w:lineRule="auto" w:after="120" w:before="160"/>
      </w:pPr>
      <w:r>
        <w:rPr>
          <w:rFonts w:ascii="Calibri" w:hAnsi="Calibri"/>
          <w:color w:val="000000"/>
          <w:sz w:val="22"/>
        </w:rPr>
        <w:t>Extensive margin not estimated</w:t>
      </w:r>
    </w:p>
    <w:p>
      <w:pPr>
        <w:pStyle w:val="Normal"/>
        <w:pageBreakBefore w:val="0"/>
        <w:spacing w:after="120" w:line="259" w:lineRule="auto"/>
        <w:ind w:left="360"/>
      </w:pPr>
      <w:r>
        <w:rPr>
          <w:rFonts w:ascii="Calibri" w:hAnsi="Calibri"/>
          <w:color w:val="000000"/>
          <w:sz w:val="20"/>
        </w:rPr>
        <w:t>The participation LPM is disabled in the corrected do-file.</w:t>
      </w:r>
    </w:p>
    <w:p>
      <w:pPr>
        <w:pStyle w:val="Normal"/>
        <w:pageBreakBefore w:val="0"/>
        <w:spacing w:after="120" w:before="0" w:line="259" w:lineRule="auto"/>
        <w:jc w:val="left"/>
      </w:pPr>
      <w:r>
        <w:rPr>
          <w:rFonts w:ascii="Calibri" w:hAnsi="Calibri"/>
          <w:color w:val="000000"/>
          <w:sz w:val="20"/>
        </w:rPr>
        <w:t>An earlier LPM attempt returned no informative variation in trade_dummy. That result does not establish an absence of trade entry or exit.</w:t>
      </w:r>
    </w:p>
    <w:p>
      <w:pPr>
        <w:pStyle w:val="Normal"/>
        <w:pageBreakBefore w:val="0"/>
        <w:spacing w:after="120" w:before="0" w:line="259" w:lineRule="auto"/>
        <w:jc w:val="left"/>
      </w:pPr>
      <w:r>
        <w:rPr>
          <w:rFonts w:ascii="Calibri" w:hAnsi="Calibri"/>
          <w:color w:val="000000"/>
          <w:sz w:val="20"/>
        </w:rPr>
        <w:t>trade_dummy remains missing when trade is missing. It is one for observed positive flows. The 639 missing observations cannot be interpreted as pairs that never trade.</w:t>
      </w:r>
    </w:p>
    <w:p>
      <w:pPr>
        <w:pStyle w:val="Normal"/>
        <w:pageBreakBefore w:val="0"/>
        <w:spacing w:after="120" w:before="0" w:line="259" w:lineRule="auto"/>
        <w:jc w:val="left"/>
      </w:pPr>
      <w:r>
        <w:rPr>
          <w:rFonts w:ascii="Calibri" w:hAnsi="Calibri"/>
          <w:color w:val="000000"/>
          <w:sz w:val="20"/>
        </w:rPr>
        <w:t>A participation analysis requires a validated exporter-importer-year universe and a source-specific missingness audit. A longer panel alone would not resolve this measurement problem.</w:t>
      </w:r>
    </w:p>
    <w:p>
      <w:pPr>
        <w:pStyle w:val="Heading1"/>
        <w:keepNext/>
        <w:pageBreakBefore w:val="0"/>
        <w:spacing w:line="259" w:lineRule="auto" w:after="120"/>
      </w:pPr>
      <w:r>
        <w:rPr>
          <w:rFonts w:ascii="Calibri" w:hAnsi="Calibri"/>
          <w:color w:val="000000"/>
          <w:sz w:val="28"/>
        </w:rPr>
        <w:t>5 Section 2 BRICS Heterogeneity</w:t>
      </w:r>
    </w:p>
    <w:p>
      <w:pPr>
        <w:pStyle w:val="Heading2"/>
        <w:keepNext/>
        <w:pageBreakBefore w:val="0"/>
        <w:spacing w:line="259" w:lineRule="auto" w:after="120"/>
      </w:pPr>
      <w:r>
        <w:rPr>
          <w:rFonts w:ascii="Calibri" w:hAnsi="Calibri"/>
          <w:color w:val="000000"/>
          <w:sz w:val="22"/>
        </w:rPr>
        <w:t>5 1 Motivation</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five BRICS exporters have structurally different exchange rate regimes. Pooling them under a single β₁ imposes the assumption that the volatility-trade relationship is identical across all five. This is unlikely given the range from China's managed crawl to Russia's post-sanctions float. The interaction specification relaxes this assumption and recovers country-specific effects.</w:t>
      </w:r>
    </w:p>
    <w:p>
      <w:pPr>
        <w:pStyle w:val="Heading2"/>
        <w:keepNext/>
        <w:pageBreakBefore w:val="0"/>
        <w:spacing w:line="259" w:lineRule="auto" w:after="120"/>
      </w:pPr>
      <w:r>
        <w:rPr>
          <w:rFonts w:ascii="Calibri" w:hAnsi="Calibri"/>
          <w:color w:val="000000"/>
          <w:sz w:val="22"/>
        </w:rPr>
        <w:t>5 2 Specification</w:t>
      </w:r>
    </w:p>
    <w:p>
      <w:pPr>
        <w:pStyle w:val="Normal"/>
        <w:pageBreakBefore w:val="0"/>
        <w:spacing w:after="120" w:before="0" w:line="259" w:lineRule="auto"/>
        <w:jc w:val="left"/>
      </w:pPr>
      <w:r>
        <w:rPr>
          <w:rFonts w:ascii="Calibri" w:hAnsi="Calibri"/>
          <w:color w:val="000000"/>
          <w:sz w:val="20"/>
        </w:rPr>
        <w:t>Four interactions are included, with South Africa as the omitted base category. This parameterisation allows comparison of country-specific slopes without assigning a privileged causal interpretation to the base country.</w:t>
      </w:r>
    </w:p>
    <w:p>
      <w:pPr>
        <w:pStyle w:val="Normal"/>
        <w:pageBreakBefore w:val="0"/>
        <w:spacing w:after="120" w:line="259" w:lineRule="auto"/>
        <w:ind w:left="360"/>
      </w:pPr>
      <w:r>
        <w:rPr>
          <w:rFonts w:ascii="Calibri" w:cs="Courier New" w:eastAsia="Courier New" w:hAnsi="Calibri"/>
          <w:color w:val="000000"/>
          <w:sz w:val="20"/>
          <w:szCs w:val="18"/>
        </w:rPr>
        <w:t xml:space="preserve">gen vol_bra = volatility * (exporter == "BRA")</w:t>
      </w:r>
    </w:p>
    <w:p>
      <w:pPr>
        <w:pStyle w:val="Normal"/>
        <w:pageBreakBefore w:val="0"/>
        <w:spacing w:after="120" w:line="259" w:lineRule="auto"/>
        <w:ind w:left="360"/>
      </w:pPr>
      <w:r>
        <w:rPr>
          <w:rFonts w:ascii="Calibri" w:cs="Courier New" w:eastAsia="Courier New" w:hAnsi="Calibri"/>
          <w:color w:val="000000"/>
          <w:sz w:val="20"/>
          <w:szCs w:val="18"/>
        </w:rPr>
        <w:t xml:space="preserve">gen vol_chn = volatility * (exporter == "CHN")</w:t>
      </w:r>
    </w:p>
    <w:p>
      <w:pPr>
        <w:pStyle w:val="Normal"/>
        <w:pageBreakBefore w:val="0"/>
        <w:spacing w:after="120" w:line="259" w:lineRule="auto"/>
        <w:ind w:left="360"/>
      </w:pPr>
      <w:r>
        <w:rPr>
          <w:rFonts w:ascii="Calibri" w:cs="Courier New" w:eastAsia="Courier New" w:hAnsi="Calibri"/>
          <w:color w:val="000000"/>
          <w:sz w:val="20"/>
          <w:szCs w:val="18"/>
        </w:rPr>
        <w:t xml:space="preserve">gen vol_ind = volatility * (exporter == "IND")</w:t>
      </w:r>
    </w:p>
    <w:p>
      <w:pPr>
        <w:pStyle w:val="Normal"/>
        <w:pageBreakBefore w:val="0"/>
        <w:spacing w:after="120" w:line="259" w:lineRule="auto"/>
        <w:ind w:left="360"/>
      </w:pPr>
      <w:r>
        <w:rPr>
          <w:rFonts w:ascii="Calibri" w:cs="Courier New" w:eastAsia="Courier New" w:hAnsi="Calibri"/>
          <w:color w:val="000000"/>
          <w:sz w:val="20"/>
          <w:szCs w:val="18"/>
        </w:rPr>
        <w:t xml:space="preserve">gen vol_rus = volatility * (exporter == "RUS")</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estimating equation is:</w:t>
      </w:r>
    </w:p>
    <w:p>
      <w:pPr>
        <w:pStyle w:val="Normal"/>
        <w:pageBreakBefore w:val="0"/>
        <w:spacing w:after="120" w:line="259" w:lineRule="auto"/>
        <w:jc w:val="center"/>
      </w:pPr>
      <w:r>
        <w:rPr>
          <w:rFonts w:ascii="Calibri" w:cs="Courier New" w:eastAsia="Courier New" w:hAnsi="Calibri"/>
          <w:b/>
          <w:bCs/>
          <w:color w:val="000000"/>
          <w:sz w:val="20"/>
          <w:szCs w:val="24"/>
        </w:rPr>
        <w:t xml:space="preserve">E[trade_ijt] = exp(β_BRA·vol_bra + β_CHN·vol_chn + β_IND·vol_ind + β_RUS·vol_rus + β_ZAF·volatility + φ_ij + γ_it + δ_jt)</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coefficient on volatility (β_ZAF) is the South Africa baseline effect. The coefficients on vol_xxx are the deviation from ZAF for each country. The total country-specific effect is the sum: e.g. total China effect = β_CHN + β_ZAF.</w:t>
      </w:r>
    </w:p>
    <w:p>
      <w:pPr>
        <w:pStyle w:val="Heading2"/>
        <w:keepNext/>
        <w:pageBreakBefore w:val="0"/>
        <w:spacing w:line="259" w:lineRule="auto" w:after="120"/>
      </w:pPr>
      <w:r>
        <w:rPr>
          <w:rFonts w:ascii="Calibri" w:hAnsi="Calibri"/>
          <w:color w:val="000000"/>
          <w:sz w:val="22"/>
        </w:rPr>
        <w:t>5 3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1296"/>
        <w:gridCol w:w="1152"/>
        <w:gridCol w:w="1152"/>
        <w:gridCol w:w="1152"/>
        <w:gridCol w:w="3960"/>
      </w:tblGrid>
      <w:tr>
        <w:trPr>
          <w:tblHeader/>
          <w:cantSplit/>
          <w:tblHeader/>
        </w:trPr>
        <w:tc>
          <w:tcPr>
            <w:tcW w:type="dxa" w:w="16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Exporter</w:t>
            </w:r>
          </w:p>
        </w:tc>
        <w:tc>
          <w:tcPr>
            <w:tcW w:type="dxa" w:w="129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Coefficient</w:t>
            </w:r>
          </w:p>
        </w:tc>
        <w:tc>
          <w:tcPr>
            <w:tcW w:type="dxa" w:w="11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SE</w:t>
            </w:r>
          </w:p>
        </w:tc>
        <w:tc>
          <w:tcPr>
            <w:tcW w:type="dxa" w:w="11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z-stat</w:t>
            </w:r>
          </w:p>
        </w:tc>
        <w:tc>
          <w:tcPr>
            <w:tcW w:type="dxa" w:w="11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p-value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Interpretation</w:t>
            </w:r>
          </w:p>
        </w:tc>
      </w:tr>
      <w:tr>
        <w:trPr>
          <w:cantSplit/>
        </w:trPr>
        <w:tc>
          <w:tcPr>
            <w:tcW w:type="dxa" w:w="16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BRA (vs ZAF)</w:t>
            </w:r>
          </w:p>
        </w:tc>
        <w:tc>
          <w:tcPr>
            <w:tcW w:type="dxa" w:w="129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-0.781</w:t>
            </w:r>
          </w:p>
        </w:tc>
        <w:tc>
          <w:tcPr>
            <w:tcW w:type="dxa" w:w="11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0.680</w:t>
            </w:r>
          </w:p>
        </w:tc>
        <w:tc>
          <w:tcPr>
            <w:tcW w:type="dxa" w:w="11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-1.15</w:t>
            </w:r>
          </w:p>
        </w:tc>
        <w:tc>
          <w:tcPr>
            <w:tcW w:type="dxa" w:w="11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0.250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Negative, not significant</w:t>
            </w:r>
          </w:p>
        </w:tc>
      </w:tr>
      <w:tr>
        <w:trPr>
          <w:cantSplit/>
        </w:trPr>
        <w:tc>
          <w:tcPr>
            <w:tcW w:type="dxa" w:w="16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CHN (vs ZAF)</w:t>
            </w:r>
          </w:p>
        </w:tc>
        <w:tc>
          <w:tcPr>
            <w:tcW w:type="dxa" w:w="129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-0.057</w:t>
            </w:r>
          </w:p>
        </w:tc>
        <w:tc>
          <w:tcPr>
            <w:tcW w:type="dxa" w:w="11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0.072</w:t>
            </w:r>
          </w:p>
        </w:tc>
        <w:tc>
          <w:tcPr>
            <w:tcW w:type="dxa" w:w="11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-0.79</w:t>
            </w:r>
          </w:p>
        </w:tc>
        <w:tc>
          <w:tcPr>
            <w:tcW w:type="dxa" w:w="11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0.430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Negative, not significant</w:t>
            </w:r>
          </w:p>
        </w:tc>
      </w:tr>
      <w:tr>
        <w:trPr>
          <w:cantSplit/>
        </w:trPr>
        <w:tc>
          <w:tcPr>
            <w:tcW w:type="dxa" w:w="16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IND (vs ZAF)</w:t>
            </w:r>
          </w:p>
        </w:tc>
        <w:tc>
          <w:tcPr>
            <w:tcW w:type="dxa" w:w="129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-0.046</w:t>
            </w:r>
          </w:p>
        </w:tc>
        <w:tc>
          <w:tcPr>
            <w:tcW w:type="dxa" w:w="11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0.103</w:t>
            </w:r>
          </w:p>
        </w:tc>
        <w:tc>
          <w:tcPr>
            <w:tcW w:type="dxa" w:w="11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-0.44</w:t>
            </w:r>
          </w:p>
        </w:tc>
        <w:tc>
          <w:tcPr>
            <w:tcW w:type="dxa" w:w="11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0.659</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Negative, not significant</w:t>
            </w:r>
          </w:p>
        </w:tc>
      </w:tr>
      <w:tr>
        <w:trPr>
          <w:cantSplit/>
        </w:trPr>
        <w:tc>
          <w:tcPr>
            <w:tcW w:type="dxa" w:w="16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RUS (vs ZAF)</w:t>
            </w:r>
          </w:p>
        </w:tc>
        <w:tc>
          <w:tcPr>
            <w:tcW w:type="dxa" w:w="129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+0.451</w:t>
            </w:r>
          </w:p>
        </w:tc>
        <w:tc>
          <w:tcPr>
            <w:tcW w:type="dxa" w:w="11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0.216</w:t>
            </w:r>
          </w:p>
        </w:tc>
        <w:tc>
          <w:tcPr>
            <w:tcW w:type="dxa" w:w="11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+2.09</w:t>
            </w:r>
          </w:p>
        </w:tc>
        <w:tc>
          <w:tcPr>
            <w:tcW w:type="dxa" w:w="11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0.037*</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Positive, significant at 5%</w:t>
            </w:r>
          </w:p>
        </w:tc>
      </w:tr>
      <w:tr>
        <w:trPr>
          <w:cantSplit/>
        </w:trPr>
        <w:tc>
          <w:tcPr>
            <w:tcW w:type="dxa" w:w="16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ZAF (base)</w:t>
            </w:r>
          </w:p>
        </w:tc>
        <w:tc>
          <w:tcPr>
            <w:tcW w:type="dxa" w:w="129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+0.493</w:t>
            </w:r>
          </w:p>
        </w:tc>
        <w:tc>
          <w:tcPr>
            <w:tcW w:type="dxa" w:w="11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0.841</w:t>
            </w:r>
          </w:p>
        </w:tc>
        <w:tc>
          <w:tcPr>
            <w:tcW w:type="dxa" w:w="11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+0.59</w:t>
            </w:r>
          </w:p>
        </w:tc>
        <w:tc>
          <w:tcPr>
            <w:tcW w:type="dxa" w:w="11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0.558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Positive, not significant</w:t>
            </w:r>
          </w:p>
        </w:tc>
      </w:tr>
    </w:tbl>
    <w:p>
      <w:pPr>
        <w:pStyle w:val="Heading2"/>
        <w:keepNext/>
        <w:pageBreakBefore w:val="0"/>
        <w:spacing w:line="259" w:lineRule="auto" w:after="120" w:before="160"/>
      </w:pPr>
      <w:r>
        <w:rPr>
          <w:rFonts w:ascii="Calibri" w:hAnsi="Calibri"/>
          <w:color w:val="000000"/>
          <w:sz w:val="22"/>
        </w:rPr>
        <w:t>5 4 Interpretation</w:t>
      </w:r>
    </w:p>
    <w:p>
      <w:pPr>
        <w:pStyle w:val="Normal"/>
        <w:pageBreakBefore w:val="0"/>
        <w:spacing w:after="120" w:before="0" w:line="259" w:lineRule="auto"/>
        <w:jc w:val="left"/>
      </w:pPr>
      <w:r>
        <w:rPr>
          <w:rFonts w:ascii="Calibri" w:hAnsi="Calibri"/>
          <w:color w:val="000000"/>
          <w:sz w:val="20"/>
        </w:rPr>
        <w:t>The Russia interaction is +0.451 (p = 0.037), relative to the South Africa base coefficient of +0.493. Their sum is +0.944. The interaction p-value tests a difference from the base, not significance of the total Russian slope.</w:t>
      </w:r>
    </w:p>
    <w:p>
      <w:pPr>
        <w:pStyle w:val="Normal"/>
        <w:pageBreakBefore w:val="0"/>
        <w:spacing w:after="120" w:before="0" w:line="259" w:lineRule="auto"/>
        <w:jc w:val="left"/>
      </w:pPr>
      <w:r>
        <w:rPr>
          <w:rFonts w:ascii="Calibri" w:hAnsi="Calibri"/>
          <w:color w:val="000000"/>
          <w:sz w:val="20"/>
        </w:rPr>
        <w:t>Sanctions, capital controls and associated trade redirection are possible confounders. The model does not establish that sanctions caused the positive coefficient or that the relationship is spurious.</w:t>
      </w:r>
    </w:p>
    <w:p>
      <w:pPr>
        <w:pStyle w:val="Normal"/>
        <w:pageBreakBefore w:val="0"/>
        <w:spacing w:after="120" w:before="0" w:line="259" w:lineRule="auto"/>
        <w:jc w:val="left"/>
      </w:pPr>
      <w:r>
        <w:rPr>
          <w:rFonts w:ascii="Calibri" w:hAnsi="Calibri"/>
          <w:color w:val="000000"/>
          <w:sz w:val="20"/>
        </w:rPr>
        <w:t>Brazil, China and India have negative interaction coefficients relative to South Africa. These are deviations, not necessarily negative total country slopes. Significance of a total slope requires its own linear-combination test.</w:t>
      </w:r>
    </w:p>
    <w:p>
      <w:pPr>
        <w:pStyle w:val="Heading1"/>
        <w:keepNext/>
        <w:pageBreakBefore w:val="0"/>
        <w:spacing w:line="259" w:lineRule="auto" w:after="120"/>
      </w:pPr>
      <w:r>
        <w:rPr>
          <w:rFonts w:ascii="Calibri" w:hAnsi="Calibri"/>
          <w:color w:val="000000"/>
          <w:sz w:val="28"/>
        </w:rPr>
        <w:t>6 Section 3 Russia Sensitivity Check</w:t>
      </w:r>
    </w:p>
    <w:p>
      <w:pPr>
        <w:pStyle w:val="Heading2"/>
        <w:keepNext/>
        <w:pageBreakBefore w:val="0"/>
        <w:spacing w:line="259" w:lineRule="auto" w:after="120"/>
      </w:pPr>
      <w:r>
        <w:rPr>
          <w:rFonts w:ascii="Calibri" w:hAnsi="Calibri"/>
          <w:color w:val="000000"/>
          <w:sz w:val="22"/>
        </w:rPr>
        <w:t>6 1 Motivation</w:t>
      </w:r>
    </w:p>
    <w:p>
      <w:pPr>
        <w:pStyle w:val="Normal"/>
        <w:pageBreakBefore w:val="0"/>
        <w:spacing w:after="120" w:before="0" w:line="259" w:lineRule="auto"/>
        <w:jc w:val="left"/>
      </w:pPr>
      <w:r>
        <w:rPr>
          <w:rFonts w:ascii="Calibri" w:hAnsi="Calibri"/>
          <w:color w:val="000000"/>
          <w:sz w:val="20"/>
        </w:rPr>
        <w:t>The annual sensitivity indicator flags 197 Russian exporter observations in the master panel from 2022 onwards. The reported estimation sample falls from 19,914 to 19,777 after the restriction and estimator exclusions. These counts describe different stages of the pipeline.</w:t>
      </w:r>
    </w:p>
    <w:p>
      <w:pPr>
        <w:pStyle w:val="Heading2"/>
        <w:keepNext/>
        <w:pageBreakBefore w:val="0"/>
        <w:spacing w:line="259" w:lineRule="auto" w:after="120"/>
      </w:pPr>
      <w:r>
        <w:rPr>
          <w:rFonts w:ascii="Calibri" w:hAnsi="Calibri"/>
          <w:color w:val="000000"/>
          <w:sz w:val="22"/>
        </w:rPr>
        <w:t>6 2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440"/>
        <w:gridCol w:w="2520"/>
        <w:gridCol w:w="2232"/>
        <w:gridCol w:w="2376"/>
      </w:tblGrid>
      <w:tr>
        <w:trPr>
          <w:tblHeader/>
          <w:cantSplit/>
          <w:tblHeader/>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Specification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Coefficient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SE</w:t>
            </w:r>
          </w:p>
        </w:tc>
        <w:tc>
          <w:tcPr>
            <w:tcW w:type="dxa" w:w="22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p-value</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N</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PPML — full sample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+0.490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0.835</w:t>
            </w:r>
          </w:p>
        </w:tc>
        <w:tc>
          <w:tcPr>
            <w:tcW w:type="dxa" w:w="22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0.557</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19,914</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PPML — excl. Russia 2022+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-0.546</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0.841</w:t>
            </w:r>
          </w:p>
        </w:tc>
        <w:tc>
          <w:tcPr>
            <w:tcW w:type="dxa" w:w="22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0.517</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19,777</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Log-OLS — full sample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-1.823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1.316</w:t>
            </w:r>
          </w:p>
        </w:tc>
        <w:tc>
          <w:tcPr>
            <w:tcW w:type="dxa" w:w="22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0.166</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19,914</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Log-OLS — excl. Russia 2022+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-1.461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1.331</w:t>
            </w:r>
          </w:p>
        </w:tc>
        <w:tc>
          <w:tcPr>
            <w:tcW w:type="dxa" w:w="22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0.272</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19,777</w:t>
            </w:r>
          </w:p>
        </w:tc>
      </w:tr>
    </w:tbl>
    <w:p>
      <w:pPr>
        <w:pStyle w:val="Heading2"/>
        <w:keepNext/>
        <w:pageBreakBefore w:val="0"/>
        <w:spacing w:line="259" w:lineRule="auto" w:after="120" w:before="160"/>
      </w:pPr>
      <w:r>
        <w:rPr>
          <w:rFonts w:ascii="Calibri" w:hAnsi="Calibri"/>
          <w:color w:val="000000"/>
          <w:sz w:val="22"/>
        </w:rPr>
        <w:t>6 3 Interpretation</w:t>
      </w:r>
    </w:p>
    <w:p>
      <w:pPr>
        <w:pStyle w:val="Normal"/>
        <w:pageBreakBefore w:val="0"/>
        <w:spacing w:after="120" w:before="0" w:line="259" w:lineRule="auto"/>
        <w:jc w:val="left"/>
      </w:pPr>
      <w:r>
        <w:rPr>
          <w:rFonts w:ascii="Calibri" w:hAnsi="Calibri"/>
          <w:color w:val="000000"/>
          <w:sz w:val="20"/>
        </w:rPr>
        <w:t>Excluding Russian exporter observations in 2022 changes the PPML estimate from +0.490 to -0.546. The sign reversal is consistent with substantial confounding from that episode, but does not identify sanctions or trade redirection as the cause.</w:t>
      </w:r>
    </w:p>
    <w:p>
      <w:pPr>
        <w:pStyle w:val="Normal"/>
        <w:pageBreakBefore w:val="0"/>
        <w:spacing w:after="120" w:before="0" w:line="259" w:lineRule="auto"/>
        <w:jc w:val="left"/>
      </w:pPr>
      <w:r>
        <w:rPr>
          <w:rFonts w:ascii="Calibri" w:hAnsi="Calibri"/>
          <w:color w:val="000000"/>
          <w:sz w:val="20"/>
        </w:rPr>
        <w:t>Neither PPML coefficient is statistically significant. The log-OLS estimates are -1.823 in the full sample and -1.461 in the restricted sample; both are also insignificant. The sensitivity check describes dependence on sample composition.</w:t>
      </w:r>
    </w:p>
    <w:p>
      <w:pPr>
        <w:pStyle w:val="Normal"/>
        <w:pageBreakBefore w:val="0"/>
        <w:spacing w:after="120" w:before="0" w:line="259" w:lineRule="auto"/>
        <w:jc w:val="left"/>
      </w:pPr>
      <w:r>
        <w:rPr>
          <w:rFonts w:ascii="Calibri" w:hAnsi="Calibri"/>
          <w:color w:val="000000"/>
          <w:sz w:val="20"/>
        </w:rPr>
        <w:t>The estimates remain imprecise. A negative restricted-sample point estimate does not establish a theoretical mechanism, and the sign reversal does not demonstrate the direction of omitted-variable bias.</w:t>
      </w:r>
    </w:p>
    <w:p>
      <w:pPr>
        <w:pStyle w:val="Heading1"/>
        <w:keepNext/>
        <w:pageBreakBefore w:val="0"/>
        <w:spacing w:line="259" w:lineRule="auto" w:after="120"/>
      </w:pPr>
      <w:r>
        <w:rPr>
          <w:rFonts w:ascii="Calibri" w:hAnsi="Calibri"/>
          <w:color w:val="000000"/>
          <w:sz w:val="28"/>
        </w:rPr>
        <w:t>7 Complete Results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440"/>
        <w:gridCol w:w="2520"/>
        <w:gridCol w:w="2232"/>
        <w:gridCol w:w="2376"/>
      </w:tblGrid>
      <w:tr>
        <w:trPr>
          <w:tblHeader/>
          <w:cantSplit/>
          <w:tblHeader/>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Specification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β₁</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SE</w:t>
            </w:r>
          </w:p>
        </w:tc>
        <w:tc>
          <w:tcPr>
            <w:tcW w:type="dxa" w:w="22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p</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N</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 PPML — full sample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+0.490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0.835</w:t>
            </w:r>
          </w:p>
        </w:tc>
        <w:tc>
          <w:tcPr>
            <w:tcW w:type="dxa" w:w="22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0.557</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19,914</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 Log-OLS — full sample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-1.823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1.316</w:t>
            </w:r>
          </w:p>
        </w:tc>
        <w:tc>
          <w:tcPr>
            <w:tcW w:type="dxa" w:w="22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0.166</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19,914</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Extensive margin not estimated</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w:t>
            </w:r>
          </w:p>
        </w:tc>
        <w:tc>
          <w:tcPr>
            <w:tcW w:type="dxa" w:w="22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Not estimated</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(4) PPML — BRICS het. (RUS interaction)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+0.451*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0.216</w:t>
            </w:r>
          </w:p>
        </w:tc>
        <w:tc>
          <w:tcPr>
            <w:tcW w:type="dxa" w:w="22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0.037</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19,914</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(5) PPML — excl. Russia 2022+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-0.546</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0.841</w:t>
            </w:r>
          </w:p>
        </w:tc>
        <w:tc>
          <w:tcPr>
            <w:tcW w:type="dxa" w:w="22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0.517</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19,777</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(6) Log-OLS — excl. Russia 2022+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-1.461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1.331</w:t>
            </w:r>
          </w:p>
        </w:tc>
        <w:tc>
          <w:tcPr>
            <w:tcW w:type="dxa" w:w="22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0.272</w:t>
            </w:r>
          </w:p>
        </w:tc>
        <w:tc>
          <w:tcPr>
            <w:tcW w:type="dxa" w:w="23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19,777</w:t>
            </w:r>
          </w:p>
        </w:tc>
      </w:tr>
    </w:tbl>
    <w:p>
      <w:pPr>
        <w:pStyle w:val="Normal"/>
        <w:pageBreakBefore w:val="0"/>
        <w:spacing w:after="120" w:before="160" w:line="259" w:lineRule="auto"/>
        <w:jc w:val="left"/>
      </w:pPr>
      <w:r>
        <w:rPr>
          <w:rFonts w:ascii="Calibri" w:cs="Arial" w:eastAsia="Arial" w:hAnsi="Calibri"/>
          <w:b w:val="false"/>
          <w:bCs w:val="false"/>
          <w:i w:val="false"/>
          <w:iCs w:val="false"/>
          <w:color w:val="000000"/>
          <w:sz w:val="20"/>
          <w:szCs w:val="22"/>
        </w:rPr>
        <w:t xml:space="preserve">* p &lt; 0.05. All other coefficients insignificant at conventional levels. Three-way fixed effects (pair, exporter×year, importer×year) absorbed in all specifications. Robust standard errors throughout.</w:t>
      </w:r>
    </w:p>
    <w:p>
      <w:pPr>
        <w:pStyle w:val="Heading1"/>
        <w:keepNext/>
        <w:pageBreakBefore w:val="0"/>
        <w:spacing w:line="259" w:lineRule="auto" w:after="120"/>
      </w:pPr>
      <w:r>
        <w:rPr>
          <w:rFonts w:ascii="Calibri" w:hAnsi="Calibri"/>
          <w:color w:val="000000"/>
          <w:sz w:val="28"/>
        </w:rPr>
        <w:t>8 Honest Interpretation of Results</w:t>
      </w:r>
    </w:p>
    <w:p>
      <w:pPr>
        <w:pStyle w:val="Heading2"/>
        <w:keepNext/>
        <w:pageBreakBefore w:val="0"/>
        <w:spacing w:line="259" w:lineRule="auto" w:after="120"/>
      </w:pPr>
      <w:r>
        <w:rPr>
          <w:rFonts w:ascii="Calibri" w:hAnsi="Calibri"/>
          <w:color w:val="000000"/>
          <w:sz w:val="22"/>
        </w:rPr>
        <w:t>8 1 The Null Result</w:t>
      </w:r>
    </w:p>
    <w:p>
      <w:pPr>
        <w:pStyle w:val="Normal"/>
        <w:pageBreakBefore w:val="0"/>
        <w:spacing w:after="120" w:before="0" w:line="259" w:lineRule="auto"/>
        <w:jc w:val="left"/>
      </w:pPr>
      <w:r>
        <w:rPr>
          <w:rFonts w:ascii="Calibri" w:hAnsi="Calibri"/>
          <w:color w:val="000000"/>
          <w:sz w:val="20"/>
        </w:rPr>
        <w:t>The primary PPML and log-OLS coefficients are statistically insignificant under the reported specifications. This is not evidence that the underlying relationship is exactly zero.</w:t>
      </w:r>
    </w:p>
    <w:p>
      <w:pPr>
        <w:pStyle w:val="Normal"/>
        <w:pageBreakBefore w:val="0"/>
        <w:spacing w:after="120" w:before="0" w:line="259" w:lineRule="auto"/>
        <w:jc w:val="left"/>
      </w:pPr>
      <w:r>
        <w:rPr>
          <w:rFonts w:ascii="Calibri" w:cs="Arial" w:eastAsia="Arial" w:hAnsi="Calibri"/>
          <w:b w:val="false"/>
          <w:bCs w:val="false"/>
          <w:i w:val="false"/>
          <w:iCs w:val="false"/>
          <w:color w:val="000000"/>
          <w:sz w:val="20"/>
          <w:szCs w:val="22"/>
        </w:rPr>
        <w:t xml:space="preserve">The null result is consistent with three literatures:</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The aggregate gravity literature, which finds mixed and often insignificant effects of exchange rate volatility on bilateral trade at the country-pair level (Rose 2000, Tenreyro 2007). Significant effects tend to emerge at the firm level (Héricourt &amp; Poncet 2015) or with weaker identification strategies.</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The high-dimensional fixed effects literature, which documents that three-way FE gravity specifications absorb enormous amounts of variation and often leave little for time-varying bilateral variables to explain — particularly with short panels and few exporter categories (Head &amp; Mayer 2014).</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The BRICS-specific literature, which notes that China's managed exchange rate, India's selective intervention, and Russia's sanctions-distorted post-2022 data create structural heterogeneity that pools poorly in a single-coefficient specification.</w:t>
      </w:r>
    </w:p>
    <w:p>
      <w:pPr>
        <w:pStyle w:val="Heading2"/>
        <w:keepNext/>
        <w:pageBreakBefore w:val="0"/>
        <w:spacing w:line="259" w:lineRule="auto" w:after="120"/>
      </w:pPr>
      <w:r>
        <w:rPr>
          <w:rFonts w:ascii="Calibri" w:hAnsi="Calibri"/>
          <w:color w:val="000000"/>
          <w:sz w:val="22"/>
        </w:rPr>
        <w:t>8 2 What the Data Does Show</w:t>
      </w:r>
    </w:p>
    <w:p>
      <w:pPr>
        <w:pStyle w:val="ListParagraph"/>
        <w:pageBreakBefore w:val="0"/>
        <w:numPr>
          <w:ilvl w:val="0"/>
          <w:numId w:val="2"/>
        </w:numPr>
        <w:spacing w:after="120" w:line="259" w:lineRule="auto"/>
      </w:pPr>
      <w:r>
        <w:rPr>
          <w:rFonts w:ascii="Calibri" w:hAnsi="Calibri"/>
          <w:color w:val="000000"/>
          <w:sz w:val="20"/>
        </w:rPr>
        <w:t>Signs: log-OLS and Russia-restricted PPML estimates are negative; country interaction coefficients must be interpreted relative to South Africa.</w:t>
      </w:r>
    </w:p>
    <w:p>
      <w:pPr>
        <w:pStyle w:val="ListParagraph"/>
        <w:pageBreakBefore w:val="0"/>
        <w:numPr>
          <w:ilvl w:val="0"/>
          <w:numId w:val="2"/>
        </w:numPr>
        <w:spacing w:after="120" w:line="259" w:lineRule="auto"/>
      </w:pPr>
      <w:r>
        <w:rPr>
          <w:rFonts w:ascii="Calibri" w:hAnsi="Calibri"/>
          <w:color w:val="000000"/>
          <w:sz w:val="20"/>
        </w:rPr>
        <w:t>Russia sensitivity: the PPML sign changes after excluding Russian exporters in 2022. The mechanism behind that change is not identified.</w:t>
      </w:r>
    </w:p>
    <w:p>
      <w:pPr>
        <w:pStyle w:val="ListParagraph"/>
        <w:pageBreakBefore w:val="0"/>
        <w:numPr>
          <w:ilvl w:val="0"/>
          <w:numId w:val="2"/>
        </w:numPr>
        <w:spacing w:after="120" w:line="259" w:lineRule="auto"/>
      </w:pPr>
      <w:r>
        <w:rPr>
          <w:rFonts w:ascii="Calibri" w:hAnsi="Calibri"/>
          <w:color w:val="000000"/>
          <w:sz w:val="20"/>
        </w:rPr>
        <w:t>Precision: reported confidence intervals include a range of positive and negative relationships. Claims about power or identification require additional analysis.</w:t>
      </w:r>
    </w:p>
    <w:p>
      <w:pPr>
        <w:pStyle w:val="ListParagraph"/>
        <w:pageBreakBefore w:val="0"/>
        <w:numPr>
          <w:ilvl w:val="0"/>
          <w:numId w:val="2"/>
        </w:numPr>
        <w:spacing w:after="120" w:line="259" w:lineRule="auto"/>
      </w:pPr>
      <w:r>
        <w:rPr>
          <w:rFonts w:ascii="Calibri" w:hAnsi="Calibri"/>
          <w:color w:val="000000"/>
          <w:sz w:val="20"/>
        </w:rPr>
        <w:t>Extensive margin: not estimated because missing observations are not validated zero flows.</w:t>
      </w:r>
    </w:p>
    <w:p>
      <w:pPr>
        <w:pStyle w:val="Heading2"/>
        <w:keepNext/>
        <w:pageBreakBefore w:val="0"/>
        <w:spacing w:line="259" w:lineRule="auto" w:after="120"/>
      </w:pPr>
      <w:r>
        <w:rPr>
          <w:rFonts w:ascii="Calibri" w:hAnsi="Calibri"/>
          <w:color w:val="000000"/>
          <w:sz w:val="22"/>
        </w:rPr>
        <w:t>8 3 Limitations</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Endogeneity: countries experiencing economic or political stress have both volatile currencies and declining trade. Without a valid instrument (Tenreyro 2007 uses lagged US monetary policy shocks), β₁ captures correlation not causation. This project does not claim causal identification.</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Five exporters: the BRICS exporter dimension has only five countries. The country-specific interaction specification has limited degrees of freedom. Country-level results are illustrative.</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Rolling SD vs GARCH: rolling SD is backward-looking and does not capture expected future volatility. Exporters may respond to expectations, not realised past volatility. GARCH-based conditional volatility is a robustness check deferred from this analysis.</w:t>
      </w:r>
    </w:p>
    <w:p>
      <w:pPr>
        <w:pStyle w:val="ListParagraph"/>
        <w:pageBreakBefore w:val="0"/>
        <w:numPr>
          <w:ilvl w:val="0"/>
          <w:numId w:val="3"/>
        </w:numPr>
        <w:spacing w:after="120" w:line="259" w:lineRule="auto"/>
      </w:pPr>
      <w:r>
        <w:rPr>
          <w:rFonts w:ascii="Calibri" w:hAnsi="Calibri"/>
          <w:color w:val="000000"/>
          <w:sz w:val="20"/>
        </w:rPr>
        <w:t>Russia 2022: capital controls and sanctions may affect interpretation of the exchange-rate data. The sensitivity restriction is annual, not a post-February monthly exclusion.</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Product heterogeneity: aggregate bilateral flows mask variation across Rauch (1999) good types. Differentiated goods are more sensitive to volatility. Product-level disaggregation is a natural extension not pursued here.</w:t>
      </w:r>
    </w:p>
    <w:p>
      <w:pPr>
        <w:pStyle w:val="Heading1"/>
        <w:keepNext/>
        <w:pageBreakBefore w:val="0"/>
        <w:spacing w:line="259" w:lineRule="auto" w:after="120"/>
      </w:pPr>
      <w:r>
        <w:rPr>
          <w:rFonts w:ascii="Calibri" w:hAnsi="Calibri"/>
          <w:color w:val="000000"/>
          <w:sz w:val="28"/>
        </w:rPr>
        <w:t>9 Key Stata Commands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4"/>
        <w:gridCol w:w="6984"/>
      </w:tblGrid>
      <w:tr>
        <w:trPr>
          <w:tblHeader/>
          <w:cantSplit/>
          <w:tblHeader/>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Command</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Purpose in This Do-File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ppmlhdfe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PPML with high-dimensional fixed effects — primary estimator (Correia, Guimaraes, Zylkin 2020)</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reghdfe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OLS with high-dimensional fixed effects — log-OLS specifications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absorb()</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Specify fixed effect groups to partial out — pair_id, exporter_year, importer_year</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vce(robust)</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Heteroskedasticity-robust standard errors via sandwich estimator</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estimates store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Save regression estimates for later export with esttab</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gen vol_xxx = volatility * (exporter == "XXX")</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Generate country-specific volatility interaction terms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if russia_post22 == 0</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Restrict sample to exclude Russia in 2022 and later years (197 obs)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esttab ... using ... .csv</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Export formatted results table to CSV — primary, sensitivity, heterogeneity</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keep()</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Specify which coefficients to display in the output table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scalars()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Add model-level statistics (N, R², Pseudo R²) to output table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addnotes()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Append table footnotes explaining specifications and caveats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star()</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Significance stars at 10%, 5%, 1% thresholds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require reghdfe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Ensure reghdfe dependencies are satisfied before running</w:t>
            </w:r>
          </w:p>
        </w:tc>
      </w:tr>
    </w:tbl>
    <w:p>
      <w:pPr>
        <w:pStyle w:val="Heading1"/>
        <w:keepNext/>
        <w:pageBreakBefore w:val="0"/>
        <w:spacing w:line="259" w:lineRule="auto" w:after="120" w:before="160"/>
      </w:pPr>
      <w:r>
        <w:rPr>
          <w:rFonts w:ascii="Calibri" w:hAnsi="Calibri"/>
          <w:color w:val="000000"/>
          <w:sz w:val="28"/>
        </w:rPr>
        <w:t>10 Run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4"/>
        <w:gridCol w:w="6984"/>
      </w:tblGrid>
      <w:tr>
        <w:trPr>
          <w:tblHeader/>
          <w:cantSplit/>
          <w:tblHeader/>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Item</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Value</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Run date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 June 2026</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Run time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hAnsi="Calibri"/>
                <w:b w:val="0"/>
                <w:color w:val="000000"/>
                <w:sz w:val="18"/>
              </w:rPr>
              <w:t>21:07:06 – 21:07:10 (historical timestamps; not a new benchmark)</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Stata version</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18.0</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Input: master_panel.dta</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24,579 observations, 16 variables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Singleton observations dropped</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12 (consistent across all specifications)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Effective regression sample</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19,914 (full sample); 19,777 (excl. Russia 2022+)</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PPML convergence (main)</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15 outer iterations, 64 HDFE sub-iterations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PPML convergence (heterogeneity)</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15 outer iterations, 65 HDFE sub-iterations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PPML convergence (Russia sensitivity)</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15 outer iterations, 63 HDFE sub-iterations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reghdfe convergence (all specs)</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9 MWFE iterations</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Output files produced</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3 CSV files in output/</w:t>
            </w:r>
          </w:p>
        </w:tc>
      </w:tr>
      <w:tr>
        <w:trPr>
          <w:cantSplit/>
        </w:trPr>
        <w:tc>
          <w:tcPr>
            <w:tcW w:type="dxa" w:w="33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Estimates stored</w:t>
            </w:r>
          </w:p>
        </w:tc>
        <w:tc>
          <w:tcPr>
            <w:tcW w:type="dxa" w:w="69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5 (ppml_main, ols_main, ppml_het, ppml_norus, ols_norus)</w:t>
            </w:r>
          </w:p>
        </w:tc>
      </w:tr>
    </w:tbl>
    <w:p>
      <w:pPr>
        <w:pStyle w:val="Heading1"/>
        <w:keepNext/>
        <w:pageBreakBefore w:val="0"/>
        <w:spacing w:line="259" w:lineRule="auto" w:after="120" w:before="160"/>
      </w:pPr>
      <w:r>
        <w:rPr>
          <w:rFonts w:ascii="Calibri" w:hAnsi="Calibri"/>
          <w:color w:val="000000"/>
          <w:sz w:val="28"/>
        </w:rPr>
        <w:t>11 Key Literature Referenced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1728"/>
        <w:gridCol w:w="6192"/>
      </w:tblGrid>
      <w:tr>
        <w:trPr>
          <w:tblHeader/>
          <w:cantSplit/>
          <w:tblHeader/>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Paper</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Journal</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DCE6F1"/>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bCs/>
                <w:color w:val="000000"/>
                <w:sz w:val="18"/>
                <w:szCs w:val="20"/>
              </w:rPr>
              <w:t xml:space="preserve">Relevance</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Anderson &amp; van Wincoop (2003)</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AER</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Multilateral resistance — foundational motivation for three-way FE</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Santos Silva &amp; Tenreyro (2006)</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ReStat</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PPML as correct gravity estimator — motivation for primary specification</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Helpman, Melitz &amp; Rubinstein (2008)</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QJE</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Theoretical foundation for intensive/extensive margin distinction</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Head &amp; Mayer (2014)</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Handbook</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Comprehensive gravity survey — preferred reference for three-way FE</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Tenreyro (2007)</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JDE</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IV approach to volatility endogeneity — motivation for limitations</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Héricourt &amp; Poncet (2015)</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WBER</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Volatility and Chinese firm-level exports — comparison benchmark</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Correia, Guimarães &amp; Zylkin (2020)</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StataJ</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ppmlhdfe algorithm reference</w:t>
            </w:r>
          </w:p>
        </w:tc>
      </w:tr>
      <w:tr>
        <w:trPr>
          <w:cantSplit/>
        </w:trPr>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Rauch (1999)</w:t>
            </w:r>
          </w:p>
        </w:tc>
        <w:tc>
          <w:tcPr>
            <w:tcW w:type="dxa" w:w="17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JIE</w:t>
            </w:r>
          </w:p>
        </w:tc>
        <w:tc>
          <w:tcPr>
            <w:tcW w:type="dxa" w:w="61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spacing w:after="60" w:before="60" w:line="252" w:lineRule="auto"/>
            </w:pPr>
            <w:r>
              <w:rPr>
                <w:rFonts w:ascii="Calibri" w:cs="Arial" w:eastAsia="Arial" w:hAnsi="Calibri"/>
                <w:b w:val="0"/>
                <w:color w:val="000000"/>
                <w:sz w:val="18"/>
                <w:szCs w:val="20"/>
              </w:rPr>
              <w:t xml:space="preserve">Product differentiation taxonomy — motivation for product heterogeneity limitation</w:t>
            </w:r>
          </w:p>
        </w:tc>
      </w:tr>
    </w:tbl>
    <w:p>
      <w:pPr>
        <w:pStyle w:val="Heading1"/>
        <w:keepNext/>
        <w:pageBreakBefore w:val="0"/>
        <w:spacing w:line="259" w:lineRule="auto" w:after="120" w:before="160"/>
      </w:pPr>
      <w:r>
        <w:rPr>
          <w:rFonts w:ascii="Calibri" w:hAnsi="Calibri"/>
          <w:color w:val="000000"/>
          <w:sz w:val="28"/>
        </w:rPr>
        <w:t>Connection to the research portfolio</w:t>
      </w:r>
    </w:p>
    <w:p>
      <w:pPr>
        <w:pStyle w:val="Normal"/>
        <w:pageBreakBefore w:val="0"/>
        <w:spacing w:after="120" w:before="0" w:line="259" w:lineRule="auto"/>
        <w:jc w:val="left"/>
      </w:pPr>
      <w:r>
        <w:rPr>
          <w:rFonts w:ascii="Calibri" w:hAnsi="Calibri"/>
          <w:color w:val="000000"/>
          <w:sz w:val="20"/>
        </w:rPr>
        <w:t>This project demonstrates a reproducible sequence from data preparation to qualified empirical interpretation:</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Gravity econometrics: correct implementation of the three-way fixed effects gravity specification (Anderson &amp; van Wincoop 2003; Head &amp; Mayer 2014) using ppmlhdfe and reghdfe — the current academic standard.</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PPML estimation: understanding of the Santos Silva and Tenreyro (2006) critique of log-OLS and correct application of PPML for count/non-negative outcome data with zeros.</w:t>
      </w:r>
    </w:p>
    <w:p>
      <w:pPr>
        <w:pStyle w:val="ListParagraph"/>
        <w:pageBreakBefore w:val="0"/>
        <w:numPr>
          <w:ilvl w:val="0"/>
          <w:numId w:val="3"/>
        </w:numPr>
        <w:spacing w:after="120" w:line="259" w:lineRule="auto"/>
      </w:pPr>
      <w:r>
        <w:rPr>
          <w:rFonts w:ascii="Calibri" w:cs="Arial" w:eastAsia="Arial" w:hAnsi="Calibri"/>
          <w:color w:val="000000"/>
          <w:sz w:val="20"/>
          <w:szCs w:val="22"/>
        </w:rPr>
        <w:t xml:space="preserve">Stata proficiency: panel data workflow in Stata — data cleaning, merging, fixed effect estimation, `estout` table export — using the same tools employed in economics departments.</w:t>
      </w:r>
    </w:p>
    <w:p>
      <w:pPr>
        <w:pStyle w:val="ListParagraph"/>
        <w:pageBreakBefore w:val="0"/>
        <w:numPr>
          <w:ilvl w:val="0"/>
          <w:numId w:val="3"/>
        </w:numPr>
        <w:spacing w:after="120" w:line="259" w:lineRule="auto"/>
      </w:pPr>
      <w:r>
        <w:rPr>
          <w:rFonts w:ascii="Calibri" w:hAnsi="Calibri"/>
          <w:color w:val="000000"/>
          <w:sz w:val="20"/>
        </w:rPr>
        <w:t>Empirical interpretation: estimates, uncertainty and sensitivity to the Russia restriction are reported without treating insignificance as proof of no effect.</w:t>
      </w:r>
    </w:p>
    <w:p>
      <w:pPr>
        <w:pStyle w:val="ListParagraph"/>
        <w:pageBreakBefore w:val="0"/>
        <w:numPr>
          <w:ilvl w:val="0"/>
          <w:numId w:val="3"/>
        </w:numPr>
        <w:spacing w:after="120" w:line="259" w:lineRule="auto"/>
      </w:pPr>
      <w:r>
        <w:rPr>
          <w:rFonts w:ascii="Calibri" w:hAnsi="Calibri"/>
          <w:color w:val="000000"/>
          <w:sz w:val="20"/>
        </w:rPr>
        <w:t>Text analysis connection: Project 5 provides descriptive central-bank communication patterns. Temporal overlap does not establish a common causal mechanism.</w:t>
      </w:r>
    </w:p>
    <w:p>
      <w:pPr>
        <w:pStyle w:val="Normal"/>
        <w:pageBreakBefore w:val="0"/>
        <w:spacing w:after="120" w:line="259" w:lineRule="auto"/>
        <w:jc w:val="center"/>
      </w:pPr>
      <w:r>
        <w:rPr>
          <w:rFonts w:ascii="Calibri" w:cs="Arial" w:eastAsia="Arial" w:hAnsi="Calibri"/>
          <w:color w:val="000000"/>
          <w:sz w:val="20"/>
          <w:szCs w:val="18"/>
        </w:rPr>
        <w:t xml:space="preserve">End of Documentation — 03_analysis.do</w:t>
      </w:r>
    </w:p>
    <w:sectPr>
      <w:footerReference w:type="default" r:id="rId7"/>
      <w:pgSz w:w="12240" w:h="15840" w:orient="portrait"/>
      <w:pgMar w:top="936" w:right="936" w:bottom="936"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Project 2 — Do-file 03 Documentation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pPr>
      <w:spacing w:after="120" w:before="0"/>
    </w:pPr>
    <w:rPr>
      <w:rFonts w:ascii="Calibri" w:hAnsi="Calibri"/>
      <w:color w:val="000000"/>
      <w:sz w:val="40"/>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3"/>
      <w:szCs w:val="23"/>
    </w:rPr>
  </w:style>
  <w:style w:type="paragraph" w:customStyle="1" w:styleId="Normal">
    <w:name w:val="Normal"/>
    <w:pPr>
      <w:spacing w:after="120" w:before="0"/>
    </w:pPr>
    <w:rPr>
      <w:rFonts w:ascii="Calibri" w:hAnsi="Calibri"/>
      <w:color w:val="000000"/>
      <w:sz w:val="20"/>
    </w:rPr>
  </w:style>
  <w:style w:type="paragraph" w:customStyle="1" w:styleId="Subtitle">
    <w:name w:val="Subtitle"/>
    <w:pPr>
      <w:spacing w:after="120" w:before="0"/>
    </w:pPr>
    <w:rPr>
      <w:rFonts w:ascii="Calibri" w:hAnsi="Calibri"/>
      <w:color w:val="000000"/>
      <w:sz w:val="22"/>
    </w:rPr>
  </w:style>
  <w:style w:type="paragraph" w:customStyle="1" w:styleId="Heading1">
    <w:name w:val="heading 1"/>
    <w:pPr>
      <w:spacing w:after="120" w:before="160"/>
    </w:pPr>
    <w:rPr>
      <w:rFonts w:ascii="Calibri" w:hAnsi="Calibri"/>
      <w:color w:val="000000"/>
      <w:sz w:val="28"/>
    </w:rPr>
  </w:style>
  <w:style w:type="paragraph" w:customStyle="1" w:styleId="Heading2">
    <w:name w:val="heading 2"/>
    <w:pPr>
      <w:spacing w:after="120" w:before="160"/>
    </w:pPr>
    <w:rPr>
      <w:rFonts w:ascii="Calibri" w:hAnsi="Calibri"/>
      <w:color w:val="000000"/>
      <w:sz w:val="23"/>
    </w:rPr>
  </w:style>
  <w:style w:type="paragraph" w:customStyle="1" w:styleId="Heading3">
    <w:name w:val="heading 3"/>
    <w:pPr>
      <w:spacing w:after="120" w:before="160"/>
    </w:pPr>
    <w:rPr>
      <w:rFonts w:ascii="Calibri" w:hAnsi="Calibri"/>
      <w:color w:val="000000"/>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2026-06-01T19:12:29.481Z</dcterms:created>
  <dcterms:modified xsi:type="dcterms:W3CDTF">2026-06-01T19:12:29.494Z</dcterms:modified>
</cp:coreProperties>
</file>

<file path=docProps/custom.xml><?xml version="1.0" encoding="utf-8"?>
<Properties xmlns="http://schemas.openxmlformats.org/officeDocument/2006/custom-properties" xmlns:vt="http://schemas.openxmlformats.org/officeDocument/2006/docPropsVTypes"/>
</file>