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792FA">
      <w:pPr>
        <w:spacing w:before="0" w:after="60"/>
        <w:jc w:val="center"/>
      </w:pPr>
      <w:r>
        <w:rPr>
          <w:rFonts w:ascii="Calibri" w:hAnsi="Calibri" w:eastAsia="Calibri" w:cs="Calibri"/>
          <w:b/>
          <w:bCs/>
          <w:color w:val="1F3864"/>
          <w:sz w:val="36"/>
          <w:szCs w:val="36"/>
        </w:rPr>
        <w:t>Thesis Data Retrieval</w:t>
      </w:r>
      <w:bookmarkStart w:id="0" w:name="_GoBack"/>
      <w:bookmarkEnd w:id="0"/>
    </w:p>
    <w:p w14:paraId="323EE305">
      <w:pPr>
        <w:spacing w:before="0" w:after="60"/>
        <w:jc w:val="center"/>
      </w:pPr>
      <w:r>
        <w:rPr>
          <w:rFonts w:ascii="Calibri" w:hAnsi="Calibri" w:eastAsia="Calibri" w:cs="Calibri"/>
          <w:color w:val="595959"/>
          <w:sz w:val="24"/>
          <w:szCs w:val="24"/>
        </w:rPr>
        <w:t>Preliminary Findings &amp; Gap Assessment — Updated</w:t>
      </w:r>
    </w:p>
    <w:p w14:paraId="2F9ABA37">
      <w:pPr>
        <w:spacing w:before="0" w:after="60"/>
        <w:jc w:val="center"/>
      </w:pPr>
      <w:r>
        <w:rPr>
          <w:rFonts w:ascii="Calibri" w:hAnsi="Calibri" w:eastAsia="Calibri" w:cs="Calibri"/>
          <w:color w:val="595959"/>
          <w:sz w:val="18"/>
          <w:szCs w:val="18"/>
        </w:rPr>
        <w:t>Date: 19 March 2026  |  Author: Aadhitya Tejaswin Prakash Sridevi</w:t>
      </w:r>
    </w:p>
    <w:p w14:paraId="525B445A">
      <w:pPr>
        <w:spacing w:before="0" w:after="40"/>
        <w:jc w:val="center"/>
      </w:pPr>
      <w:r>
        <w:rPr>
          <w:rFonts w:ascii="Calibri" w:hAnsi="Calibri" w:eastAsia="Calibri" w:cs="Calibri"/>
          <w:i/>
          <w:iCs/>
          <w:color w:val="595959"/>
          <w:sz w:val="18"/>
          <w:szCs w:val="18"/>
        </w:rPr>
        <w:t>EDHEC Business School / University of St. Gallen</w:t>
      </w:r>
    </w:p>
    <w:p w14:paraId="38B16472">
      <w:pPr>
        <w:pBdr>
          <w:bottom w:val="single" w:color="1F3864" w:sz="12" w:space="1"/>
        </w:pBdr>
        <w:spacing w:before="40" w:after="200"/>
      </w:pPr>
    </w:p>
    <w:p w14:paraId="12579375">
      <w:pPr>
        <w:pBdr>
          <w:bottom w:val="single" w:color="1F3864" w:sz="8" w:space="1"/>
        </w:pBdr>
        <w:spacing w:before="280" w:after="12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>1. Data Retrieval Summary — 19 March 2026</w:t>
      </w:r>
    </w:p>
    <w:p w14:paraId="387E8B56">
      <w:pPr>
        <w:spacing w:before="0" w:after="80"/>
      </w:pPr>
      <w:r>
        <w:rPr>
          <w:rFonts w:ascii="Calibri" w:hAnsi="Calibri" w:eastAsia="Calibri" w:cs="Calibri"/>
          <w:b w:val="0"/>
          <w:bCs w:val="0"/>
          <w:color w:val="000000"/>
          <w:sz w:val="20"/>
          <w:szCs w:val="20"/>
        </w:rPr>
        <w:t>All seven planned data sources were successfully retrieved in a single session on 19 March 2026. This represents completion of the full data retrieval phase ahead of the Monday supervisor update deadline.</w:t>
      </w:r>
    </w:p>
    <w:p w14:paraId="33E06168">
      <w:pPr>
        <w:spacing w:before="80" w:after="0"/>
      </w:pP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9"/>
        <w:gridCol w:w="1213"/>
        <w:gridCol w:w="3815"/>
        <w:gridCol w:w="1435"/>
        <w:gridCol w:w="1808"/>
      </w:tblGrid>
      <w:tr w14:paraId="7779B0E1"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64C3B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Data Source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021B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Days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8A735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Output File(s)</w:t>
            </w:r>
          </w:p>
        </w:tc>
        <w:tc>
          <w:tcPr>
            <w:tcW w:w="16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CB038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Coverage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60A53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14:paraId="185DC889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C4C0D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BIS Locational Banking Statistics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DAE0F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4–6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D66E2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5 CSV files (per BRICS country)</w:t>
            </w:r>
          </w:p>
        </w:tc>
        <w:tc>
          <w:tcPr>
            <w:tcW w:w="1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5BB0F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1977–2025 Q3</w:t>
            </w:r>
          </w:p>
        </w:tc>
        <w:tc>
          <w:tcPr>
            <w:tcW w:w="24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3FBD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8"/>
                <w:szCs w:val="18"/>
              </w:rPr>
              <w:t>✓ Complete</w:t>
            </w:r>
          </w:p>
        </w:tc>
      </w:tr>
      <w:tr w14:paraId="39FC4F69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3A7C3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SWIFT Global Currency Tracker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88B90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1–3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A949A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RMB_Evolution_2019_2026.csv
SWIFT_HHI_Annual.xlsx</w:t>
            </w:r>
          </w:p>
        </w:tc>
        <w:tc>
          <w:tcPr>
            <w:tcW w:w="1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70BAA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2019–2026</w:t>
            </w:r>
          </w:p>
        </w:tc>
        <w:tc>
          <w:tcPr>
            <w:tcW w:w="24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CA3C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8"/>
                <w:szCs w:val="18"/>
              </w:rPr>
              <w:t>✓ Complete</w:t>
            </w:r>
          </w:p>
        </w:tc>
      </w:tr>
      <w:tr w14:paraId="789EC7B1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BCCDC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IMF COFER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BBB0D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7–9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59230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IMF_COFER_Final_2010_2025.csv</w:t>
            </w:r>
          </w:p>
        </w:tc>
        <w:tc>
          <w:tcPr>
            <w:tcW w:w="1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71E5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2010–2025 Q3</w:t>
            </w:r>
          </w:p>
        </w:tc>
        <w:tc>
          <w:tcPr>
            <w:tcW w:w="24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352E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8"/>
                <w:szCs w:val="18"/>
              </w:rPr>
              <w:t>✓ Complete</w:t>
            </w:r>
          </w:p>
        </w:tc>
      </w:tr>
      <w:tr w14:paraId="167CFE45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0D618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IMF DOTS / IMTS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5F096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7–9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872D1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IMF_DOTS_Clean_2010_2024.csv</w:t>
            </w:r>
          </w:p>
        </w:tc>
        <w:tc>
          <w:tcPr>
            <w:tcW w:w="1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7C82F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2010–2024</w:t>
            </w:r>
          </w:p>
        </w:tc>
        <w:tc>
          <w:tcPr>
            <w:tcW w:w="24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6F62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8"/>
                <w:szCs w:val="18"/>
              </w:rPr>
              <w:t>✓ Complete</w:t>
            </w:r>
          </w:p>
        </w:tc>
      </w:tr>
      <w:tr w14:paraId="7E71F291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88425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Policy Events Dataset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5D264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12–13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59736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Policy_Events_Dataset.xlsx</w:t>
            </w:r>
          </w:p>
        </w:tc>
        <w:tc>
          <w:tcPr>
            <w:tcW w:w="1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887C2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2015–2023</w:t>
            </w:r>
          </w:p>
        </w:tc>
        <w:tc>
          <w:tcPr>
            <w:tcW w:w="24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0526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8"/>
                <w:szCs w:val="18"/>
              </w:rPr>
              <w:t>✓ Complete</w:t>
            </w:r>
          </w:p>
        </w:tc>
      </w:tr>
      <w:tr w14:paraId="3BE9E3BE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7605E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World Bank WDI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53222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14–15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819F5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WorldBank_Macro_Controls_2010_2024.csv</w:t>
            </w:r>
          </w:p>
        </w:tc>
        <w:tc>
          <w:tcPr>
            <w:tcW w:w="1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A3F3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2010–2024</w:t>
            </w:r>
          </w:p>
        </w:tc>
        <w:tc>
          <w:tcPr>
            <w:tcW w:w="24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658C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8"/>
                <w:szCs w:val="18"/>
              </w:rPr>
              <w:t>✓ Complete</w:t>
            </w:r>
          </w:p>
        </w:tc>
      </w:tr>
      <w:tr w14:paraId="440E144F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6FA5A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IMF Exchange Rates (FX Volatility)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C05D6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14–15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1040F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IMF_FX_Monthly_2010_2026.csv
IMF_FX_Volatility_Annual_2010_2025.csv</w:t>
            </w:r>
          </w:p>
        </w:tc>
        <w:tc>
          <w:tcPr>
            <w:tcW w:w="1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55939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2010–2026</w:t>
            </w:r>
          </w:p>
        </w:tc>
        <w:tc>
          <w:tcPr>
            <w:tcW w:w="24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9973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8"/>
                <w:szCs w:val="18"/>
              </w:rPr>
              <w:t>✓ Complete</w:t>
            </w:r>
          </w:p>
        </w:tc>
      </w:tr>
      <w:tr w14:paraId="0372128F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A9F45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UN Comtrade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539CF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10–11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AFC84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Pending</w:t>
            </w:r>
          </w:p>
        </w:tc>
        <w:tc>
          <w:tcPr>
            <w:tcW w:w="1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B438F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24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C28B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F6000"/>
                <w:sz w:val="18"/>
                <w:szCs w:val="18"/>
              </w:rPr>
              <w:t>Pending</w:t>
            </w:r>
          </w:p>
        </w:tc>
      </w:tr>
    </w:tbl>
    <w:p w14:paraId="159B38AB">
      <w:pPr>
        <w:spacing w:before="80" w:after="0"/>
      </w:pPr>
    </w:p>
    <w:p w14:paraId="253D4D98">
      <w:pPr>
        <w:pBdr>
          <w:bottom w:val="single" w:color="1F3864" w:sz="8" w:space="1"/>
        </w:pBdr>
        <w:spacing w:before="280" w:after="12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>2. Key Findings by Dataset</w:t>
      </w:r>
    </w:p>
    <w:p w14:paraId="4C323847">
      <w:pPr>
        <w:spacing w:before="180" w:after="8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>2.1 BIS Locational Banking Statistics</w:t>
      </w:r>
    </w:p>
    <w:p w14:paraId="1C3807B4">
      <w:pPr>
        <w:spacing w:before="0" w:after="80"/>
      </w:pPr>
      <w:r>
        <w:rPr>
          <w:rFonts w:ascii="Calibri" w:hAnsi="Calibri" w:eastAsia="Calibri" w:cs="Calibri"/>
          <w:b w:val="0"/>
          <w:bCs w:val="0"/>
          <w:color w:val="000000"/>
          <w:sz w:val="20"/>
          <w:szCs w:val="20"/>
        </w:rPr>
        <w:t>Dollar share of international banking claims on BRICS countries as of 2025-Q3:</w:t>
      </w:r>
    </w:p>
    <w:p w14:paraId="7F617EAF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Brazil: 71% — highest dollar dependence among BRICS</w:t>
      </w:r>
    </w:p>
    <w:p w14:paraId="5834A3A5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India: 52% — moderately dollar-dependent</w:t>
      </w:r>
    </w:p>
    <w:p w14:paraId="194EA97A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South Africa: 34% — moderate dollar dependence</w:t>
      </w:r>
    </w:p>
    <w:p w14:paraId="387895CD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China: 29% — moderately de-dollarised reflecting RMB internationalisation</w:t>
      </w:r>
    </w:p>
    <w:p w14:paraId="16263F8C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Russia: 16% — lowest dollar share, driven by sanctions-forced de-dollarisation post-February 2022</w:t>
      </w:r>
    </w:p>
    <w:p w14:paraId="10502143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LIMITATION: BIS LBS does not report CNY, RUB, INR, BRL or ZAR as standalone currency denominations. Dollar share proxy used instead.</w:t>
      </w:r>
    </w:p>
    <w:p w14:paraId="1CEF3CB1">
      <w:pPr>
        <w:spacing w:before="180" w:after="8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>2.2 SWIFT Global Currency Tracker</w:t>
      </w:r>
    </w:p>
    <w:p w14:paraId="4292B615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RMB monthly share series: 86 observations from January 2019 to February 2026</w:t>
      </w:r>
    </w:p>
    <w:p w14:paraId="4E8545E5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RMB peaked at 4.74% of global payments in July 2024, declined to 2.74% by February 2026</w:t>
      </w:r>
    </w:p>
    <w:p w14:paraId="57956C25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HHI annual data manually extracted from December reports for 2020, 2022, 2023, 2024, 2025</w:t>
      </w:r>
    </w:p>
    <w:p w14:paraId="1555A214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2021 data unavailable in public archive — noted as missing observation</w:t>
      </w:r>
    </w:p>
    <w:p w14:paraId="6054EBFA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BRL, RUB, INR do not appear in top 20 global payment currencies — ZAR at 0.32% only</w:t>
      </w:r>
    </w:p>
    <w:p w14:paraId="44AB8869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SWIFT renamed to Global Currency Tracker as of February 2026</w:t>
      </w:r>
    </w:p>
    <w:p w14:paraId="0A7C5DB2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LIMITATION: SWIFT data systematically undercounts local currency settlement — CIPS and SPFS route payments outside SWIFT</w:t>
      </w:r>
    </w:p>
    <w:p w14:paraId="797C370D">
      <w:pPr>
        <w:spacing w:before="180" w:after="8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>2.3 IMF COFER</w:t>
      </w:r>
    </w:p>
    <w:p w14:paraId="4DA0B183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63 quarterly observations from 2010-Q1 to 2025-Q3</w:t>
      </w:r>
    </w:p>
    <w:p w14:paraId="30327B3D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USD reserve share declined from 61.8% (2010-Q1) to 56.9% (2025-Q3)</w:t>
      </w:r>
    </w:p>
    <w:p w14:paraId="70AFFD56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CNY only separately reported from 2016-Q4 when it joined the SDR basket</w:t>
      </w:r>
    </w:p>
    <w:p w14:paraId="7C343BB7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CNY peaked at 2.85% of global reserves in 2021-Q4, declined to 1.93% by 2025-Q3</w:t>
      </w:r>
    </w:p>
    <w:p w14:paraId="62D4974E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CNY internationalisation in reserves stalled and reversed after 2022 — directly engages sceptical literature</w:t>
      </w:r>
    </w:p>
    <w:p w14:paraId="40E1D8FF">
      <w:pPr>
        <w:spacing w:before="180" w:after="8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>2.4 IMF DOTS / IMTS</w:t>
      </w:r>
    </w:p>
    <w:p w14:paraId="3F89EC48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840 rows — annual bilateral trade flows for all BRICS pairs plus major trading partners 2010–2024</w:t>
      </w:r>
    </w:p>
    <w:p w14:paraId="4D5156EE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China-India (USD 118.6bn) and Russia-China (USD 111.5bn) are dominant BRICS bilateral pairs in 2023</w:t>
      </w:r>
    </w:p>
    <w:p w14:paraId="2DF1459C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Brazil-Russia is very small (USD 1.3bn exports) — relevant for panel regression interpretation</w:t>
      </w:r>
    </w:p>
    <w:p w14:paraId="42F927AC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China 2020 exports missing across all counterparts — COVID-related reporting gap</w:t>
      </w:r>
    </w:p>
    <w:p w14:paraId="4E37BE82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REMINDER: Comtrade data belongs on RHS of Equation 2 as trade intensity regressor only — not as LCShare source</w:t>
      </w:r>
    </w:p>
    <w:p w14:paraId="4DA9EEBA">
      <w:pPr>
        <w:spacing w:before="180" w:after="8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>2.5 Policy Events Dataset</w:t>
      </w:r>
    </w:p>
    <w:p w14:paraId="1C6D43AF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8 discrete events identified covering 2015–2023</w:t>
      </w:r>
    </w:p>
    <w:p w14:paraId="08B784BD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Events: CIPS Launch (2015), CIPS Phase 2 (2018), Russia SWIFT Exclusion (2022), India-Russia Rupee Framework (2022), Brazil-China RMB Agreement (2023), Saudi-China discussions (2023), BRICS Johannesburg Summit (2023), Russia SPFS expansion (2023)</w:t>
      </w:r>
    </w:p>
    <w:p w14:paraId="45104F19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Treat_ij variable defined for each event — country-pair specific treatment assignment</w:t>
      </w:r>
    </w:p>
    <w:p w14:paraId="2EAE23B7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Saudi Arabia-China event flagged as unconfirmed formal agreement — treat with caution in DiD</w:t>
      </w:r>
    </w:p>
    <w:p w14:paraId="7D4E3E16">
      <w:pPr>
        <w:spacing w:before="180" w:after="8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>2.6 World Bank Macro Controls</w:t>
      </w:r>
    </w:p>
    <w:p w14:paraId="1F78DE3D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375 rows — 5 indicators for 5 BRICS countries from 2010–2024</w:t>
      </w:r>
    </w:p>
    <w:p w14:paraId="6A475CB9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Variables: GDP (current USD), Trade openness (% GDP), Inflation (CPI %), Broad money growth (%), Population</w:t>
      </w:r>
    </w:p>
    <w:p w14:paraId="7A5856BF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GAPS: Russia broad money growth missing 2021–2024 (sanctions-related reporting restriction)</w:t>
      </w:r>
    </w:p>
    <w:p w14:paraId="74FFFB2C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GAPS: India broad money growth missing 2022–2024 (World Bank reporting lag)</w:t>
      </w:r>
    </w:p>
    <w:p w14:paraId="0949A246">
      <w:pPr>
        <w:spacing w:before="180" w:after="8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>2.7 IMF Exchange Rates — FX Volatility</w:t>
      </w:r>
    </w:p>
    <w:p w14:paraId="6BD03BFF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965 monthly exchange rate observations from January 2010 to February 2026</w:t>
      </w:r>
    </w:p>
    <w:p w14:paraId="70B2C82F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Annual FX volatility computed as annualised standard deviation of monthly log returns</w:t>
      </w:r>
    </w:p>
    <w:p w14:paraId="1FB43E5C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80 annual volatility observations covering all 5 BRICS currencies</w:t>
      </w:r>
    </w:p>
    <w:p w14:paraId="2CAC2E95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Brazil shows highest volatility in 2015 (0.161) — commodity crash and political crisis</w:t>
      </w:r>
    </w:p>
    <w:p w14:paraId="479A2B6F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Russia will show structural break in 2022 due to sanctions shock — directly supports DiD identification</w:t>
      </w:r>
    </w:p>
    <w:p w14:paraId="7C3D9DD5">
      <w:pPr>
        <w:spacing w:before="80" w:after="0"/>
      </w:pPr>
    </w:p>
    <w:p w14:paraId="3643DFBA">
      <w:pPr>
        <w:pBdr>
          <w:bottom w:val="single" w:color="1F3864" w:sz="8" w:space="1"/>
        </w:pBdr>
        <w:spacing w:before="280" w:after="12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>3. Updated Gap Assessment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800"/>
        <w:gridCol w:w="1480"/>
        <w:gridCol w:w="4400"/>
      </w:tblGrid>
      <w:tr w14:paraId="5133A3B5"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D64D0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Gap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D675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Source Affected</w:t>
            </w:r>
          </w:p>
        </w:tc>
        <w:tc>
          <w:tcPr>
            <w:tcW w:w="14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FBDC3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4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FFBE5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Resolution</w:t>
            </w:r>
          </w:p>
        </w:tc>
      </w:tr>
      <w:tr w14:paraId="684041BB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5C6B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No direct bilateral settlement currency data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E21EA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LCShare variable</w:t>
            </w:r>
          </w:p>
        </w:tc>
        <w:tc>
          <w:tcPr>
            <w:tcW w:w="14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58DE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20879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Use SWIFT aggregate + BIS LBS proxy + central bank reports. Acknowledged in methodology.</w:t>
            </w:r>
          </w:p>
        </w:tc>
      </w:tr>
      <w:tr w14:paraId="5AE3A55B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BA7AF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BIS LBS lacks BRICS currency denominations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AD861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Financial linkage variable</w:t>
            </w:r>
          </w:p>
        </w:tc>
        <w:tc>
          <w:tcPr>
            <w:tcW w:w="148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70B4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F6000"/>
                <w:sz w:val="18"/>
                <w:szCs w:val="18"/>
              </w:rPr>
              <w:t>Medium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D109F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Non-USD share used as proxy. Stated explicitly in methodology chapter.</w:t>
            </w:r>
          </w:p>
        </w:tc>
      </w:tr>
      <w:tr w14:paraId="4A6416B0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41B01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SWIFT undercounts via CIPS/SPFS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0E4E5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LCShare dependent variable</w:t>
            </w:r>
          </w:p>
        </w:tc>
        <w:tc>
          <w:tcPr>
            <w:tcW w:w="14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CDAF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CB327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Supplement with CIPS transaction volume data from BIS CPMI. Flag in methodology.</w:t>
            </w:r>
          </w:p>
        </w:tc>
      </w:tr>
      <w:tr w14:paraId="438E5B31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55487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SWIFT public archive starts Oct 2022 only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BF9C9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HHI time series pre-2022</w:t>
            </w:r>
          </w:p>
        </w:tc>
        <w:tc>
          <w:tcPr>
            <w:tcW w:w="148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86A6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F6000"/>
                <w:sz w:val="18"/>
                <w:szCs w:val="18"/>
              </w:rPr>
              <w:t>Medium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F707E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Rolling chart data extends back to Jan 2019. Pre-2019 to be supplemented from BIS quarterly reviews.</w:t>
            </w:r>
          </w:p>
        </w:tc>
      </w:tr>
      <w:tr w14:paraId="7B866D85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DDD3D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CNY COFER data only from 2016-Q4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CC320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COFER CNY series</w:t>
            </w:r>
          </w:p>
        </w:tc>
        <w:tc>
          <w:tcPr>
            <w:tcW w:w="148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486A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8"/>
                <w:szCs w:val="18"/>
              </w:rPr>
              <w:t>Low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C0BB4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Known institutional fact — China joined SDR basket Oct 2016. Stated in methodology.</w:t>
            </w:r>
          </w:p>
        </w:tc>
      </w:tr>
      <w:tr w14:paraId="12AFF649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66A38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Russia broad money growth missing 2021–2024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AC95A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Macro controls — Russia</w:t>
            </w:r>
          </w:p>
        </w:tc>
        <w:tc>
          <w:tcPr>
            <w:tcW w:w="148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9858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8"/>
                <w:szCs w:val="18"/>
              </w:rPr>
              <w:t>Low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19D24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Supplement from Bank of Russia annual reports or interpolate. Minor impact.</w:t>
            </w:r>
          </w:p>
        </w:tc>
      </w:tr>
      <w:tr w14:paraId="3CE1CDF0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68128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China DOTS exports missing 2020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0B15A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Trade intensity variable</w:t>
            </w:r>
          </w:p>
        </w:tc>
        <w:tc>
          <w:tcPr>
            <w:tcW w:w="148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6703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375623"/>
                <w:sz w:val="18"/>
                <w:szCs w:val="18"/>
              </w:rPr>
              <w:t>Low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4CCD7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Cross-validate with UN Comtrade. Interpolate or flag as missing in panel.</w:t>
            </w:r>
          </w:p>
        </w:tc>
      </w:tr>
      <w:tr w14:paraId="4C9A23C4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6A34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UN Comtrade not yet downloaded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B96DE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Trade intensity cross-check</w:t>
            </w:r>
          </w:p>
        </w:tc>
        <w:tc>
          <w:tcPr>
            <w:tcW w:w="148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B8BC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F6000"/>
                <w:sz w:val="18"/>
                <w:szCs w:val="18"/>
              </w:rPr>
              <w:t>Pending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97D39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Schedule for next session. DOTS data already covers core needs.</w:t>
            </w:r>
          </w:p>
        </w:tc>
      </w:tr>
    </w:tbl>
    <w:p w14:paraId="0ECAE5C1">
      <w:pPr>
        <w:spacing w:before="80" w:after="0"/>
      </w:pPr>
    </w:p>
    <w:p w14:paraId="77D5DCC9">
      <w:pPr>
        <w:pBdr>
          <w:bottom w:val="single" w:color="1F3864" w:sz="8" w:space="1"/>
        </w:pBdr>
        <w:spacing w:before="280" w:after="12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>4. Data Sufficiency Assessment</w:t>
      </w:r>
    </w:p>
    <w:p w14:paraId="34B48CF1">
      <w:pPr>
        <w:spacing w:before="0" w:after="80"/>
      </w:pPr>
      <w:r>
        <w:rPr>
          <w:rFonts w:ascii="Calibri" w:hAnsi="Calibri" w:eastAsia="Calibri" w:cs="Calibri"/>
          <w:b w:val="0"/>
          <w:bCs w:val="0"/>
          <w:color w:val="000000"/>
          <w:sz w:val="20"/>
          <w:szCs w:val="20"/>
        </w:rPr>
        <w:t>Based on the data collected, all three empirical equations are viable with the following qualifications:</w:t>
      </w:r>
    </w:p>
    <w:p w14:paraId="274BC70B">
      <w:pPr>
        <w:spacing w:before="80" w:after="0"/>
      </w:pPr>
    </w:p>
    <w:p w14:paraId="3CB1C5B3">
      <w:pPr>
        <w:spacing w:before="0" w:after="80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>Equation 1 — HHI Concentration Analysis</w:t>
      </w:r>
    </w:p>
    <w:p w14:paraId="5482E6E7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VIABLE: SWIFT HHI annual data available for 2020–2025. COFER data available 2010–2025.</w:t>
      </w:r>
    </w:p>
    <w:p w14:paraId="52E6A658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LIMITATION: Pre-2019 SWIFT data requires supplementation from BIS quarterly reviews.</w:t>
      </w:r>
    </w:p>
    <w:p w14:paraId="69016AA0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SUPERVISOR EXTENSION: HHI applied to individual BRICS currencies — CNY covered by COFER from 2016. Other BRICS currencies require proxy approach.</w:t>
      </w:r>
    </w:p>
    <w:p w14:paraId="5ACC47AC">
      <w:pPr>
        <w:spacing w:before="80" w:after="0"/>
      </w:pPr>
    </w:p>
    <w:p w14:paraId="751D040A">
      <w:pPr>
        <w:spacing w:before="0" w:after="80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>Equation 2 — Fixed-Effects Panel Regression</w:t>
      </w:r>
    </w:p>
    <w:p w14:paraId="667A1741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VIABLE: Trade intensity (DOTS), macro controls (World Bank), FX volatility (IMF ER) all available.</w:t>
      </w:r>
    </w:p>
    <w:p w14:paraId="3036E93F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CHALLENGE: LCShare dependent variable requires proxy construction from SWIFT + BIS LBS.</w:t>
      </w:r>
    </w:p>
    <w:p w14:paraId="53336A78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COVERAGE: Full panel 2010–2024, 5 BRICS countries, 8 counterpart countries.</w:t>
      </w:r>
    </w:p>
    <w:p w14:paraId="674943FE">
      <w:pPr>
        <w:spacing w:before="80" w:after="0"/>
      </w:pPr>
    </w:p>
    <w:p w14:paraId="3555742C">
      <w:pPr>
        <w:spacing w:before="0" w:after="80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>Equation 3 — Difference-in-Differences</w:t>
      </w:r>
    </w:p>
    <w:p w14:paraId="169A9E6D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VIABLE: 8 policy events identified with clear treatment assignment.</w:t>
      </w:r>
    </w:p>
    <w:p w14:paraId="74EB7F1B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STRONGEST EVENT: Russia SWIFT exclusion (2022) — large, discrete, well-documented.</w:t>
      </w:r>
    </w:p>
    <w:p w14:paraId="0608908A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WEAKER EVENT: CIPS launch — gradual rollout complicates clean pre/post identification.</w:t>
      </w:r>
    </w:p>
    <w:p w14:paraId="1AB1A020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ACTION REQUIRED: Confirm with HSG professor whether parallel trends assumption is defensible for main DiD events.</w:t>
      </w:r>
    </w:p>
    <w:p w14:paraId="7FD7225D">
      <w:pPr>
        <w:spacing w:before="80" w:after="0"/>
      </w:pPr>
    </w:p>
    <w:p w14:paraId="58D2B5F2">
      <w:pPr>
        <w:pBdr>
          <w:bottom w:val="single" w:color="1F3864" w:sz="8" w:space="1"/>
        </w:pBdr>
        <w:spacing w:before="280" w:after="12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>5. Data Citations</w:t>
      </w:r>
    </w:p>
    <w:p w14:paraId="4AC2A277">
      <w:pPr>
        <w:spacing w:before="0" w:after="80"/>
      </w:pPr>
      <w:r>
        <w:rPr>
          <w:rFonts w:ascii="Calibri" w:hAnsi="Calibri" w:eastAsia="Calibri" w:cs="Calibri"/>
          <w:b w:val="0"/>
          <w:bCs w:val="0"/>
          <w:color w:val="000000"/>
          <w:sz w:val="20"/>
          <w:szCs w:val="20"/>
        </w:rPr>
        <w:t>Bank for International Settlements (2026), Locational banking statistics, BIS WS_LBS_D_PUB 1.0 (data set), https://data.bis.org/search (accessed on 18 March 2026).</w:t>
      </w:r>
    </w:p>
    <w:p w14:paraId="574F1B5D">
      <w:pPr>
        <w:spacing w:before="80" w:after="0"/>
      </w:pPr>
    </w:p>
    <w:p w14:paraId="735885BE">
      <w:pPr>
        <w:spacing w:before="0" w:after="80"/>
      </w:pPr>
      <w:r>
        <w:rPr>
          <w:rFonts w:ascii="Calibri" w:hAnsi="Calibri" w:eastAsia="Calibri" w:cs="Calibri"/>
          <w:b w:val="0"/>
          <w:bCs w:val="0"/>
          <w:color w:val="000000"/>
          <w:sz w:val="20"/>
          <w:szCs w:val="20"/>
        </w:rPr>
        <w:t>International Monetary Fund (2026), Currency Composition of Official Foreign Exchange Reserves (COFER), IMF.STA:COFER(7.0.1), https://data.imf.org, accessed 19 March 2026.</w:t>
      </w:r>
    </w:p>
    <w:p w14:paraId="162E8CAC">
      <w:pPr>
        <w:spacing w:before="80" w:after="0"/>
      </w:pPr>
    </w:p>
    <w:p w14:paraId="4A08E5AD">
      <w:pPr>
        <w:spacing w:before="0" w:after="80"/>
      </w:pPr>
      <w:r>
        <w:rPr>
          <w:rFonts w:ascii="Calibri" w:hAnsi="Calibri" w:eastAsia="Calibri" w:cs="Calibri"/>
          <w:b w:val="0"/>
          <w:bCs w:val="0"/>
          <w:color w:val="000000"/>
          <w:sz w:val="20"/>
          <w:szCs w:val="20"/>
        </w:rPr>
        <w:t>International Monetary Fund (2026), International Trade in Goods by Partner Country (IMTS), IMF.STA:IMTS(1.0.0), https://data.imf.org, accessed 19 March 2026.</w:t>
      </w:r>
    </w:p>
    <w:p w14:paraId="1A588834">
      <w:pPr>
        <w:spacing w:before="80" w:after="0"/>
      </w:pPr>
    </w:p>
    <w:p w14:paraId="654A6ADE">
      <w:pPr>
        <w:spacing w:before="0" w:after="80"/>
      </w:pPr>
      <w:r>
        <w:rPr>
          <w:rFonts w:ascii="Calibri" w:hAnsi="Calibri" w:eastAsia="Calibri" w:cs="Calibri"/>
          <w:b w:val="0"/>
          <w:bCs w:val="0"/>
          <w:color w:val="000000"/>
          <w:sz w:val="20"/>
          <w:szCs w:val="20"/>
        </w:rPr>
        <w:t>International Monetary Fund (2026), Exchange Rates (ER), IMF.STA:ER(4.0.1), https://data.imf.org, accessed 19 March 2026.</w:t>
      </w:r>
    </w:p>
    <w:p w14:paraId="6B910675">
      <w:pPr>
        <w:spacing w:before="80" w:after="0"/>
      </w:pPr>
    </w:p>
    <w:p w14:paraId="26FAD138">
      <w:pPr>
        <w:spacing w:before="0" w:after="80"/>
      </w:pPr>
      <w:r>
        <w:rPr>
          <w:rFonts w:ascii="Calibri" w:hAnsi="Calibri" w:eastAsia="Calibri" w:cs="Calibri"/>
          <w:b w:val="0"/>
          <w:bCs w:val="0"/>
          <w:color w:val="000000"/>
          <w:sz w:val="20"/>
          <w:szCs w:val="20"/>
        </w:rPr>
        <w:t>World Bank (2026), World Development Indicators, https://databank.worldbank.org, accessed 19 March 2026.</w:t>
      </w:r>
    </w:p>
    <w:p w14:paraId="6467DCFD">
      <w:pPr>
        <w:spacing w:before="80" w:after="0"/>
      </w:pPr>
    </w:p>
    <w:p w14:paraId="2F04AB2A">
      <w:pPr>
        <w:spacing w:before="0" w:after="80"/>
      </w:pPr>
      <w:r>
        <w:rPr>
          <w:rFonts w:ascii="Calibri" w:hAnsi="Calibri" w:eastAsia="Calibri" w:cs="Calibri"/>
          <w:b w:val="0"/>
          <w:bCs w:val="0"/>
          <w:color w:val="000000"/>
          <w:sz w:val="20"/>
          <w:szCs w:val="20"/>
        </w:rPr>
        <w:t>SWIFT (2026), Global Currency Tracker (formerly RMB Tracker), https://www.swift.com/our-solutions/compliance-and-shared-services/business-intelligence/renminbi/rmb-tracker, accessed March 2026.</w:t>
      </w:r>
    </w:p>
    <w:p w14:paraId="59D7DC0D">
      <w:pPr>
        <w:spacing w:before="80" w:after="0"/>
      </w:pPr>
    </w:p>
    <w:p w14:paraId="0E6D2550">
      <w:pPr>
        <w:pBdr>
          <w:bottom w:val="single" w:color="1F3864" w:sz="8" w:space="1"/>
        </w:pBdr>
        <w:spacing w:before="280" w:after="12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>6. Next Steps</w:t>
      </w:r>
    </w:p>
    <w:p w14:paraId="2F3993EB">
      <w:pPr>
        <w:spacing w:before="180" w:after="8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>Remaining This Weekend</w:t>
      </w:r>
    </w:p>
    <w:p w14:paraId="03745704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UN Comtrade — cross-validate DOTS bilateral trade figures</w:t>
      </w:r>
    </w:p>
    <w:p w14:paraId="16156753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Supplement pre-2019 HHI data from BIS quarterly reviews (3-4 data points needed)</w:t>
      </w:r>
    </w:p>
    <w:p w14:paraId="5933446A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Update DATA_MANIFEST.md in Git repository</w:t>
      </w:r>
    </w:p>
    <w:p w14:paraId="623D3DBB">
      <w:pPr>
        <w:spacing w:before="180" w:after="8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>Monday</w:t>
      </w:r>
    </w:p>
    <w:p w14:paraId="05C4085D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Send supervisor update email with this document attached</w:t>
      </w:r>
    </w:p>
    <w:p w14:paraId="61189BF0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Confirm next supervision meeting date</w:t>
      </w:r>
    </w:p>
    <w:p w14:paraId="2D81A665">
      <w:pPr>
        <w:spacing w:before="180" w:after="8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>Following Week</w:t>
      </w:r>
    </w:p>
    <w:p w14:paraId="370817C5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Meeting with HSG macroeconomics professor — bring gap assessment and specific questions on DiD identification and proxy strategy</w:t>
      </w:r>
    </w:p>
    <w:p w14:paraId="7484EB01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Begin data cleaning and merging in Python notebooks</w:t>
      </w:r>
    </w:p>
    <w:p w14:paraId="165D7C5C">
      <w:pPr>
        <w:pStyle w:val="14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Construct LCShare proxy variable from SWIFT + BIS LBS</w:t>
      </w:r>
    </w:p>
    <w:p w14:paraId="62E5EBA1">
      <w:pPr>
        <w:spacing w:before="80" w:after="0"/>
      </w:pPr>
    </w:p>
    <w:p w14:paraId="58BD329C">
      <w:pPr>
        <w:pBdr>
          <w:top w:val="single" w:color="CCCCCC" w:sz="4" w:space="1"/>
        </w:pBdr>
        <w:spacing w:before="200" w:after="40"/>
      </w:pPr>
      <w:r>
        <w:rPr>
          <w:rFonts w:ascii="Calibri" w:hAnsi="Calibri" w:eastAsia="Calibri" w:cs="Calibri"/>
          <w:i/>
          <w:iCs/>
          <w:color w:val="595959"/>
          <w:sz w:val="16"/>
          <w:szCs w:val="16"/>
        </w:rPr>
        <w:t>This document is a working thesis document. Last updated: 19 March 2026.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60F64"/>
    <w:multiLevelType w:val="singleLevel"/>
    <w:tmpl w:val="F7F60F64"/>
    <w:lvl w:ilvl="0" w:tentative="0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F7DDF2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sz w:val="56"/>
      <w:szCs w:val="56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2</TotalTime>
  <ScaleCrop>false</ScaleCrop>
  <LinksUpToDate>false</LinksUpToDate>
  <Application>WPS Office_6.11.0.8615_F1E327BC-269C-435d-A152-05C5408002CA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psat0501</cp:lastModifiedBy>
  <dcterms:modified xsi:type="dcterms:W3CDTF">2026-03-19T22:09:27Z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15F012113AECE8FF0766BC698630D429_42</vt:lpwstr>
  </property>
</Properties>
</file>