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F3864"/>
          <w:sz w:val="36"/>
          <w:szCs w:val="36"/>
        </w:rPr>
        <w:t xml:space="preserve">Thesis Data Retrieval</w:t>
      </w:r>
    </w:p>
    <w:p>
      <w:pPr>
        <w:spacing w:before="0" w:after="60"/>
        <w:jc w:val="center"/>
      </w:pPr>
      <w:r>
        <w:rPr>
          <w:rFonts w:ascii="Calibri" w:cs="Calibri" w:eastAsia="Calibri" w:hAnsi="Calibri"/>
          <w:b w:val="false"/>
          <w:bCs w:val="false"/>
          <w:color w:val="595959"/>
          <w:sz w:val="24"/>
          <w:szCs w:val="24"/>
        </w:rPr>
        <w:t xml:space="preserve">Preliminary Findings &amp; Gap Assessment</w:t>
      </w:r>
    </w:p>
    <w:p>
      <w:pPr>
        <w:spacing w:before="0" w:after="60"/>
        <w:jc w:val="center"/>
      </w:pPr>
      <w:r>
        <w:rPr>
          <w:rFonts w:ascii="Calibri" w:cs="Calibri" w:eastAsia="Calibri" w:hAnsi="Calibri"/>
          <w:color w:val="595959"/>
          <w:sz w:val="18"/>
          <w:szCs w:val="18"/>
        </w:rPr>
        <w:t xml:space="preserve">Date: 18 March 2026  |  Author: Aadhitya Tejaswin Prakash Sridevi</w:t>
      </w:r>
    </w:p>
    <w:p>
      <w:pPr>
        <w:spacing w:before="0" w:after="40"/>
        <w:jc w:val="center"/>
      </w:pPr>
      <w:r>
        <w:rPr>
          <w:rFonts w:ascii="Calibri" w:cs="Calibri" w:eastAsia="Calibri" w:hAnsi="Calibri"/>
          <w:i/>
          <w:iCs/>
          <w:color w:val="595959"/>
          <w:sz w:val="18"/>
          <w:szCs w:val="18"/>
        </w:rPr>
        <w:t xml:space="preserve">EDHEC Business School / University of St. Gallen</w:t>
      </w:r>
    </w:p>
    <w:p>
      <w:pPr>
        <w:pBdr>
          <w:bottom w:val="single" w:color="1F3864" w:sz="12" w:space="1"/>
        </w:pBdr>
        <w:spacing w:before="40" w:after="200"/>
      </w:pPr>
    </w:p>
    <w:p>
      <w:pPr>
        <w:pBdr>
          <w:bottom w:val="single" w:color="1F3864" w:sz="8" w:space="1"/>
        </w:pBdr>
        <w:spacing w:before="280" w:after="120"/>
      </w:pPr>
      <w:r>
        <w:rPr>
          <w:rFonts w:ascii="Calibri" w:cs="Calibri" w:eastAsia="Calibri" w:hAnsi="Calibri"/>
          <w:b/>
          <w:bCs/>
          <w:color w:val="1F3864"/>
          <w:sz w:val="28"/>
          <w:szCs w:val="28"/>
        </w:rPr>
        <w:t xml:space="preserve">1. Purpose of This Document</w:t>
      </w:r>
    </w:p>
    <w:p>
      <w:pPr>
        <w:spacing w:before="0" w:after="80"/>
      </w:pPr>
      <w:r>
        <w:rPr>
          <w:rFonts w:ascii="Calibri" w:cs="Calibri" w:eastAsia="Calibri" w:hAnsi="Calibri"/>
          <w:b w:val="false"/>
          <w:bCs w:val="false"/>
          <w:color w:val="000000"/>
          <w:sz w:val="20"/>
          <w:szCs w:val="20"/>
        </w:rPr>
        <w:t xml:space="preserve">This document records the preliminary findings and data gaps identified during the 20-day data retrieval phase of the master's thesis: "The Role of BRICS Currencies in International Trade Settlement: Implications for Global Monetary Fragmentation." It serves as a living reference for the data strategy, methodology chapter, and supervisor update email.</w:t>
      </w:r>
    </w:p>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2. Data Sources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2280"/>
      </w:tblGrid>
      <w:tr>
        <w:trPr>
          <w:tblHeader/>
        </w:trPr>
        <w:tc>
          <w:tcPr>
            <w:tcW w:type="dxa" w:w="22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Data Source</w:t>
            </w:r>
          </w:p>
        </w:tc>
        <w:tc>
          <w:tcPr>
            <w:tcW w:type="dxa" w:w="20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Portal</w:t>
            </w:r>
          </w:p>
        </w:tc>
        <w:tc>
          <w:tcPr>
            <w:tcW w:type="dxa" w:w="18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Role in Thesis</w:t>
            </w:r>
          </w:p>
        </w:tc>
        <w:tc>
          <w:tcPr>
            <w:tcW w:type="dxa" w:w="18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Days</w:t>
            </w:r>
          </w:p>
        </w:tc>
        <w:tc>
          <w:tcPr>
            <w:tcW w:type="dxa" w:w="228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Status</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SWIFT RMB Tracker</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swift.com</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Primary source for LCShare &amp; HHI</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1–3</w:t>
            </w:r>
          </w:p>
        </w:tc>
        <w:tc>
          <w:tcPr>
            <w:tcW w:type="dxa" w:w="2280"/>
            <w:shd w:fill="FFF2CC" w:val="clear"/>
            <w:tcMar>
              <w:top w:type="dxa" w:w="80"/>
              <w:left w:type="dxa" w:w="120"/>
              <w:bottom w:type="dxa" w:w="80"/>
              <w:right w:type="dxa" w:w="120"/>
            </w:tcMar>
          </w:tcPr>
          <w:p>
            <w:pPr>
              <w:jc w:val="center"/>
            </w:pPr>
            <w:r>
              <w:rPr>
                <w:rFonts w:ascii="Calibri" w:cs="Calibri" w:eastAsia="Calibri" w:hAnsi="Calibri"/>
                <w:b/>
                <w:bCs/>
                <w:color w:val="7F6000"/>
                <w:sz w:val="18"/>
                <w:szCs w:val="18"/>
              </w:rPr>
              <w:t xml:space="preserve">Pending</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BIS Locational Banking Statistics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stats.bis.org</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Financial linkage proxy; dollar share variable</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4–6</w:t>
            </w:r>
          </w:p>
        </w:tc>
        <w:tc>
          <w:tcPr>
            <w:tcW w:type="dxa" w:w="2280"/>
            <w:shd w:fill="E2EFDA" w:val="clear"/>
            <w:tcMar>
              <w:top w:type="dxa" w:w="80"/>
              <w:left w:type="dxa" w:w="120"/>
              <w:bottom w:type="dxa" w:w="80"/>
              <w:right w:type="dxa" w:w="120"/>
            </w:tcMar>
          </w:tcPr>
          <w:p>
            <w:pPr>
              <w:jc w:val="center"/>
            </w:pPr>
            <w:r>
              <w:rPr>
                <w:rFonts w:ascii="Calibri" w:cs="Calibri" w:eastAsia="Calibri" w:hAnsi="Calibri"/>
                <w:b/>
                <w:bCs/>
                <w:color w:val="375623"/>
                <w:sz w:val="18"/>
                <w:szCs w:val="18"/>
              </w:rPr>
              <w:t xml:space="preserve">✓ Complete</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IMF DOTS &amp; COFER</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imf.org/en/Data</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Bilateral trade flows; reserve shares</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7–9</w:t>
            </w:r>
          </w:p>
        </w:tc>
        <w:tc>
          <w:tcPr>
            <w:tcW w:type="dxa" w:w="2280"/>
            <w:shd w:fill="FFF2CC" w:val="clear"/>
            <w:tcMar>
              <w:top w:type="dxa" w:w="80"/>
              <w:left w:type="dxa" w:w="120"/>
              <w:bottom w:type="dxa" w:w="80"/>
              <w:right w:type="dxa" w:w="120"/>
            </w:tcMar>
          </w:tcPr>
          <w:p>
            <w:pPr>
              <w:jc w:val="center"/>
            </w:pPr>
            <w:r>
              <w:rPr>
                <w:rFonts w:ascii="Calibri" w:cs="Calibri" w:eastAsia="Calibri" w:hAnsi="Calibri"/>
                <w:b/>
                <w:bCs/>
                <w:color w:val="7F6000"/>
                <w:sz w:val="18"/>
                <w:szCs w:val="18"/>
              </w:rPr>
              <w:t xml:space="preserve">Pending</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UN Comtrade</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comtrade.un.org</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Trade flow cross-validation (RHS variable only)</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10–11</w:t>
            </w:r>
          </w:p>
        </w:tc>
        <w:tc>
          <w:tcPr>
            <w:tcW w:type="dxa" w:w="2280"/>
            <w:shd w:fill="FFF2CC" w:val="clear"/>
            <w:tcMar>
              <w:top w:type="dxa" w:w="80"/>
              <w:left w:type="dxa" w:w="120"/>
              <w:bottom w:type="dxa" w:w="80"/>
              <w:right w:type="dxa" w:w="120"/>
            </w:tcMar>
          </w:tcPr>
          <w:p>
            <w:pPr>
              <w:jc w:val="center"/>
            </w:pPr>
            <w:r>
              <w:rPr>
                <w:rFonts w:ascii="Calibri" w:cs="Calibri" w:eastAsia="Calibri" w:hAnsi="Calibri"/>
                <w:b/>
                <w:bCs/>
                <w:color w:val="7F6000"/>
                <w:sz w:val="18"/>
                <w:szCs w:val="18"/>
              </w:rPr>
              <w:t xml:space="preserve">Pending</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Policy Events Dataset</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Self-constructed</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Treat variable for DiD Equation 3</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12–13</w:t>
            </w:r>
          </w:p>
        </w:tc>
        <w:tc>
          <w:tcPr>
            <w:tcW w:type="dxa" w:w="2280"/>
            <w:shd w:fill="FFF2CC" w:val="clear"/>
            <w:tcMar>
              <w:top w:type="dxa" w:w="80"/>
              <w:left w:type="dxa" w:w="120"/>
              <w:bottom w:type="dxa" w:w="80"/>
              <w:right w:type="dxa" w:w="120"/>
            </w:tcMar>
          </w:tcPr>
          <w:p>
            <w:pPr>
              <w:jc w:val="center"/>
            </w:pPr>
            <w:r>
              <w:rPr>
                <w:rFonts w:ascii="Calibri" w:cs="Calibri" w:eastAsia="Calibri" w:hAnsi="Calibri"/>
                <w:b/>
                <w:bCs/>
                <w:color w:val="7F6000"/>
                <w:sz w:val="18"/>
                <w:szCs w:val="18"/>
              </w:rPr>
              <w:t xml:space="preserve">Pending</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World Bank &amp; IMF Macro Controls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databank.worldbank.org</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GDP, openness, inflation, FX volatility</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Days 14–15</w:t>
            </w:r>
          </w:p>
        </w:tc>
        <w:tc>
          <w:tcPr>
            <w:tcW w:type="dxa" w:w="2280"/>
            <w:shd w:fill="FFF2CC" w:val="clear"/>
            <w:tcMar>
              <w:top w:type="dxa" w:w="80"/>
              <w:left w:type="dxa" w:w="120"/>
              <w:bottom w:type="dxa" w:w="80"/>
              <w:right w:type="dxa" w:w="120"/>
            </w:tcMar>
          </w:tcPr>
          <w:p>
            <w:pPr>
              <w:jc w:val="center"/>
            </w:pPr>
            <w:r>
              <w:rPr>
                <w:rFonts w:ascii="Calibri" w:cs="Calibri" w:eastAsia="Calibri" w:hAnsi="Calibri"/>
                <w:b/>
                <w:bCs/>
                <w:color w:val="7F6000"/>
                <w:sz w:val="18"/>
                <w:szCs w:val="18"/>
              </w:rPr>
              <w:t xml:space="preserve">Pending</w:t>
            </w:r>
          </w:p>
        </w:tc>
      </w:tr>
    </w:tbl>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3. BIS Locational Banking Statistics — Completed</w:t>
      </w:r>
    </w:p>
    <w:p>
      <w:pPr>
        <w:spacing w:before="200" w:after="80"/>
      </w:pPr>
      <w:r>
        <w:rPr>
          <w:rFonts w:ascii="Calibri" w:cs="Calibri" w:eastAsia="Calibri" w:hAnsi="Calibri"/>
          <w:b/>
          <w:bCs/>
          <w:color w:val="1F3864"/>
          <w:sz w:val="22"/>
          <w:szCs w:val="22"/>
        </w:rPr>
        <w:t xml:space="preserve">3.1 What Was Retrieved</w:t>
      </w:r>
    </w:p>
    <w:p>
      <w:pPr>
        <w:spacing w:before="0" w:after="80"/>
      </w:pPr>
      <w:r>
        <w:rPr>
          <w:rFonts w:ascii="Calibri" w:cs="Calibri" w:eastAsia="Calibri" w:hAnsi="Calibri"/>
          <w:b w:val="false"/>
          <w:bCs w:val="false"/>
          <w:color w:val="000000"/>
          <w:sz w:val="20"/>
          <w:szCs w:val="20"/>
        </w:rPr>
        <w:t xml:space="preserve">Ten time series downloaded from BIS Statistics Explorer (stats.bis.org), two per BRICS country: (1) Cross-border total claims, all currencies [TO1] and (2) Cross-border total claims, US dollar [USD]. Coverage: 1977-Q4 to 2025-Q3 for most series. All data is quarterly.</w:t>
      </w:r>
    </w:p>
    <w:p>
      <w:pPr>
        <w:spacing w:before="200" w:after="80"/>
      </w:pPr>
      <w:r>
        <w:rPr>
          <w:rFonts w:ascii="Calibri" w:cs="Calibri" w:eastAsia="Calibri" w:hAnsi="Calibri"/>
          <w:b/>
          <w:bCs/>
          <w:color w:val="1F3864"/>
          <w:sz w:val="22"/>
          <w:szCs w:val="22"/>
        </w:rPr>
        <w:t xml:space="preserve">3.2 Preliminary Findings — Dollar Share by BRICS Country</w:t>
      </w:r>
    </w:p>
    <w:p>
      <w:pPr>
        <w:spacing w:before="0" w:after="80"/>
      </w:pPr>
      <w:r>
        <w:rPr>
          <w:rFonts w:ascii="Calibri" w:cs="Calibri" w:eastAsia="Calibri" w:hAnsi="Calibri"/>
          <w:b w:val="false"/>
          <w:bCs w:val="false"/>
          <w:color w:val="000000"/>
          <w:sz w:val="20"/>
          <w:szCs w:val="20"/>
        </w:rPr>
        <w:t xml:space="preserve">The table below shows the most recent observation (2025-Q3) for each country. The USD share is computed as USD claims divided by total claims and represents the dollar-denominated proportion of international banking exposure to each BRICS economy.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20"/>
        <w:gridCol w:w="2220"/>
        <w:gridCol w:w="1620"/>
        <w:gridCol w:w="1620"/>
      </w:tblGrid>
      <w:tr>
        <w:trPr>
          <w:tblHeader/>
        </w:trPr>
        <w:tc>
          <w:tcPr>
            <w:tcW w:type="dxa" w:w="22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Country</w:t>
            </w:r>
          </w:p>
        </w:tc>
        <w:tc>
          <w:tcPr>
            <w:tcW w:type="dxa" w:w="242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Total Claims (USD mn)</w:t>
            </w:r>
          </w:p>
        </w:tc>
        <w:tc>
          <w:tcPr>
            <w:tcW w:type="dxa" w:w="222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USD Claims (USD mn)</w:t>
            </w:r>
          </w:p>
        </w:tc>
        <w:tc>
          <w:tcPr>
            <w:tcW w:type="dxa" w:w="162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Dollar Share</w:t>
            </w:r>
          </w:p>
        </w:tc>
        <w:tc>
          <w:tcPr>
            <w:tcW w:type="dxa" w:w="162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Interpretation</w:t>
            </w:r>
          </w:p>
        </w:tc>
      </w:tr>
      <w:tr>
        <w:trPr>
          <w:tblHeader w:val="false"/>
        </w:trP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China</w:t>
            </w:r>
          </w:p>
        </w:tc>
        <w:tc>
          <w:tcPr>
            <w:tcW w:type="dxa" w:w="24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857,736</w:t>
            </w:r>
          </w:p>
        </w:tc>
        <w:tc>
          <w:tcPr>
            <w:tcW w:type="dxa" w:w="22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252,655</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29%</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Moderately de-dollarised</w:t>
            </w:r>
          </w:p>
        </w:tc>
      </w:tr>
      <w:tr>
        <w:trPr>
          <w:tblHeader w:val="false"/>
        </w:trP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India</w:t>
            </w:r>
          </w:p>
        </w:tc>
        <w:tc>
          <w:tcPr>
            <w:tcW w:type="dxa" w:w="24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214,988</w:t>
            </w:r>
          </w:p>
        </w:tc>
        <w:tc>
          <w:tcPr>
            <w:tcW w:type="dxa" w:w="22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111,579</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52%</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Dollar-dependent</w:t>
            </w:r>
          </w:p>
        </w:tc>
      </w:tr>
      <w:tr>
        <w:trPr>
          <w:tblHeader w:val="false"/>
        </w:trP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Brazil</w:t>
            </w:r>
          </w:p>
        </w:tc>
        <w:tc>
          <w:tcPr>
            <w:tcW w:type="dxa" w:w="24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317,145</w:t>
            </w:r>
          </w:p>
        </w:tc>
        <w:tc>
          <w:tcPr>
            <w:tcW w:type="dxa" w:w="22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223,875</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71%</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Highly dollar-dependent</w:t>
            </w:r>
          </w:p>
        </w:tc>
      </w:tr>
      <w:tr>
        <w:trPr>
          <w:tblHeader w:val="false"/>
        </w:trP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Russia</w:t>
            </w:r>
          </w:p>
        </w:tc>
        <w:tc>
          <w:tcPr>
            <w:tcW w:type="dxa" w:w="24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39,482</w:t>
            </w:r>
          </w:p>
        </w:tc>
        <w:tc>
          <w:tcPr>
            <w:tcW w:type="dxa" w:w="22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6,186</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16%</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Sanctions-forced de-dollarisation</w:t>
            </w:r>
          </w:p>
        </w:tc>
      </w:tr>
      <w:tr>
        <w:trPr>
          <w:tblHeader w:val="false"/>
        </w:trP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South Africa</w:t>
            </w:r>
          </w:p>
        </w:tc>
        <w:tc>
          <w:tcPr>
            <w:tcW w:type="dxa" w:w="24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54,311</w:t>
            </w:r>
          </w:p>
        </w:tc>
        <w:tc>
          <w:tcPr>
            <w:tcW w:type="dxa" w:w="22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18,347</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34%</w:t>
            </w:r>
          </w:p>
        </w:tc>
        <w:tc>
          <w:tcPr>
            <w:tcW w:type="dxa" w:w="16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Moderate dollar dependence</w:t>
            </w:r>
          </w:p>
        </w:tc>
      </w:tr>
    </w:tbl>
    <w:p>
      <w:pPr>
        <w:spacing w:before="80" w:after="0"/>
      </w:pPr>
      <w:r>
        <w:t xml:space="preserve"/>
      </w:r>
    </w:p>
    <w:p>
      <w:pPr>
        <w:spacing w:before="200" w:after="80"/>
      </w:pPr>
      <w:r>
        <w:rPr>
          <w:rFonts w:ascii="Calibri" w:cs="Calibri" w:eastAsia="Calibri" w:hAnsi="Calibri"/>
          <w:b/>
          <w:bCs/>
          <w:color w:val="1F3864"/>
          <w:sz w:val="22"/>
          <w:szCs w:val="22"/>
        </w:rPr>
        <w:t xml:space="preserve">3.3 Analytical Observations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Brazil shows the highest dollar dependence (71%), consistent with the Brazilian real's limited internationalisation progress among BRICS currencies.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Russia shows the lowest dollar share (16%), reflecting sanctions-driven forced de-dollarisation post-February 2022 rather than organic currency internationalisation. This structural break supports the DiD identification strategy.</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China at 29% reflects gradual RMB internationalisation — the lowest dollar share among non-sanctioned BRICS members.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The wide variation across countries (16%–71%) is analytically meaningful and will feature prominently in the descriptive analysis chapter.</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Russia's total claims ($39,482 mn) are dramatically lower than pre-sanctions levels, reflecting international bank withdrawal from Russian exposure. This break should be flagged in the Russia-specific DiD event study.</w:t>
      </w:r>
    </w:p>
    <w:p>
      <w:pPr>
        <w:spacing w:before="200" w:after="80"/>
      </w:pPr>
      <w:r>
        <w:rPr>
          <w:rFonts w:ascii="Calibri" w:cs="Calibri" w:eastAsia="Calibri" w:hAnsi="Calibri"/>
          <w:b/>
          <w:bCs/>
          <w:color w:val="1F3864"/>
          <w:sz w:val="22"/>
          <w:szCs w:val="22"/>
        </w:rPr>
        <w:t xml:space="preserve">3.4 Key Limitation — Must State in Methodology Chapter</w:t>
      </w:r>
    </w:p>
    <w:p>
      <w:pPr>
        <w:spacing w:before="0" w:after="80"/>
      </w:pPr>
      <w:r>
        <w:rPr>
          <w:rFonts w:ascii="Calibri" w:cs="Calibri" w:eastAsia="Calibri" w:hAnsi="Calibri"/>
          <w:b w:val="false"/>
          <w:bCs w:val="false"/>
          <w:color w:val="000000"/>
          <w:sz w:val="20"/>
          <w:szCs w:val="20"/>
        </w:rPr>
        <w:t xml:space="preserve">BIS LBS does not provide CNY, RUB, INR, BRL, or ZAR as standalone currency denomination filters. Only major reserve currencies (USD, EUR, GBP, CHF, JPY) are available as individual categories. All BRICS currencies are absorbed into the 'Unallocated currencies' category. Therefore the dollar share variable constructed here measures dollar dependence in bilateral banking relationships — it is a financial linkage proxy, not a direct measure of trade settlement currency. This distinction must be stated explicitly in Section 4 (Data and Methodology).</w:t>
      </w:r>
    </w:p>
    <w:p>
      <w:pPr>
        <w:spacing w:before="200" w:after="80"/>
      </w:pPr>
      <w:r>
        <w:rPr>
          <w:rFonts w:ascii="Calibri" w:cs="Calibri" w:eastAsia="Calibri" w:hAnsi="Calibri"/>
          <w:b/>
          <w:bCs/>
          <w:color w:val="1F3864"/>
          <w:sz w:val="22"/>
          <w:szCs w:val="22"/>
        </w:rPr>
        <w:t xml:space="preserve">3.5 Citation</w:t>
      </w:r>
    </w:p>
    <w:p>
      <w:pPr>
        <w:spacing w:before="0" w:after="80"/>
      </w:pPr>
      <w:r>
        <w:rPr>
          <w:rFonts w:ascii="Calibri" w:cs="Calibri" w:eastAsia="Calibri" w:hAnsi="Calibri"/>
          <w:b w:val="false"/>
          <w:bCs w:val="false"/>
          <w:color w:val="000000"/>
          <w:sz w:val="20"/>
          <w:szCs w:val="20"/>
        </w:rPr>
        <w:t xml:space="preserve">Bank for International Settlements (2026), Locational banking statistics, BIS WS_LBS_D_PUB 1.0 (data set), https://data.bis.org/search (accessed on 18 March 2026).</w:t>
      </w:r>
    </w:p>
    <w:p>
      <w:pPr>
        <w:spacing w:before="200" w:after="80"/>
      </w:pPr>
      <w:r>
        <w:rPr>
          <w:rFonts w:ascii="Calibri" w:cs="Calibri" w:eastAsia="Calibri" w:hAnsi="Calibri"/>
          <w:b/>
          <w:bCs/>
          <w:color w:val="1F3864"/>
          <w:sz w:val="22"/>
          <w:szCs w:val="22"/>
        </w:rPr>
        <w:t xml:space="preserve">3.6 Files Saved</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BIS_LBS_China_Claims.csv</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BIS_LBS_India_Claims.csv</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BIS_LBS_Brazil_Claims.csv</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BIS_LBS_Russia_Claims.csv</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BIS_LBS_SouthAfrica_Claims.csv</w:t>
      </w:r>
    </w:p>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4. BIS Retail Payments Section — Not Useful for Thesis</w:t>
      </w:r>
    </w:p>
    <w:p>
      <w:pPr>
        <w:spacing w:before="0" w:after="80"/>
      </w:pPr>
      <w:r>
        <w:rPr>
          <w:rFonts w:ascii="Calibri" w:cs="Calibri" w:eastAsia="Calibri" w:hAnsi="Calibri"/>
          <w:b w:val="false"/>
          <w:bCs w:val="false"/>
          <w:color w:val="000000"/>
          <w:sz w:val="20"/>
          <w:szCs w:val="20"/>
        </w:rPr>
        <w:t xml:space="preserve">The BIS Retail Payments section (Payment statistics &gt; Retail payments, currency and related indicators) was reviewed in full. All comparative tables (CT1–CT12F) cover domestic payment system infrastructure — cards, terminals, cashless payment volumes, withdrawals and deposits. No bilateral cross-border data or settlement currency breakdowns are available in this section.</w:t>
      </w:r>
    </w:p>
    <w:p>
      <w:pPr>
        <w:spacing w:before="0" w:after="80"/>
      </w:pPr>
      <w:r>
        <w:rPr>
          <w:rFonts w:ascii="Calibri" w:cs="Calibri" w:eastAsia="Calibri" w:hAnsi="Calibri"/>
          <w:b w:val="false"/>
          <w:bCs w:val="false"/>
          <w:color w:val="595959"/>
          <w:sz w:val="20"/>
          <w:szCs w:val="20"/>
        </w:rPr>
        <w:t xml:space="preserve">Decision: No data downloaded from this section. This section is not relevant to any of the three empirical equations.</w:t>
      </w:r>
    </w:p>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5. Critical Finding — Dependent Variable Data Gap</w:t>
      </w:r>
    </w:p>
    <w:p>
      <w:pPr>
        <w:spacing w:before="200" w:after="80"/>
      </w:pPr>
      <w:r>
        <w:rPr>
          <w:rFonts w:ascii="Calibri" w:cs="Calibri" w:eastAsia="Calibri" w:hAnsi="Calibri"/>
          <w:b/>
          <w:bCs/>
          <w:color w:val="1F3864"/>
          <w:sz w:val="22"/>
          <w:szCs w:val="22"/>
        </w:rPr>
        <w:t xml:space="preserve">5.1 The Problem</w:t>
      </w:r>
    </w:p>
    <w:p>
      <w:pPr>
        <w:spacing w:before="0" w:after="80"/>
      </w:pPr>
      <w:r>
        <w:rPr>
          <w:rFonts w:ascii="Calibri" w:cs="Calibri" w:eastAsia="Calibri" w:hAnsi="Calibri"/>
          <w:b w:val="false"/>
          <w:bCs w:val="false"/>
          <w:color w:val="000000"/>
          <w:sz w:val="20"/>
          <w:szCs w:val="20"/>
        </w:rPr>
        <w:t xml:space="preserve">There is no single public database that directly reports the share of bilateral trade settled in BRICS local currencies (LCShare_{ij,t}). UN Comtrade records trade values in USD regardless of actual settlement currency. SWIFT data tracks payment messaging volumes by currency but has two critical limitations: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SWIFT data systematically undercounts local currency settlement because CIPS (China) and SPFS (Russia) route payments outside SWIFT deliberately.</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Granular bilateral SWIFT data at the country-pair level is proprietary. Only aggregate global currency shares are publicly available through the RMB Tracker.</w:t>
      </w:r>
    </w:p>
    <w:p>
      <w:pPr>
        <w:spacing w:before="200" w:after="80"/>
      </w:pPr>
      <w:r>
        <w:rPr>
          <w:rFonts w:ascii="Calibri" w:cs="Calibri" w:eastAsia="Calibri" w:hAnsi="Calibri"/>
          <w:b/>
          <w:bCs/>
          <w:color w:val="1F3864"/>
          <w:sz w:val="22"/>
          <w:szCs w:val="22"/>
        </w:rPr>
        <w:t xml:space="preserve">5.2 Proxy Strategy</w:t>
      </w:r>
    </w:p>
    <w:p>
      <w:pPr>
        <w:spacing w:before="0" w:after="80"/>
      </w:pPr>
      <w:r>
        <w:rPr>
          <w:rFonts w:ascii="Calibri" w:cs="Calibri" w:eastAsia="Calibri" w:hAnsi="Calibri"/>
          <w:b w:val="false"/>
          <w:bCs w:val="false"/>
          <w:color w:val="000000"/>
          <w:sz w:val="20"/>
          <w:szCs w:val="20"/>
        </w:rPr>
        <w:t xml:space="preserve">Based on current findings, the dependent variable LCShare will be approximated using a combination of three proxies: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SWIFT RMB Tracker aggregate currency shares — global share of each currency in international payments (primary source for HHI calculation).</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BIS LBS non-dollar share — (Total claims minus USD claims) / Total claims, computed per BRICS country per quarter (financial linkage proxy).</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Central bank reports — PBoC RMB Internationalisation Reports (annual), RBI rupee settlement data (post-2022), and any available BRICS bilateral settlement disclosures.</w:t>
      </w:r>
    </w:p>
    <w:p>
      <w:pPr>
        <w:spacing w:before="200" w:after="80"/>
      </w:pPr>
      <w:r>
        <w:rPr>
          <w:rFonts w:ascii="Calibri" w:cs="Calibri" w:eastAsia="Calibri" w:hAnsi="Calibri"/>
          <w:b/>
          <w:bCs/>
          <w:color w:val="1F3864"/>
          <w:sz w:val="22"/>
          <w:szCs w:val="22"/>
        </w:rPr>
        <w:t xml:space="preserve">5.3 Resolution</w:t>
      </w:r>
    </w:p>
    <w:p>
      <w:pPr>
        <w:spacing w:before="0" w:after="80"/>
      </w:pPr>
      <w:r>
        <w:rPr>
          <w:rFonts w:ascii="Calibri" w:cs="Calibri" w:eastAsia="Calibri" w:hAnsi="Calibri"/>
          <w:b w:val="false"/>
          <w:bCs w:val="false"/>
          <w:color w:val="000000"/>
          <w:sz w:val="20"/>
          <w:szCs w:val="20"/>
        </w:rPr>
        <w:t xml:space="preserve">This limitation is shared by the closest empirical precedent — the IMF Working Paper (2024) on RMB settlement — and will be acknowledged explicitly in the methodology chapter. The HSG macroeconomics professor meeting (Days 16–17) will specifically address whether any non-public SNB or BIS researcher datasets can supplement these proxies.</w:t>
      </w:r>
    </w:p>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6. Gap Assessment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Gap</w:t>
            </w:r>
          </w:p>
        </w:tc>
        <w:tc>
          <w:tcPr>
            <w:tcW w:type="dxa" w:w="24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Source Affected</w:t>
            </w:r>
          </w:p>
        </w:tc>
        <w:tc>
          <w:tcPr>
            <w:tcW w:type="dxa" w:w="240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Severity</w:t>
            </w:r>
          </w:p>
        </w:tc>
        <w:tc>
          <w:tcPr>
            <w:tcW w:type="dxa" w:w="2880"/>
            <w:shd w:fill="1F3864" w:val="clear"/>
            <w:tcMar>
              <w:top w:type="dxa" w:w="80"/>
              <w:left w:type="dxa" w:w="120"/>
              <w:bottom w:type="dxa" w:w="80"/>
              <w:right w:type="dxa" w:w="120"/>
            </w:tcMar>
          </w:tcPr>
          <w:p>
            <w:pPr>
              <w:jc w:val="left"/>
            </w:pPr>
            <w:r>
              <w:rPr>
                <w:rFonts w:ascii="Calibri" w:cs="Calibri" w:eastAsia="Calibri" w:hAnsi="Calibri"/>
                <w:b/>
                <w:bCs/>
                <w:color w:val="FFFFFF"/>
                <w:sz w:val="18"/>
                <w:szCs w:val="18"/>
              </w:rPr>
              <w:t xml:space="preserve">Resolution Strategy</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No direct bilateral settlement currency data</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All equations — LCShare variable</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High</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Use SWIFT aggregate + BIS LBS proxy + central bank reports</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BIS LBS does not report BRICS currencies individually</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BIS LBS — financial linkage variable</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Medium</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Use non-USD share as proxy; acknowledge limitation in methodology</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SWIFT undercounts local currency settlement via CIPS/SPFS</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LCShare dependent variable</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High</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Supplement with CIPS transaction volume data; flag in methodology</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Russia data structural break post-2022</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Panel regression &amp; DiD</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Medium</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Use as DiD treatment event; control for break in panel regression</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BRL, INR, ZAR settlement data sparse</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Non-RMB BRICS currency analysis</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High</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Narrow empirical scope or use proxies — confirm with HSG professor</w:t>
            </w:r>
          </w:p>
        </w:tc>
      </w:tr>
      <w:tr>
        <w:trPr>
          <w:tblHeader w:val="false"/>
        </w:trP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UN Comtrade reports in USD not settlement currency</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LCShare — must not use as dependent variable</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Resolved</w:t>
            </w:r>
          </w:p>
        </w:tc>
        <w:tc>
          <w:tcPr>
            <w:tcW w:type="dxa" w:w="288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Comtrade used as trade intensity regressor (RHS) only</w:t>
            </w:r>
          </w:p>
        </w:tc>
      </w:tr>
    </w:tbl>
    <w:p>
      <w:pPr>
        <w:spacing w:before="80" w:after="0"/>
      </w:pPr>
      <w:r>
        <w:t xml:space="preserve"/>
      </w:r>
    </w:p>
    <w:p>
      <w:pPr>
        <w:pBdr>
          <w:bottom w:val="single" w:color="1F3864" w:sz="8" w:space="1"/>
        </w:pBdr>
        <w:spacing w:before="280" w:after="120"/>
      </w:pPr>
      <w:r>
        <w:rPr>
          <w:rFonts w:ascii="Calibri" w:cs="Calibri" w:eastAsia="Calibri" w:hAnsi="Calibri"/>
          <w:b/>
          <w:bCs/>
          <w:color w:val="1F3864"/>
          <w:sz w:val="28"/>
          <w:szCs w:val="28"/>
        </w:rPr>
        <w:t xml:space="preserve">7. Next Steps</w:t>
      </w:r>
    </w:p>
    <w:p>
      <w:pPr>
        <w:spacing w:before="200" w:after="80"/>
      </w:pPr>
      <w:r>
        <w:rPr>
          <w:rFonts w:ascii="Calibri" w:cs="Calibri" w:eastAsia="Calibri" w:hAnsi="Calibri"/>
          <w:b/>
          <w:bCs/>
          <w:color w:val="1F3864"/>
          <w:sz w:val="22"/>
          <w:szCs w:val="22"/>
        </w:rPr>
        <w:t xml:space="preserve">Days 7–9: IMF DOTS and COFER</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Navigate to imf.org/en/Data</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Download bilateral trade flows for all BRICS pairs 2010–2025 from DOTS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Download reserve currency composition data from COFER for HHI extension</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Document coverage gaps for India and South Africa reporting</w:t>
      </w:r>
    </w:p>
    <w:p>
      <w:pPr>
        <w:spacing w:before="200" w:after="80"/>
      </w:pPr>
      <w:r>
        <w:rPr>
          <w:rFonts w:ascii="Calibri" w:cs="Calibri" w:eastAsia="Calibri" w:hAnsi="Calibri"/>
          <w:b/>
          <w:bCs/>
          <w:color w:val="1F3864"/>
          <w:sz w:val="22"/>
          <w:szCs w:val="22"/>
        </w:rPr>
        <w:t xml:space="preserve">Days 10–11: UN Comtrade</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Cross-validate DOTS bilateral trade figures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Download BRICS-to-major-trading-partner flows for control group construction</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Confirm that Comtrade is used strictly as RHS trade intensity variable</w:t>
      </w:r>
    </w:p>
    <w:p>
      <w:pPr>
        <w:spacing w:before="200" w:after="80"/>
      </w:pPr>
      <w:r>
        <w:rPr>
          <w:rFonts w:ascii="Calibri" w:cs="Calibri" w:eastAsia="Calibri" w:hAnsi="Calibri"/>
          <w:b/>
          <w:bCs/>
          <w:color w:val="1F3864"/>
          <w:sz w:val="22"/>
          <w:szCs w:val="22"/>
        </w:rPr>
        <w:t xml:space="preserve">Days 12–13: Policy Events Dataset</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Build events spreadsheet: CIPS launch (2015), CIPS expansion (2018), Russia SWIFT exclusion (March 2022), India-Russia rupee settlement framework (2022), Brazil-China RMB agreement (2023), BRICS Johannesburg summit declaration (August 2023)</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Record exact dates and primary sources for each event</w:t>
      </w:r>
    </w:p>
    <w:p>
      <w:pPr>
        <w:spacing w:before="200" w:after="80"/>
      </w:pPr>
      <w:r>
        <w:rPr>
          <w:rFonts w:ascii="Calibri" w:cs="Calibri" w:eastAsia="Calibri" w:hAnsi="Calibri"/>
          <w:b/>
          <w:bCs/>
          <w:color w:val="1F3864"/>
          <w:sz w:val="22"/>
          <w:szCs w:val="22"/>
        </w:rPr>
        <w:t xml:space="preserve">Days 14–15: World Bank &amp; IMF Macro Controls</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GDP current USD, trade openness, inflation, broad money growth from World Bank DataBank</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Bilateral exchange rates from IMF for FX volatility construction</w:t>
      </w:r>
    </w:p>
    <w:p>
      <w:pPr>
        <w:spacing w:before="200" w:after="80"/>
      </w:pPr>
      <w:r>
        <w:rPr>
          <w:rFonts w:ascii="Calibri" w:cs="Calibri" w:eastAsia="Calibri" w:hAnsi="Calibri"/>
          <w:b/>
          <w:bCs/>
          <w:color w:val="1F3864"/>
          <w:sz w:val="22"/>
          <w:szCs w:val="22"/>
        </w:rPr>
        <w:t xml:space="preserve">Days 16–17: HSG Macroeconomics Professor Meeting</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Bring this gap assessment document to the meeting</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Ask specifically about non-public BIS/SNB datasets for BRICS settlement data</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Ask for view on proxy strategy for non-RMB currency settlement data</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Ask for methodological assessment of DiD identification for CIPS and Russia sanctions events</w:t>
      </w:r>
    </w:p>
    <w:p>
      <w:pPr>
        <w:spacing w:before="200" w:after="80"/>
      </w:pPr>
      <w:r>
        <w:rPr>
          <w:rFonts w:ascii="Calibri" w:cs="Calibri" w:eastAsia="Calibri" w:hAnsi="Calibri"/>
          <w:b/>
          <w:bCs/>
          <w:color w:val="1F3864"/>
          <w:sz w:val="22"/>
          <w:szCs w:val="22"/>
        </w:rPr>
        <w:t xml:space="preserve">Days 18–19: Full Gap Assessment and Decision</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Finalise this document with all sources completed</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Make explicit decisions on scope narrowing if data gaps are unresolvable</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Draft two to three pages of methodology chapter data section</w:t>
      </w:r>
    </w:p>
    <w:p>
      <w:pPr>
        <w:spacing w:before="200" w:after="80"/>
      </w:pPr>
      <w:r>
        <w:rPr>
          <w:rFonts w:ascii="Calibri" w:cs="Calibri" w:eastAsia="Calibri" w:hAnsi="Calibri"/>
          <w:b/>
          <w:bCs/>
          <w:color w:val="1F3864"/>
          <w:sz w:val="22"/>
          <w:szCs w:val="22"/>
        </w:rPr>
        <w:t xml:space="preserve">Day 20: Supervisor Update</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Send supervisor update email attaching this completed gap assessment</w:t>
      </w:r>
    </w:p>
    <w:p>
      <w:pPr>
        <w:pStyle w:val="ListParagraph"/>
        <w:numPr>
          <w:ilvl w:val="0"/>
          <w:numId w:val="2"/>
        </w:numPr>
        <w:spacing w:before="0" w:after="40"/>
      </w:pPr>
      <w:r>
        <w:rPr>
          <w:rFonts w:ascii="Calibri" w:cs="Calibri" w:eastAsia="Calibri" w:hAnsi="Calibri"/>
          <w:b w:val="false"/>
          <w:bCs w:val="false"/>
          <w:color w:val="000000"/>
          <w:sz w:val="20"/>
          <w:szCs w:val="20"/>
        </w:rPr>
        <w:t xml:space="preserve">Confirm next supervision meeting date</w:t>
      </w:r>
    </w:p>
    <w:p>
      <w:pPr>
        <w:spacing w:before="80" w:after="0"/>
      </w:pPr>
      <w:r>
        <w:t xml:space="preserve"/>
      </w:r>
    </w:p>
    <w:p>
      <w:pPr>
        <w:pBdr>
          <w:top w:val="single" w:color="CCCCCC" w:sz="4" w:space="1"/>
        </w:pBdr>
        <w:spacing w:before="200" w:after="40"/>
      </w:pPr>
      <w:r>
        <w:rPr>
          <w:rFonts w:ascii="Calibri" w:cs="Calibri" w:eastAsia="Calibri" w:hAnsi="Calibri"/>
          <w:i/>
          <w:iCs/>
          <w:color w:val="595959"/>
          <w:sz w:val="16"/>
          <w:szCs w:val="16"/>
        </w:rPr>
        <w:t xml:space="preserve">This document is a working thesis document and will be updated as data retrieval progresses. Last updated: 18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2026-03-18T06:58:27.740Z</dcterms:created>
  <dcterms:modified xsi:type="dcterms:W3CDTF">2026-03-18T06:58:27.742Z</dcterms:modified>
</cp:coreProperties>
</file>

<file path=docProps/custom.xml><?xml version="1.0" encoding="utf-8"?>
<Properties xmlns="http://schemas.openxmlformats.org/officeDocument/2006/custom-properties" xmlns:vt="http://schemas.openxmlformats.org/officeDocument/2006/docPropsVTypes"/>
</file>