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imes New Roman" w:cs="Times New Roman" w:eastAsia="Times New Roman" w:hAnsi="Times New Roman"/>
          <w:b/>
          <w:bCs/>
          <w:sz w:val="32"/>
          <w:szCs w:val="32"/>
        </w:rPr>
        <w:t xml:space="preserve">Agentic AI-Driven Self-Healing Cloud Infrastructure</w:t>
      </w:r>
    </w:p>
    <w:p>
      <w:pPr>
        <w:spacing w:after="400"/>
        <w:jc w:val="center"/>
      </w:pPr>
      <w:r>
        <w:rPr>
          <w:rFonts w:ascii="Times New Roman" w:cs="Times New Roman" w:eastAsia="Times New Roman" w:hAnsi="Times New Roman"/>
          <w:b/>
          <w:bCs/>
          <w:sz w:val="32"/>
          <w:szCs w:val="32"/>
        </w:rPr>
        <w:t xml:space="preserve">with Explainable Anomaly Detection via Digital Twin Simulation</w:t>
      </w:r>
    </w:p>
    <w:p>
      <w:pPr>
        <w:spacing w:after="800"/>
        <w:jc w:val="center"/>
      </w:pPr>
      <w:r>
        <w:rPr>
          <w:rFonts w:ascii="Times New Roman" w:cs="Times New Roman" w:eastAsia="Times New Roman" w:hAnsi="Times New Roman"/>
          <w:i/>
          <w:iCs/>
          <w:sz w:val="24"/>
          <w:szCs w:val="24"/>
        </w:rPr>
        <w:t xml:space="preserve">A Research Paper on Trustworthy Autonomous Cloud Infrastructure Management</w:t>
      </w:r>
    </w:p>
    <w:p>
      <w:pPr>
        <w:pStyle w:val="Heading2"/>
        <w:spacing w:after="160" w:before="260"/>
      </w:pPr>
      <w:r>
        <w:rPr>
          <w:rFonts w:ascii="Times New Roman" w:cs="Times New Roman" w:eastAsia="Times New Roman" w:hAnsi="Times New Roman"/>
          <w:b/>
          <w:bCs/>
          <w:sz w:val="24"/>
          <w:szCs w:val="24"/>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Modern cloud infrastructures are increasingly complex, distributed, and dynamic, making manual fault detection, diagnosis, and recovery both slow and error-prone. Existing self-healing frameworks are largely reactive and rule-based, while machine-learning-based anomaly and intrusion detection systems, though more adaptive, typically operate as opaque black boxes that operators cannot audit or trust for autonomous remediation. This paper proposes a unified framework that integrates three complementary technologies: (i) a digital twin layer that continuously mirrors the real-time state of cloud infrastructure using live telemetry, enabling predictive simulation of failures before they manifest; (ii) an agentic AI decision layer that autonomously monitors the digital twin, predicts anomalies, and triggers remediation actions such as scaling, migration, restart, or isolation; and (iii) an explainability layer that produces human-interpretable justifications for both detected anomalies and the remediation actions taken. Unlike prior work, which applies explainability only to detection, the proposed framework extends interpretability to the action-selection stage of the self-healing loop, closing the trust gap between autonomous decision-making and human oversight. We describe a three-layer system architecture, a proposed experimental methodology using a containerized testbed with fault-injection tools, and a set of evaluation metrics spanning detection accuracy, mean-time-to-recovery, false-positive rate, and explanation fidelity. The proposed framework is intended to advance research toward cloud infrastructures that are not only autonomous and resilient, but also transparent and auditable.</w:t>
      </w:r>
    </w:p>
    <w:p>
      <w:pPr>
        <w:spacing w:after="200" w:line="360"/>
        <w:jc w:val="both"/>
      </w:pPr>
      <w:r>
        <w:rPr>
          <w:rFonts w:ascii="Times New Roman" w:cs="Times New Roman" w:eastAsia="Times New Roman" w:hAnsi="Times New Roman"/>
          <w:b w:val="false"/>
          <w:bCs w:val="false"/>
          <w:i/>
          <w:iCs/>
          <w:sz w:val="24"/>
          <w:szCs w:val="24"/>
        </w:rPr>
        <w:t xml:space="preserve">Keywords: Cloud Computing, Self-Healing Infrastructure, Agentic AI, Digital Twin, Explainable AI, Intrusion Detection, Autonomous Resource Management</w:t>
      </w:r>
    </w:p>
    <w:p>
      <w:r>
        <w:br w:type="page"/>
      </w:r>
    </w:p>
    <w:p>
      <w:pPr>
        <w:pStyle w:val="Heading1"/>
        <w:spacing w:after="200" w:befor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Cloud computing has become the backbone of modern digital infrastructure, supporting workloads that range from enterprise applications to large-scale AI training pipelines. As deployments scale across thousands of virtual machines, containers, and microservices, the probability of hardware failures, software faults, misconfigurations, and security intrusions increases proportionally. Traditional infrastructure management relies heavily on human operators and static rule-based automation, both of which struggle to keep pace with the scale, velocity, and complexity of contemporary cloud environments.</w:t>
      </w:r>
    </w:p>
    <w:p>
      <w:pPr>
        <w:spacing w:after="200" w:line="360"/>
        <w:jc w:val="both"/>
      </w:pPr>
      <w:r>
        <w:rPr>
          <w:rFonts w:ascii="Times New Roman" w:cs="Times New Roman" w:eastAsia="Times New Roman" w:hAnsi="Times New Roman"/>
          <w:b w:val="false"/>
          <w:bCs w:val="false"/>
          <w:i w:val="false"/>
          <w:iCs w:val="false"/>
          <w:sz w:val="24"/>
          <w:szCs w:val="24"/>
        </w:rPr>
        <w:t xml:space="preserve">Two research directions have emerged to address this challenge. The first is self-healing infrastructure, which aims to detect and resolve faults automatically without human intervention. The second is intelligent anomaly and intrusion detection, which uses machine learning to identify malicious or abnormal behavior. However, these two directions have largely evolved in isolation, and neither adequately addresses the trust problem inherent in autonomous systems: when an AI-driven system takes a corrective action on live infrastructure, operators need to understand why that action was chosen, not merely that an anomaly was flagged.</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proposes a framework that unifies digital twin simulation, agentic AI decision-making, and explainable AI into a single self-healing cloud architecture. The central contribution is not any single component in isolation, but the integration pattern: a predictive twin that lets the agent reason about future states rather than only current telemetry, and an explainability layer that wraps the agent's remediation decisions -- not just its anomaly scores -- in human-readable justification.</w:t>
      </w:r>
    </w:p>
    <w:p>
      <w:pPr>
        <w:pStyle w:val="Heading2"/>
        <w:spacing w:after="160" w:before="260"/>
      </w:pPr>
      <w:r>
        <w:rPr>
          <w:rFonts w:ascii="Times New Roman" w:cs="Times New Roman" w:eastAsia="Times New Roman" w:hAnsi="Times New Roman"/>
          <w:b/>
          <w:bCs/>
          <w:sz w:val="24"/>
          <w:szCs w:val="24"/>
        </w:rPr>
        <w:t xml:space="preserve">1.1 Motivation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motivation for this work stems from three observed gaps in existing literature and practice:</w:t>
      </w:r>
    </w:p>
    <w:p>
      <w:pPr>
        <w:pStyle w:val="ListParagraph"/>
        <w:numPr>
          <w:ilvl w:val="0"/>
          <w:numId w:val="2"/>
        </w:numPr>
        <w:spacing w:after="120"/>
      </w:pPr>
      <w:r>
        <w:rPr>
          <w:rFonts w:ascii="Times New Roman" w:cs="Times New Roman" w:eastAsia="Times New Roman" w:hAnsi="Times New Roman"/>
          <w:sz w:val="24"/>
          <w:szCs w:val="24"/>
        </w:rPr>
        <w:t xml:space="preserve">Reactive rather than predictive healing: most self-healing systems respond only after a fault has already occurred, resulting in avoidable downtime.</w:t>
      </w:r>
    </w:p>
    <w:p>
      <w:pPr>
        <w:pStyle w:val="ListParagraph"/>
        <w:numPr>
          <w:ilvl w:val="0"/>
          <w:numId w:val="2"/>
        </w:numPr>
        <w:spacing w:after="120"/>
      </w:pPr>
      <w:r>
        <w:rPr>
          <w:rFonts w:ascii="Times New Roman" w:cs="Times New Roman" w:eastAsia="Times New Roman" w:hAnsi="Times New Roman"/>
          <w:sz w:val="24"/>
          <w:szCs w:val="24"/>
        </w:rPr>
        <w:t xml:space="preserve">Opaque autonomous decisions: ML-based detection systems rarely explain their outputs, and even more rarely explain the remediation actions derived from those outputs, which discourages operators from granting them full autonomy.</w:t>
      </w:r>
    </w:p>
    <w:p>
      <w:pPr>
        <w:pStyle w:val="ListParagraph"/>
        <w:numPr>
          <w:ilvl w:val="0"/>
          <w:numId w:val="2"/>
        </w:numPr>
        <w:spacing w:after="120"/>
      </w:pPr>
      <w:r>
        <w:rPr>
          <w:rFonts w:ascii="Times New Roman" w:cs="Times New Roman" w:eastAsia="Times New Roman" w:hAnsi="Times New Roman"/>
          <w:sz w:val="24"/>
          <w:szCs w:val="24"/>
        </w:rPr>
        <w:t xml:space="preserve">Fragmented tooling: predictive simulation (digital twins), autonomous decision-making (agentic AI), and interpretability (XAI) are typically studied as separate research threads rather than as parts of a single operational loop.</w:t>
      </w:r>
    </w:p>
    <w:p>
      <w:pPr>
        <w:pStyle w:val="Heading2"/>
        <w:spacing w:after="160" w:before="260"/>
      </w:pPr>
      <w:r>
        <w:rPr>
          <w:rFonts w:ascii="Times New Roman" w:cs="Times New Roman" w:eastAsia="Times New Roman" w:hAnsi="Times New Roman"/>
          <w:b/>
          <w:bCs/>
          <w:sz w:val="24"/>
          <w:szCs w:val="24"/>
        </w:rPr>
        <w:t xml:space="preserve">1.2 Objectives</w:t>
      </w:r>
    </w:p>
    <w:p>
      <w:pPr>
        <w:pStyle w:val="ListParagraph"/>
        <w:numPr>
          <w:ilvl w:val="0"/>
          <w:numId w:val="2"/>
        </w:numPr>
        <w:spacing w:after="120"/>
      </w:pPr>
      <w:r>
        <w:rPr>
          <w:rFonts w:ascii="Times New Roman" w:cs="Times New Roman" w:eastAsia="Times New Roman" w:hAnsi="Times New Roman"/>
          <w:sz w:val="24"/>
          <w:szCs w:val="24"/>
        </w:rPr>
        <w:t xml:space="preserve">To design a digital twin layer that mirrors real-time cloud telemetry and supports predictive fault simulation.</w:t>
      </w:r>
    </w:p>
    <w:p>
      <w:pPr>
        <w:pStyle w:val="ListParagraph"/>
        <w:numPr>
          <w:ilvl w:val="0"/>
          <w:numId w:val="2"/>
        </w:numPr>
        <w:spacing w:after="120"/>
      </w:pPr>
      <w:r>
        <w:rPr>
          <w:rFonts w:ascii="Times New Roman" w:cs="Times New Roman" w:eastAsia="Times New Roman" w:hAnsi="Times New Roman"/>
          <w:sz w:val="24"/>
          <w:szCs w:val="24"/>
        </w:rPr>
        <w:t xml:space="preserve">To design an agentic AI decision layer capable of autonomously monitoring the twin, predicting anomalies, and selecting remediation actions.</w:t>
      </w:r>
    </w:p>
    <w:p>
      <w:pPr>
        <w:pStyle w:val="ListParagraph"/>
        <w:numPr>
          <w:ilvl w:val="0"/>
          <w:numId w:val="2"/>
        </w:numPr>
        <w:spacing w:after="120"/>
      </w:pPr>
      <w:r>
        <w:rPr>
          <w:rFonts w:ascii="Times New Roman" w:cs="Times New Roman" w:eastAsia="Times New Roman" w:hAnsi="Times New Roman"/>
          <w:sz w:val="24"/>
          <w:szCs w:val="24"/>
        </w:rPr>
        <w:t xml:space="preserve">To integrate an explainability module that justifies both anomaly detection and remediation decisions in human-readable form.</w:t>
      </w:r>
    </w:p>
    <w:p>
      <w:pPr>
        <w:pStyle w:val="ListParagraph"/>
        <w:numPr>
          <w:ilvl w:val="0"/>
          <w:numId w:val="2"/>
        </w:numPr>
        <w:spacing w:after="120"/>
      </w:pPr>
      <w:r>
        <w:rPr>
          <w:rFonts w:ascii="Times New Roman" w:cs="Times New Roman" w:eastAsia="Times New Roman" w:hAnsi="Times New Roman"/>
          <w:sz w:val="24"/>
          <w:szCs w:val="24"/>
        </w:rPr>
        <w:t xml:space="preserve">To propose an experimental methodology and evaluation framework for measuring detection accuracy, recovery time, false-positive rate, and explanation quality under fault-injection and simulated attack scenarios.</w:t>
      </w:r>
    </w:p>
    <w:p>
      <w:pPr>
        <w:pStyle w:val="Heading2"/>
        <w:spacing w:after="160" w:before="260"/>
      </w:pPr>
      <w:r>
        <w:rPr>
          <w:rFonts w:ascii="Times New Roman" w:cs="Times New Roman" w:eastAsia="Times New Roman" w:hAnsi="Times New Roman"/>
          <w:b/>
          <w:bCs/>
          <w:sz w:val="24"/>
          <w:szCs w:val="24"/>
        </w:rPr>
        <w:t xml:space="preserve">1.3 Paper Organization</w:t>
      </w:r>
    </w:p>
    <w:p>
      <w:pPr>
        <w:spacing w:after="200" w:line="360"/>
        <w:jc w:val="both"/>
      </w:pPr>
      <w:r>
        <w:rPr>
          <w:rFonts w:ascii="Times New Roman" w:cs="Times New Roman" w:eastAsia="Times New Roman" w:hAnsi="Times New Roman"/>
          <w:b w:val="false"/>
          <w:bCs w:val="false"/>
          <w:i w:val="false"/>
          <w:iCs w:val="false"/>
          <w:sz w:val="24"/>
          <w:szCs w:val="24"/>
        </w:rPr>
        <w:t xml:space="preserve">Section 2 reviews related work across self-healing systems, digital twins, agentic AI, and explainable intrusion detection. Section 3 presents the proposed system architecture. Section 4 details the methodology, including the experimental testbed and data flow. Section 5 defines the evaluation metrics and expected outcomes. Section 6 discusses limitations and threats to validity. Section 7 concludes the paper and outlines future work.</w:t>
      </w:r>
    </w:p>
    <w:p>
      <w:pPr>
        <w:pStyle w:val="Heading1"/>
        <w:spacing w:after="200" w:before="360"/>
      </w:pPr>
      <w:r>
        <w:rPr>
          <w:rFonts w:ascii="Times New Roman" w:cs="Times New Roman" w:eastAsia="Times New Roman" w:hAnsi="Times New Roman"/>
          <w:b/>
          <w:bCs/>
          <w:sz w:val="28"/>
          <w:szCs w:val="28"/>
        </w:rPr>
        <w:t xml:space="preserve">2. Literature Review</w:t>
      </w:r>
    </w:p>
    <w:p>
      <w:pPr>
        <w:pStyle w:val="Heading2"/>
        <w:spacing w:after="160" w:before="260"/>
      </w:pPr>
      <w:r>
        <w:rPr>
          <w:rFonts w:ascii="Times New Roman" w:cs="Times New Roman" w:eastAsia="Times New Roman" w:hAnsi="Times New Roman"/>
          <w:b/>
          <w:bCs/>
          <w:sz w:val="24"/>
          <w:szCs w:val="24"/>
        </w:rPr>
        <w:t xml:space="preserve">2.1 Self-Healing Cloud Infrastructure</w:t>
      </w:r>
    </w:p>
    <w:p>
      <w:pPr>
        <w:spacing w:after="200" w:line="360"/>
        <w:jc w:val="both"/>
      </w:pPr>
      <w:r>
        <w:rPr>
          <w:rFonts w:ascii="Times New Roman" w:cs="Times New Roman" w:eastAsia="Times New Roman" w:hAnsi="Times New Roman"/>
          <w:b w:val="false"/>
          <w:bCs w:val="false"/>
          <w:i w:val="false"/>
          <w:iCs w:val="false"/>
          <w:sz w:val="24"/>
          <w:szCs w:val="24"/>
        </w:rPr>
        <w:t xml:space="preserve">Self-healing systems aim to autonomously detect, diagnose, and recover from faults with minimal human intervention. Early approaches relied on static threshold-based rules and predefined recovery scripts, which are effective for known failure modes but brittle against novel or compound failures. More recent surveys highlight a shift toward ML-driven fault prediction, though most implementations remain reactive, triggering recovery only after service degradation is already measurable.</w:t>
      </w:r>
    </w:p>
    <w:p>
      <w:pPr>
        <w:pStyle w:val="Heading2"/>
        <w:spacing w:after="160" w:before="260"/>
      </w:pPr>
      <w:r>
        <w:rPr>
          <w:rFonts w:ascii="Times New Roman" w:cs="Times New Roman" w:eastAsia="Times New Roman" w:hAnsi="Times New Roman"/>
          <w:b/>
          <w:bCs/>
          <w:sz w:val="24"/>
          <w:szCs w:val="24"/>
        </w:rPr>
        <w:t xml:space="preserve">2.2 Digital Twins in Infrastructure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digital twin concept, originally developed for manufacturing and aerospace systems, creates a continuously updated virtual replica of a physical system for simulation, prediction, and diagnostics. Applied to cloud infrastructure, a digital twin can ingest telemetry from monitoring stacks and simulate how the system would behave under projected load, failure, or attack conditions, enabling proactive rather than reactive intervention. However, existing cloud-specific digital twin research focuses primarily on capacity planning and performance forecasting, with limited integration into autonomous remediation loops.</w:t>
      </w:r>
    </w:p>
    <w:p>
      <w:pPr>
        <w:pStyle w:val="Heading2"/>
        <w:spacing w:after="160" w:before="260"/>
      </w:pPr>
      <w:r>
        <w:rPr>
          <w:rFonts w:ascii="Times New Roman" w:cs="Times New Roman" w:eastAsia="Times New Roman" w:hAnsi="Times New Roman"/>
          <w:b/>
          <w:bCs/>
          <w:sz w:val="24"/>
          <w:szCs w:val="24"/>
        </w:rPr>
        <w:t xml:space="preserve">2.3 Agentic AI for Autonomous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Agentic AI refers to systems in which an AI component autonomously perceives environment state, reasons over goals, and takes actions -- as distinct from passive predictive models. In cloud contexts, reinforcement-learning-based agents have been explored for autoscaling and workload placement, and more recently, large language model-based agents with tool-calling capabilities have been proposed for operational tasks such as incident triage. A common limitation across this literature is that agent decisions are optimized for performance metrics alone, without a parallel mechanism for explaining the reasoning behind selected actions.</w:t>
      </w:r>
    </w:p>
    <w:p>
      <w:pPr>
        <w:pStyle w:val="Heading2"/>
        <w:spacing w:after="160" w:before="260"/>
      </w:pPr>
      <w:r>
        <w:rPr>
          <w:rFonts w:ascii="Times New Roman" w:cs="Times New Roman" w:eastAsia="Times New Roman" w:hAnsi="Times New Roman"/>
          <w:b/>
          <w:bCs/>
          <w:sz w:val="24"/>
          <w:szCs w:val="24"/>
        </w:rPr>
        <w:t xml:space="preserve">2.4 Explainable AI for Intrusion and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Explainable AI (XAI) techniques such as SHAP and LIME have been applied to intrusion detection models to surface which features drove a classification decision, improving analyst trust and enabling faster triage. This body of work, however, stops at explaining detection: once an anomaly is flagged, the subsequent remediation action -- if automated -- is typically left unexplained, creating a gap between why something was flagged and why the system responded the way it did.</w:t>
      </w:r>
    </w:p>
    <w:p>
      <w:pPr>
        <w:pStyle w:val="Heading2"/>
        <w:spacing w:after="160" w:before="260"/>
      </w:pPr>
      <w:r>
        <w:rPr>
          <w:rFonts w:ascii="Times New Roman" w:cs="Times New Roman" w:eastAsia="Times New Roman" w:hAnsi="Times New Roman"/>
          <w:b/>
          <w:bCs/>
          <w:sz w:val="24"/>
          <w:szCs w:val="24"/>
        </w:rPr>
        <w:t xml:space="preserve">2.5 Research Gap</w:t>
      </w:r>
    </w:p>
    <w:p>
      <w:pPr>
        <w:spacing w:after="200" w:line="360"/>
        <w:jc w:val="both"/>
      </w:pPr>
      <w:r>
        <w:rPr>
          <w:rFonts w:ascii="Times New Roman" w:cs="Times New Roman" w:eastAsia="Times New Roman" w:hAnsi="Times New Roman"/>
          <w:b w:val="false"/>
          <w:bCs w:val="false"/>
          <w:i w:val="false"/>
          <w:iCs w:val="false"/>
          <w:sz w:val="24"/>
          <w:szCs w:val="24"/>
        </w:rPr>
        <w:t xml:space="preserve">Across these four threads, no existing framework couples predictive digital twin simulation with an agentic decision loop whose actions -- not just its detections -- are explained in human-readable form. This is the gap the proposed framework addresses.</w:t>
      </w:r>
    </w:p>
    <w:p>
      <w:pPr>
        <w:pStyle w:val="Heading1"/>
        <w:spacing w:after="200" w:before="360"/>
      </w:pPr>
      <w:r>
        <w:rPr>
          <w:rFonts w:ascii="Times New Roman" w:cs="Times New Roman" w:eastAsia="Times New Roman" w:hAnsi="Times New Roman"/>
          <w:b/>
          <w:bCs/>
          <w:sz w:val="28"/>
          <w:szCs w:val="28"/>
        </w:rPr>
        <w:t xml:space="preserve">3. Proposed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framework consists of three interconnected layers, described below and summarized in Table 1.</w:t>
      </w:r>
    </w:p>
    <w:p>
      <w:pPr>
        <w:pStyle w:val="Heading2"/>
        <w:spacing w:after="160" w:before="260"/>
      </w:pPr>
      <w:r>
        <w:rPr>
          <w:rFonts w:ascii="Times New Roman" w:cs="Times New Roman" w:eastAsia="Times New Roman" w:hAnsi="Times New Roman"/>
          <w:b/>
          <w:bCs/>
          <w:sz w:val="24"/>
          <w:szCs w:val="24"/>
        </w:rPr>
        <w:t xml:space="preserve">3.1 Digital Twin Layer</w:t>
      </w:r>
    </w:p>
    <w:p>
      <w:pPr>
        <w:spacing w:after="200" w:line="360"/>
        <w:jc w:val="both"/>
      </w:pPr>
      <w:r>
        <w:rPr>
          <w:rFonts w:ascii="Times New Roman" w:cs="Times New Roman" w:eastAsia="Times New Roman" w:hAnsi="Times New Roman"/>
          <w:b w:val="false"/>
          <w:bCs w:val="false"/>
          <w:i w:val="false"/>
          <w:iCs w:val="false"/>
          <w:sz w:val="24"/>
          <w:szCs w:val="24"/>
        </w:rPr>
        <w:t xml:space="preserve">This layer continuously ingests telemetry (CPU, memory, network I/O, request latency, log streams) from the live cloud environment via a monitoring stack such as Prometheus and Grafana, and maintains a synchronized virtual model of infrastructure state. The twin is used to run forward simulations -- for example, projecting the effect of a traffic spike or a partial node failure -- before such conditions occur in production, giving the downstream agent a predictive rather than purely reactive signal.</w:t>
      </w:r>
    </w:p>
    <w:p>
      <w:pPr>
        <w:pStyle w:val="Heading2"/>
        <w:spacing w:after="160" w:before="260"/>
      </w:pPr>
      <w:r>
        <w:rPr>
          <w:rFonts w:ascii="Times New Roman" w:cs="Times New Roman" w:eastAsia="Times New Roman" w:hAnsi="Times New Roman"/>
          <w:b/>
          <w:bCs/>
          <w:sz w:val="24"/>
          <w:szCs w:val="24"/>
        </w:rPr>
        <w:t xml:space="preserve">3.2 Agentic AI Decision Layer</w:t>
      </w:r>
    </w:p>
    <w:p>
      <w:pPr>
        <w:spacing w:after="200" w:line="360"/>
        <w:jc w:val="both"/>
      </w:pPr>
      <w:r>
        <w:rPr>
          <w:rFonts w:ascii="Times New Roman" w:cs="Times New Roman" w:eastAsia="Times New Roman" w:hAnsi="Times New Roman"/>
          <w:b w:val="false"/>
          <w:bCs w:val="false"/>
          <w:i w:val="false"/>
          <w:iCs w:val="false"/>
          <w:sz w:val="24"/>
          <w:szCs w:val="24"/>
        </w:rPr>
        <w:t xml:space="preserve">The decision layer consists of an autonomous agent that continuously observes the digital twin's state and anomaly scores, and selects a remediation action from a defined action space (for example: scale out, scale in, migrate workload, restart service, isolate node, or take no action). Two candidate implementations are proposed for comparison: a reinforcement-learning policy trained with a reward function balancing availability, cost, and recovery time; and a tool-calling large-language-model agent that reasons over structured telemetry and twin-projected outcomes before invoking a remediation tool.</w:t>
      </w:r>
    </w:p>
    <w:p>
      <w:pPr>
        <w:pStyle w:val="Heading2"/>
        <w:spacing w:after="160" w:before="260"/>
      </w:pPr>
      <w:r>
        <w:rPr>
          <w:rFonts w:ascii="Times New Roman" w:cs="Times New Roman" w:eastAsia="Times New Roman" w:hAnsi="Times New Roman"/>
          <w:b/>
          <w:bCs/>
          <w:sz w:val="24"/>
          <w:szCs w:val="24"/>
        </w:rPr>
        <w:t xml:space="preserve">3.3 Explainability Layer</w:t>
      </w:r>
    </w:p>
    <w:p>
      <w:pPr>
        <w:spacing w:after="200" w:line="360"/>
        <w:jc w:val="both"/>
      </w:pPr>
      <w:r>
        <w:rPr>
          <w:rFonts w:ascii="Times New Roman" w:cs="Times New Roman" w:eastAsia="Times New Roman" w:hAnsi="Times New Roman"/>
          <w:b w:val="false"/>
          <w:bCs w:val="false"/>
          <w:i w:val="false"/>
          <w:iCs w:val="false"/>
          <w:sz w:val="24"/>
          <w:szCs w:val="24"/>
        </w:rPr>
        <w:t xml:space="preserve">This layer wraps both the anomaly-detection model and the agent's action-selection step. For detection, feature-attribution methods such as SHAP or LIME identify which telemetry signals drove an anomaly score. For action selection, the agent is required to produce a structured justification alongside every remediation action (for example, citing which projected twin outcome or which feature attribution led to the chosen action), which is logged for operator audit and post-incident review.</w:t>
      </w:r>
    </w:p>
    <w:p>
      <w:pPr>
        <w:spacing w:after="100" w:before="200"/>
      </w:pPr>
      <w:r>
        <w:rPr>
          <w:rFonts w:ascii="Times New Roman" w:cs="Times New Roman" w:eastAsia="Times New Roman" w:hAnsi="Times New Roman"/>
          <w:b/>
          <w:bCs/>
          <w:i/>
          <w:iCs/>
          <w:sz w:val="22"/>
          <w:szCs w:val="22"/>
        </w:rPr>
        <w:t xml:space="preserve">Table 1: Summary of Architectural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c>
          <w:tcPr>
            <w:tcW w:type="dxa" w:w="180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Layer</w:t>
            </w:r>
          </w:p>
        </w:tc>
        <w:tc>
          <w:tcPr>
            <w:tcW w:type="dxa" w:w="320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Function</w:t>
            </w:r>
          </w:p>
        </w:tc>
        <w:tc>
          <w:tcPr>
            <w:tcW w:type="dxa" w:w="435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Example Technologies</w:t>
            </w:r>
          </w:p>
        </w:tc>
      </w:tr>
      <w:tr>
        <w:tc>
          <w:tcPr>
            <w:tcW w:type="dxa" w:w="18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Digital Twin</w:t>
            </w:r>
          </w:p>
        </w:tc>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Real-time state mirroring and predictive fault simulation</w:t>
            </w:r>
          </w:p>
        </w:tc>
        <w:tc>
          <w:tcPr>
            <w:tcW w:type="dxa" w:w="43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Prometheus, Grafana, custom simulation engine (e.g., SimPy)</w:t>
            </w:r>
          </w:p>
        </w:tc>
      </w:tr>
      <w:tr>
        <w:tc>
          <w:tcPr>
            <w:tcW w:type="dxa" w:w="18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Agentic AI</w:t>
            </w:r>
          </w:p>
        </w:tc>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Autonomous monitoring, prediction, and remediation decision-making</w:t>
            </w:r>
          </w:p>
        </w:tc>
        <w:tc>
          <w:tcPr>
            <w:tcW w:type="dxa" w:w="43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RL policy (Gymnasium-based), tool-calling LLM agent</w:t>
            </w:r>
          </w:p>
        </w:tc>
      </w:tr>
      <w:tr>
        <w:tc>
          <w:tcPr>
            <w:tcW w:type="dxa" w:w="18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Explainability</w:t>
            </w:r>
          </w:p>
        </w:tc>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Human-readable justification of detections and actions</w:t>
            </w:r>
          </w:p>
        </w:tc>
        <w:tc>
          <w:tcPr>
            <w:tcW w:type="dxa" w:w="43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SHAP, LIME, structured agent-generated rationale logs</w:t>
            </w:r>
          </w:p>
        </w:tc>
      </w:tr>
    </w:tbl>
    <w:p>
      <w:pPr>
        <w:spacing w:after="200" w:before="200"/>
      </w:pPr>
    </w:p>
    <w:p>
      <w:pPr>
        <w:pStyle w:val="Heading1"/>
        <w:spacing w:after="200" w:before="360"/>
      </w:pPr>
      <w:r>
        <w:rPr>
          <w:rFonts w:ascii="Times New Roman" w:cs="Times New Roman" w:eastAsia="Times New Roman" w:hAnsi="Times New Roman"/>
          <w:b/>
          <w:bCs/>
          <w:sz w:val="28"/>
          <w:szCs w:val="28"/>
        </w:rPr>
        <w:t xml:space="preserve">4. Proposed Methodology</w:t>
      </w:r>
    </w:p>
    <w:p>
      <w:pPr>
        <w:pStyle w:val="Heading2"/>
        <w:spacing w:after="160" w:before="260"/>
      </w:pPr>
      <w:r>
        <w:rPr>
          <w:rFonts w:ascii="Times New Roman" w:cs="Times New Roman" w:eastAsia="Times New Roman" w:hAnsi="Times New Roman"/>
          <w:b/>
          <w:bCs/>
          <w:sz w:val="24"/>
          <w:szCs w:val="24"/>
        </w:rPr>
        <w:t xml:space="preserve">4.1 Experimental Testbed</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testbed uses a Kubernetes cluster (or Docker Swarm equivalent) hosting a representative multi-service application. Telemetry is collected via Prometheus, visualized in Grafana, and streamed into both the digital twin model and the anomaly-detection pipeline. Chaos-engineering tools such as Chaos Mesh are used to inject controlled faults (pod failures, network latency, resource exhaustion) and simulated security events (DDoS traffic, unauthorized access attempts) to evaluate the framework under realistic failure and attack conditions.</w:t>
      </w:r>
    </w:p>
    <w:p>
      <w:pPr>
        <w:pStyle w:val="Heading2"/>
        <w:spacing w:after="160" w:before="260"/>
      </w:pPr>
      <w:r>
        <w:rPr>
          <w:rFonts w:ascii="Times New Roman" w:cs="Times New Roman" w:eastAsia="Times New Roman" w:hAnsi="Times New Roman"/>
          <w:b/>
          <w:bCs/>
          <w:sz w:val="24"/>
          <w:szCs w:val="24"/>
        </w:rPr>
        <w:t xml:space="preserve">4.2 Data Pipeline</w:t>
      </w:r>
    </w:p>
    <w:p>
      <w:pPr>
        <w:pStyle w:val="ListParagraph"/>
        <w:numPr>
          <w:ilvl w:val="0"/>
          <w:numId w:val="2"/>
        </w:numPr>
        <w:spacing w:after="120"/>
      </w:pPr>
      <w:r>
        <w:rPr>
          <w:rFonts w:ascii="Times New Roman" w:cs="Times New Roman" w:eastAsia="Times New Roman" w:hAnsi="Times New Roman"/>
          <w:sz w:val="24"/>
          <w:szCs w:val="24"/>
        </w:rPr>
        <w:t xml:space="preserve">Telemetry Collection: infrastructure metrics and logs are collected at fixed intervals and streamed to both the live system and the digital twin.</w:t>
      </w:r>
    </w:p>
    <w:p>
      <w:pPr>
        <w:pStyle w:val="ListParagraph"/>
        <w:numPr>
          <w:ilvl w:val="0"/>
          <w:numId w:val="2"/>
        </w:numPr>
        <w:spacing w:after="120"/>
      </w:pPr>
      <w:r>
        <w:rPr>
          <w:rFonts w:ascii="Times New Roman" w:cs="Times New Roman" w:eastAsia="Times New Roman" w:hAnsi="Times New Roman"/>
          <w:sz w:val="24"/>
          <w:szCs w:val="24"/>
        </w:rPr>
        <w:t xml:space="preserve">Twin Simulation: the digital twin projects near-future system states under current trends and injected conditions.</w:t>
      </w:r>
    </w:p>
    <w:p>
      <w:pPr>
        <w:pStyle w:val="ListParagraph"/>
        <w:numPr>
          <w:ilvl w:val="0"/>
          <w:numId w:val="2"/>
        </w:numPr>
        <w:spacing w:after="120"/>
      </w:pPr>
      <w:r>
        <w:rPr>
          <w:rFonts w:ascii="Times New Roman" w:cs="Times New Roman" w:eastAsia="Times New Roman" w:hAnsi="Times New Roman"/>
          <w:sz w:val="24"/>
          <w:szCs w:val="24"/>
        </w:rPr>
        <w:t xml:space="preserve">Detection: an anomaly/intrusion detection model scores incoming telemetry and twin projections for deviation from baseline behavior.</w:t>
      </w:r>
    </w:p>
    <w:p>
      <w:pPr>
        <w:pStyle w:val="ListParagraph"/>
        <w:numPr>
          <w:ilvl w:val="0"/>
          <w:numId w:val="2"/>
        </w:numPr>
        <w:spacing w:after="120"/>
      </w:pPr>
      <w:r>
        <w:rPr>
          <w:rFonts w:ascii="Times New Roman" w:cs="Times New Roman" w:eastAsia="Times New Roman" w:hAnsi="Times New Roman"/>
          <w:sz w:val="24"/>
          <w:szCs w:val="24"/>
        </w:rPr>
        <w:t xml:space="preserve">Agent Decision: the agentic AI layer consumes detection scores and twin projections to select a remediation action.</w:t>
      </w:r>
    </w:p>
    <w:p>
      <w:pPr>
        <w:pStyle w:val="ListParagraph"/>
        <w:numPr>
          <w:ilvl w:val="0"/>
          <w:numId w:val="2"/>
        </w:numPr>
        <w:spacing w:after="120"/>
      </w:pPr>
      <w:r>
        <w:rPr>
          <w:rFonts w:ascii="Times New Roman" w:cs="Times New Roman" w:eastAsia="Times New Roman" w:hAnsi="Times New Roman"/>
          <w:sz w:val="24"/>
          <w:szCs w:val="24"/>
        </w:rPr>
        <w:t xml:space="preserve">Explanation Generation: the explainability layer generates a justification for both the detection and the chosen action, logged for audit.</w:t>
      </w:r>
    </w:p>
    <w:p>
      <w:pPr>
        <w:pStyle w:val="ListParagraph"/>
        <w:numPr>
          <w:ilvl w:val="0"/>
          <w:numId w:val="2"/>
        </w:numPr>
        <w:spacing w:after="120"/>
      </w:pPr>
      <w:r>
        <w:rPr>
          <w:rFonts w:ascii="Times New Roman" w:cs="Times New Roman" w:eastAsia="Times New Roman" w:hAnsi="Times New Roman"/>
          <w:sz w:val="24"/>
          <w:szCs w:val="24"/>
        </w:rPr>
        <w:t xml:space="preserve">Action Execution and Feedback: the selected action is executed on the live infrastructure, and its outcome feeds back into both the twin and the agent's learning signal.</w:t>
      </w:r>
    </w:p>
    <w:p>
      <w:pPr>
        <w:pStyle w:val="Heading2"/>
        <w:spacing w:after="160" w:before="260"/>
      </w:pPr>
      <w:r>
        <w:rPr>
          <w:rFonts w:ascii="Times New Roman" w:cs="Times New Roman" w:eastAsia="Times New Roman" w:hAnsi="Times New Roman"/>
          <w:b/>
          <w:bCs/>
          <w:sz w:val="24"/>
          <w:szCs w:val="24"/>
        </w:rPr>
        <w:t xml:space="preserve">4.3 Model Training and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The anomaly detection model is proposed to be trained on public cloud telemetry and intrusion datasets (e.g., NSL-KDD, CICIDS, or cloud-specific workload traces) supplemented with fault-injection data from the testbed. Baselines for comparison include: a rule-based threshold system, a black-box ML detector without explainability, and a reactive (non-predictive) self-healing agent without digital twin input. This allows the proposed framework's contribution to be isolated at each layer.</w:t>
      </w:r>
    </w:p>
    <w:p>
      <w:pPr>
        <w:pStyle w:val="Heading1"/>
        <w:spacing w:after="200" w:before="360"/>
      </w:pPr>
      <w:r>
        <w:rPr>
          <w:rFonts w:ascii="Times New Roman" w:cs="Times New Roman" w:eastAsia="Times New Roman" w:hAnsi="Times New Roman"/>
          <w:b/>
          <w:bCs/>
          <w:sz w:val="28"/>
          <w:szCs w:val="28"/>
        </w:rPr>
        <w:t xml:space="preserve">5. Evaluation Metrics and Expected Outcomes</w:t>
      </w:r>
    </w:p>
    <w:p>
      <w:pPr>
        <w:spacing w:after="200" w:line="360"/>
        <w:jc w:val="both"/>
      </w:pPr>
      <w:r>
        <w:rPr>
          <w:rFonts w:ascii="Times New Roman" w:cs="Times New Roman" w:eastAsia="Times New Roman" w:hAnsi="Times New Roman"/>
          <w:b w:val="false"/>
          <w:bCs w:val="false"/>
          <w:i w:val="false"/>
          <w:iCs w:val="false"/>
          <w:sz w:val="24"/>
          <w:szCs w:val="24"/>
        </w:rPr>
        <w:t xml:space="preserve">The framework is proposed to be evaluated along four dimensions, summarized in Table 2.</w:t>
      </w:r>
    </w:p>
    <w:p>
      <w:pPr>
        <w:spacing w:after="100" w:before="200"/>
      </w:pPr>
      <w:r>
        <w:rPr>
          <w:rFonts w:ascii="Times New Roman" w:cs="Times New Roman" w:eastAsia="Times New Roman" w:hAnsi="Times New Roman"/>
          <w:b/>
          <w:bCs/>
          <w:i/>
          <w:iCs/>
          <w:sz w:val="22"/>
          <w:szCs w:val="22"/>
        </w:rPr>
        <w:t xml:space="preserve">Table 2: Proposed 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Metric</w:t>
            </w:r>
          </w:p>
        </w:tc>
        <w:tc>
          <w:tcPr>
            <w:tcW w:type="dxa" w:w="675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Description</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Detection Accuracy / F1-score</w:t>
            </w:r>
          </w:p>
        </w:tc>
        <w:tc>
          <w:tcPr>
            <w:tcW w:type="dxa" w:w="67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Correctness of anomaly and intrusion classification relative to labeled fault-injection ground truth</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Mean Time to Recovery (MTTR)</w:t>
            </w:r>
          </w:p>
        </w:tc>
        <w:tc>
          <w:tcPr>
            <w:tcW w:type="dxa" w:w="67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Average time between fault onset and full service restoration, compared against reactive baselines</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False Positive Rate</w:t>
            </w:r>
          </w:p>
        </w:tc>
        <w:tc>
          <w:tcPr>
            <w:tcW w:type="dxa" w:w="67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Frequency of unnecessary remediation actions triggered by misclassified normal behavior</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Explanation Fidelity</w:t>
            </w:r>
          </w:p>
        </w:tc>
        <w:tc>
          <w:tcPr>
            <w:tcW w:type="dxa" w:w="67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Degree to which generated explanations accurately reflect the true decision logic of the detection and agent models</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System Overhead</w:t>
            </w:r>
          </w:p>
        </w:tc>
        <w:tc>
          <w:tcPr>
            <w:tcW w:type="dxa" w:w="675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Additional compute/latency cost introduced by the twin, agent, and explainability layers relative to baseline infrastructure</w:t>
            </w:r>
          </w:p>
        </w:tc>
      </w:tr>
    </w:tbl>
    <w:p>
      <w:pPr>
        <w:spacing w:after="200" w:before="200"/>
      </w:pPr>
    </w:p>
    <w:p>
      <w:pPr>
        <w:spacing w:after="200" w:line="360"/>
        <w:jc w:val="both"/>
      </w:pPr>
      <w:r>
        <w:rPr>
          <w:rFonts w:ascii="Times New Roman" w:cs="Times New Roman" w:eastAsia="Times New Roman" w:hAnsi="Times New Roman"/>
          <w:b w:val="false"/>
          <w:bCs w:val="false"/>
          <w:i w:val="false"/>
          <w:iCs w:val="false"/>
          <w:sz w:val="24"/>
          <w:szCs w:val="24"/>
        </w:rPr>
        <w:t xml:space="preserve">It is expected that the proposed framework will reduce mean-time-to-recovery relative to reactive baselines by enabling remediation before faults fully manifest, and that the explainability layer will increase operator willingness to grant the agent greater autonomy, as measured through structured operator review of logged justifications during evaluation.</w:t>
      </w:r>
    </w:p>
    <w:p>
      <w:pPr>
        <w:pStyle w:val="Heading1"/>
        <w:spacing w:after="200" w:before="360"/>
      </w:pPr>
      <w:r>
        <w:rPr>
          <w:rFonts w:ascii="Times New Roman" w:cs="Times New Roman" w:eastAsia="Times New Roman" w:hAnsi="Times New Roman"/>
          <w:b/>
          <w:bCs/>
          <w:sz w:val="28"/>
          <w:szCs w:val="28"/>
        </w:rPr>
        <w:t xml:space="preserve">6. Limitations and Threats to Validity</w:t>
      </w:r>
    </w:p>
    <w:p>
      <w:pPr>
        <w:pStyle w:val="ListParagraph"/>
        <w:numPr>
          <w:ilvl w:val="0"/>
          <w:numId w:val="3"/>
        </w:numPr>
        <w:spacing w:after="120"/>
      </w:pPr>
      <w:r>
        <w:rPr>
          <w:rFonts w:ascii="Times New Roman" w:cs="Times New Roman" w:eastAsia="Times New Roman" w:hAnsi="Times New Roman"/>
          <w:sz w:val="24"/>
          <w:szCs w:val="24"/>
        </w:rPr>
        <w:t xml:space="preserve">Digital twin fidelity: the accuracy of predictive simulation depends heavily on how closely the twin model matches real infrastructure dynamics; a poorly calibrated twin could mislead the agent.</w:t>
      </w:r>
    </w:p>
    <w:p>
      <w:pPr>
        <w:pStyle w:val="ListParagraph"/>
        <w:numPr>
          <w:ilvl w:val="0"/>
          <w:numId w:val="3"/>
        </w:numPr>
        <w:spacing w:after="120"/>
      </w:pPr>
      <w:r>
        <w:rPr>
          <w:rFonts w:ascii="Times New Roman" w:cs="Times New Roman" w:eastAsia="Times New Roman" w:hAnsi="Times New Roman"/>
          <w:sz w:val="24"/>
          <w:szCs w:val="24"/>
        </w:rPr>
        <w:t xml:space="preserve">Explanation faithfulness: post-hoc explanation methods such as SHAP and LIME approximate model reasoning and may not perfectly reflect the true decision process, particularly for LLM-based agents.</w:t>
      </w:r>
    </w:p>
    <w:p>
      <w:pPr>
        <w:pStyle w:val="ListParagraph"/>
        <w:numPr>
          <w:ilvl w:val="0"/>
          <w:numId w:val="3"/>
        </w:numPr>
        <w:spacing w:after="120"/>
      </w:pPr>
      <w:r>
        <w:rPr>
          <w:rFonts w:ascii="Times New Roman" w:cs="Times New Roman" w:eastAsia="Times New Roman" w:hAnsi="Times New Roman"/>
          <w:sz w:val="24"/>
          <w:szCs w:val="24"/>
        </w:rPr>
        <w:t xml:space="preserve">Scalability of evaluation: testbed-scale experiments may not fully capture emergent behavior at hyperscale cloud deployments.</w:t>
      </w:r>
    </w:p>
    <w:p>
      <w:pPr>
        <w:pStyle w:val="ListParagraph"/>
        <w:numPr>
          <w:ilvl w:val="0"/>
          <w:numId w:val="3"/>
        </w:numPr>
        <w:spacing w:after="120"/>
      </w:pPr>
      <w:r>
        <w:rPr>
          <w:rFonts w:ascii="Times New Roman" w:cs="Times New Roman" w:eastAsia="Times New Roman" w:hAnsi="Times New Roman"/>
          <w:sz w:val="24"/>
          <w:szCs w:val="24"/>
        </w:rPr>
        <w:t xml:space="preserve">Security of the agent itself: an autonomous agent with remediation privileges is itself a potential attack surface, requiring its own access controls and audit mechanisms.</w:t>
      </w:r>
    </w:p>
    <w:p>
      <w:pPr>
        <w:pStyle w:val="Heading1"/>
        <w:spacing w:after="200" w:before="360"/>
      </w:pPr>
      <w:r>
        <w:rPr>
          <w:rFonts w:ascii="Times New Roman" w:cs="Times New Roman" w:eastAsia="Times New Roman" w:hAnsi="Times New Roman"/>
          <w:b/>
          <w:bCs/>
          <w:sz w:val="28"/>
          <w:szCs w:val="28"/>
        </w:rPr>
        <w:t xml:space="preserve">7. Conclusion and Future Work</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proposed a unified framework for self-healing cloud infrastructure that combines predictive digital twin simulation, agentic AI decision-making, and explainable AI. By extending explainability beyond detection and into the remediation decision itself, the framework addresses a trust gap that limits the adoption of fully autonomous cloud operations. Future work includes implementing the proposed testbed, empirically comparing reinforcement-learning and LLM-based agent implementations, extending the framework to multi-cloud and edge-cloud environments, and conducting operator studies to quantify how explanation quality affects trust in autonomous remediation.</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60"/>
        <w:ind w:left="360" w:hanging="360"/>
      </w:pPr>
      <w:r>
        <w:rPr>
          <w:rFonts w:ascii="Times New Roman" w:cs="Times New Roman" w:eastAsia="Times New Roman" w:hAnsi="Times New Roman"/>
          <w:sz w:val="22"/>
          <w:szCs w:val="22"/>
        </w:rPr>
        <w:t xml:space="preserve">[1] M. Armbrust et al., "A View of Cloud Computing," Communications of the ACM, vol. 53, no. 4, pp. 50-58, 2010.</w:t>
      </w:r>
    </w:p>
    <w:p>
      <w:pPr>
        <w:spacing w:after="160"/>
        <w:ind w:left="360" w:hanging="360"/>
      </w:pPr>
      <w:r>
        <w:rPr>
          <w:rFonts w:ascii="Times New Roman" w:cs="Times New Roman" w:eastAsia="Times New Roman" w:hAnsi="Times New Roman"/>
          <w:sz w:val="22"/>
          <w:szCs w:val="22"/>
        </w:rPr>
        <w:t xml:space="preserve">[2] R. Buyya, S. Ilager, and S. Dustdar, "Artificial Intelligence for Cloud Computing: Challenges and Opportunities," IEEE Computer, vol. 56, no. 2, pp. 16-26, 2023.</w:t>
      </w:r>
    </w:p>
    <w:p>
      <w:pPr>
        <w:spacing w:after="160"/>
        <w:ind w:left="360" w:hanging="360"/>
      </w:pPr>
      <w:r>
        <w:rPr>
          <w:rFonts w:ascii="Times New Roman" w:cs="Times New Roman" w:eastAsia="Times New Roman" w:hAnsi="Times New Roman"/>
          <w:sz w:val="22"/>
          <w:szCs w:val="22"/>
        </w:rPr>
        <w:t xml:space="preserve">[3] Y. Mao, C. You, J. Zhang, K. Huang, and K. B. Letaief, "A Survey on Mobile Edge Computing: The Communication Perspective," IEEE Communications Surveys &amp; Tutorials, vol. 19, no. 4, pp. 2322-2358, 2017.</w:t>
      </w:r>
    </w:p>
    <w:p>
      <w:pPr>
        <w:spacing w:after="160"/>
        <w:ind w:left="360" w:hanging="360"/>
      </w:pPr>
      <w:r>
        <w:rPr>
          <w:rFonts w:ascii="Times New Roman" w:cs="Times New Roman" w:eastAsia="Times New Roman" w:hAnsi="Times New Roman"/>
          <w:sz w:val="22"/>
          <w:szCs w:val="22"/>
        </w:rPr>
        <w:t xml:space="preserve">[4] M. Grieves and J. Vickers, "Digital Twin: Mitigating Unpredictable, Undesirable Emergent Behavior in Complex Systems," in Transdisciplinary Perspectives on Complex Systems, Springer, 2017, pp. 85-113.</w:t>
      </w:r>
    </w:p>
    <w:p>
      <w:pPr>
        <w:spacing w:after="160"/>
        <w:ind w:left="360" w:hanging="360"/>
      </w:pPr>
      <w:r>
        <w:rPr>
          <w:rFonts w:ascii="Times New Roman" w:cs="Times New Roman" w:eastAsia="Times New Roman" w:hAnsi="Times New Roman"/>
          <w:sz w:val="22"/>
          <w:szCs w:val="22"/>
        </w:rPr>
        <w:t xml:space="preserve">[5] E. Glaessgen and D. Stargel, "The Digital Twin Paradigm for Future NASA and U.S. Air Force Vehicles," in 53rd AIAA Structures Conference, 2012.</w:t>
      </w:r>
    </w:p>
    <w:p>
      <w:pPr>
        <w:spacing w:after="160"/>
        <w:ind w:left="360" w:hanging="360"/>
      </w:pPr>
      <w:r>
        <w:rPr>
          <w:rFonts w:ascii="Times New Roman" w:cs="Times New Roman" w:eastAsia="Times New Roman" w:hAnsi="Times New Roman"/>
          <w:sz w:val="22"/>
          <w:szCs w:val="22"/>
        </w:rPr>
        <w:t xml:space="preserve">[6] S. Russell and P. Norvig, Artificial Intelligence: A Modern Approach, 4th ed., Pearson, 2021.</w:t>
      </w:r>
    </w:p>
    <w:p>
      <w:pPr>
        <w:spacing w:after="160"/>
        <w:ind w:left="360" w:hanging="360"/>
      </w:pPr>
      <w:r>
        <w:rPr>
          <w:rFonts w:ascii="Times New Roman" w:cs="Times New Roman" w:eastAsia="Times New Roman" w:hAnsi="Times New Roman"/>
          <w:sz w:val="22"/>
          <w:szCs w:val="22"/>
        </w:rPr>
        <w:t xml:space="preserve">[7] R. S. Sutton and A. G. Barto, Reinforcement Learning: An Introduction, 2nd ed., MIT Press, 2018.</w:t>
      </w:r>
    </w:p>
    <w:p>
      <w:pPr>
        <w:spacing w:after="160"/>
        <w:ind w:left="360" w:hanging="360"/>
      </w:pPr>
      <w:r>
        <w:rPr>
          <w:rFonts w:ascii="Times New Roman" w:cs="Times New Roman" w:eastAsia="Times New Roman" w:hAnsi="Times New Roman"/>
          <w:sz w:val="22"/>
          <w:szCs w:val="22"/>
        </w:rPr>
        <w:t xml:space="preserve">[8] S. M. Lundberg and S.-I. Lee, "A Unified Approach to Interpreting Model Predictions," in Advances in Neural Information Processing Systems (NeurIPS), 2017.</w:t>
      </w:r>
    </w:p>
    <w:p>
      <w:pPr>
        <w:spacing w:after="160"/>
        <w:ind w:left="360" w:hanging="360"/>
      </w:pPr>
      <w:r>
        <w:rPr>
          <w:rFonts w:ascii="Times New Roman" w:cs="Times New Roman" w:eastAsia="Times New Roman" w:hAnsi="Times New Roman"/>
          <w:sz w:val="22"/>
          <w:szCs w:val="22"/>
        </w:rPr>
        <w:t xml:space="preserve">[9] M. T. Ribeiro, S. Singh, and C. Guestrin, "Why Should I Trust You? Explaining the Predictions of Any Classifier," in Proceedings of the 22nd ACM SIGKDD International Conference on Knowledge Discovery and Data Mining, 2016, pp. 1135-1144.</w:t>
      </w:r>
    </w:p>
    <w:p>
      <w:pPr>
        <w:spacing w:after="160"/>
        <w:ind w:left="360" w:hanging="360"/>
      </w:pPr>
      <w:r>
        <w:rPr>
          <w:rFonts w:ascii="Times New Roman" w:cs="Times New Roman" w:eastAsia="Times New Roman" w:hAnsi="Times New Roman"/>
          <w:sz w:val="22"/>
          <w:szCs w:val="22"/>
        </w:rPr>
        <w:t xml:space="preserve">[10] A. Basiri et al., "Chaos Engineering," IEEE Software, vol. 33, no. 3, pp. 35-41, 2016.</w:t>
      </w:r>
    </w:p>
    <w:p>
      <w:pPr>
        <w:spacing w:after="160"/>
        <w:ind w:left="360" w:hanging="360"/>
      </w:pPr>
      <w:r>
        <w:rPr>
          <w:rFonts w:ascii="Times New Roman" w:cs="Times New Roman" w:eastAsia="Times New Roman" w:hAnsi="Times New Roman"/>
          <w:sz w:val="22"/>
          <w:szCs w:val="22"/>
        </w:rPr>
        <w:t xml:space="preserve">[11] P. Mell and T. Grance, "The NIST Definition of Cloud Computing," NIST Special Publication 800-145, 2011.</w:t>
      </w:r>
    </w:p>
    <w:p>
      <w:pPr>
        <w:spacing w:after="160"/>
        <w:ind w:left="360" w:hanging="360"/>
      </w:pPr>
      <w:r>
        <w:rPr>
          <w:rFonts w:ascii="Times New Roman" w:cs="Times New Roman" w:eastAsia="Times New Roman" w:hAnsi="Times New Roman"/>
          <w:sz w:val="22"/>
          <w:szCs w:val="22"/>
        </w:rPr>
        <w:t xml:space="preserve">[12] N. Park, J. H. Ryu, and S. Shin, "Explainable Intrusion Detection for Cyber Defenses in the Cloud," IEEE Access, vol. 10, pp. 9153-9165, 2022.</w:t>
      </w:r>
    </w:p>
    <w:p>
      <w:pPr>
        <w:spacing w:after="160"/>
        <w:ind w:left="360" w:hanging="360"/>
      </w:pPr>
      <w:r>
        <w:rPr>
          <w:rFonts w:ascii="Times New Roman" w:cs="Times New Roman" w:eastAsia="Times New Roman" w:hAnsi="Times New Roman"/>
          <w:sz w:val="22"/>
          <w:szCs w:val="22"/>
        </w:rPr>
        <w:t xml:space="preserve">[13] T. Wang, W. Wei, and A. Y. Zomaya, "Self-Healing Systems for Cloud Data Centers: A Survey," ACM Computing Surveys, vol. 54, no. 5, 2022.</w:t>
      </w:r>
    </w:p>
    <w:p>
      <w:pPr>
        <w:spacing w:after="160"/>
        <w:ind w:left="360" w:hanging="360"/>
      </w:pPr>
      <w:r>
        <w:rPr>
          <w:rFonts w:ascii="Times New Roman" w:cs="Times New Roman" w:eastAsia="Times New Roman" w:hAnsi="Times New Roman"/>
          <w:sz w:val="22"/>
          <w:szCs w:val="22"/>
        </w:rPr>
        <w:t xml:space="preserve">[14] W. Shi, J. Cao, Q. Zhang, Y. Li, and L. Xu, "Edge Computing: Vision and Challenges," IEEE Internet of Things Journal, vol. 3, no. 5, pp. 637-646, 2016.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2026-07-14T03:29:29.896Z</dcterms:created>
  <dcterms:modified xsi:type="dcterms:W3CDTF">2026-07-14T03:29:29.914Z</dcterms:modified>
</cp:coreProperties>
</file>

<file path=docProps/custom.xml><?xml version="1.0" encoding="utf-8"?>
<Properties xmlns="http://schemas.openxmlformats.org/officeDocument/2006/custom-properties" xmlns:vt="http://schemas.openxmlformats.org/officeDocument/2006/docPropsVTypes"/>
</file>