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8212A"/>
          <w:sz w:val="58"/>
        </w:rPr>
        <w:t>Marine Multi-Agent Simulation Platform</w:t>
      </w:r>
    </w:p>
    <w:p>
      <w:pPr>
        <w:pStyle w:val="SubtitleCustom"/>
        <w:jc w:val="center"/>
      </w:pPr>
      <w:r>
        <w:t>System Architecture Layout</w:t>
      </w:r>
    </w:p>
    <w:p>
      <w:pPr>
        <w:spacing w:before="400"/>
        <w:jc w:val="center"/>
      </w:pPr>
      <w:r>
        <w:rPr>
          <w:color w:val="53606C"/>
          <w:sz w:val="22"/>
        </w:rPr>
        <w:t>Architecture synthesis from the design conversation</w:t>
        <w:br/>
        <w:t>17 September 2026</w:t>
      </w:r>
    </w:p>
    <w:p/>
    <w:tbl>
      <w:tblPr>
        <w:tblW w:type="auto" w:w="0"/>
        <w:jc w:val="center"/>
        <w:tblLook w:firstColumn="1" w:firstRow="1" w:lastColumn="0" w:lastRow="0" w:noHBand="0" w:noVBand="1" w:val="04A0"/>
      </w:tblPr>
      <w:tblGrid>
        <w:gridCol w:w="10080"/>
      </w:tblGrid>
      <w:tr>
        <w:tc>
          <w:tcPr>
            <w:tcW w:type="dxa" w:w="10080"/>
            <w:shd w:fill="EEF2F5"/>
            <w:tcMar>
              <w:top w:w="140" w:type="dxa"/>
              <w:start w:w="160" w:type="dxa"/>
              <w:bottom w:w="140" w:type="dxa"/>
              <w:end w:w="160" w:type="dxa"/>
            </w:tcMar>
          </w:tcPr>
          <w:p>
            <w:r>
              <w:rPr>
                <w:b/>
              </w:rPr>
              <w:t xml:space="preserve">Document intent. </w:t>
            </w:r>
            <w:r>
              <w:t>This is a system architecture layout, not a technical specification. It defines the system’s conceptual components, responsibilities, boundaries, invariants, user workflows, and deliberate extension points. It intentionally does not freeze concrete class signatures, exact config schemas, numerical solvers, performance targets, or implementation language choices unless those were explicitly decided.</w:t>
            </w:r>
          </w:p>
        </w:tc>
      </w:tr>
    </w:tbl>
    <w:p/>
    <w:p>
      <w:r>
        <w:br w:type="page"/>
      </w:r>
    </w:p>
    <w:p>
      <w:pPr>
        <w:pStyle w:val="Heading1"/>
        <w:keepNext/>
        <w:spacing w:before="200" w:after="80"/>
      </w:pPr>
      <w:r>
        <w:t>1. Executive architecture summary</w:t>
      </w:r>
    </w:p>
    <w:p>
      <w:r>
        <w:t>The target system is a marine multi-agent simulation platform designed to make realistic ASV/USV reinforcement-learning research easy to start, easy to reproduce, and still deep enough for marine robotics researchers to override low-level behavior when necessary. The core architectural principle is high-level simplicity with low-level escape hatches: common research workflows should be achievable through configuration and the web interface, while specialist users retain access to vehicle dynamics, sensors, actuators, tasks, and model extensions.</w:t>
      </w:r>
    </w:p>
    <w:p>
      <w:r>
        <w:t>The platform is centered on three conceptual objects: Vessel, World, and Scenario. A vessel is a self-contained embodied agent with its own geometry, dynamics parameters, control interface, actuators, sensors, and optional subsystems. Every vessel exposes the same canonical six-degree-of-freedom pose and velocity representation to the rest of the platform. The primary dynamics implementation is one 6-DOF plant. A scenario may optionally run that same plant in a constrained planar 3-DOF mode, in which heave, roll, and pitch are fixed at vessel-specific equilibrium values and their associated rates are held at zero. Dynamics mode is scenario-global: two agents in the same simulation environment cannot use different dynamics models or DOF modes. The world owns water, air, weather, obstacles, shared physical fields, and collision/contact behavior. A scenario composes vessels and a world into an episode, while Task and Experiment remain separate abstractions. Parallel execution does not require identical vessels: compatible actuator and sensor components are batched independently while mapping back to canonical vessel state, and compatible work is batched across many environment instances.</w:t>
      </w:r>
    </w:p>
    <w:p>
      <w:r>
        <w:t>The same backend simulation core is used by every front end: headless programmatic runs, multi-agent RL libraries, and the web application. The web interface is first-class, but it is not a separate simulator. It creates and edits the same canonical configs used programmatically, runs the same backend, and can be used as a policy demonstration surface after training.</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DDE3E8"/>
            <w:vAlign w:val="center"/>
          </w:tcPr>
          <w:p>
            <w:r>
              <w:rPr>
                <w:b/>
              </w:rPr>
              <w:t>Area</w:t>
            </w:r>
          </w:p>
        </w:tc>
        <w:tc>
          <w:tcPr>
            <w:tcW w:type="dxa" w:w="1512"/>
            <w:shd w:fill="DDE3E8"/>
            <w:vAlign w:val="center"/>
          </w:tcPr>
          <w:p>
            <w:r>
              <w:rPr>
                <w:b/>
              </w:rPr>
              <w:t>Status</w:t>
            </w:r>
          </w:p>
        </w:tc>
        <w:tc>
          <w:tcPr>
            <w:tcW w:type="dxa" w:w="6912"/>
            <w:shd w:fill="DDE3E8"/>
            <w:vAlign w:val="center"/>
          </w:tcPr>
          <w:p>
            <w:r>
              <w:rPr>
                <w:b/>
              </w:rPr>
              <w:t>Architecture decision</w:t>
            </w:r>
          </w:p>
        </w:tc>
      </w:tr>
      <w:tr>
        <w:tc>
          <w:tcPr>
            <w:tcW w:type="dxa" w:w="2088"/>
            <w:tcMar>
              <w:top w:w="80" w:type="dxa"/>
              <w:start w:w="100" w:type="dxa"/>
              <w:bottom w:w="80" w:type="dxa"/>
              <w:end w:w="100" w:type="dxa"/>
            </w:tcMar>
            <w:vAlign w:val="top"/>
          </w:tcPr>
          <w:p>
            <w:r>
              <w:t>Core abstraction</w:t>
            </w:r>
          </w:p>
        </w:tc>
        <w:tc>
          <w:tcPr>
            <w:tcW w:type="dxa" w:w="1512"/>
            <w:tcMar>
              <w:top w:w="80" w:type="dxa"/>
              <w:start w:w="100" w:type="dxa"/>
              <w:bottom w:w="80" w:type="dxa"/>
              <w:end w:w="100" w:type="dxa"/>
            </w:tcMar>
            <w:vAlign w:val="top"/>
          </w:tcPr>
          <w:p>
            <w:r>
              <w:t>Locked</w:t>
            </w:r>
          </w:p>
        </w:tc>
        <w:tc>
          <w:tcPr>
            <w:tcW w:type="dxa" w:w="6912"/>
            <w:tcMar>
              <w:top w:w="80" w:type="dxa"/>
              <w:start w:w="100" w:type="dxa"/>
              <w:bottom w:w="80" w:type="dxa"/>
              <w:end w:w="100" w:type="dxa"/>
            </w:tcMar>
            <w:vAlign w:val="top"/>
          </w:tcPr>
          <w:p>
            <w:r>
              <w:t>Vessel + World + Scenario, with Task and Experiment kept separate.</w:t>
            </w:r>
          </w:p>
        </w:tc>
      </w:tr>
      <w:tr>
        <w:tc>
          <w:tcPr>
            <w:tcW w:type="dxa" w:w="2088"/>
            <w:tcMar>
              <w:top w:w="80" w:type="dxa"/>
              <w:start w:w="100" w:type="dxa"/>
              <w:bottom w:w="80" w:type="dxa"/>
              <w:end w:w="100" w:type="dxa"/>
            </w:tcMar>
            <w:vAlign w:val="top"/>
          </w:tcPr>
          <w:p>
            <w:r>
              <w:t>User philosophy</w:t>
            </w:r>
          </w:p>
        </w:tc>
        <w:tc>
          <w:tcPr>
            <w:tcW w:type="dxa" w:w="1512"/>
            <w:tcMar>
              <w:top w:w="80" w:type="dxa"/>
              <w:start w:w="100" w:type="dxa"/>
              <w:bottom w:w="80" w:type="dxa"/>
              <w:end w:w="100" w:type="dxa"/>
            </w:tcMar>
            <w:vAlign w:val="top"/>
          </w:tcPr>
          <w:p>
            <w:r>
              <w:t>Locked</w:t>
            </w:r>
          </w:p>
        </w:tc>
        <w:tc>
          <w:tcPr>
            <w:tcW w:type="dxa" w:w="6912"/>
            <w:tcMar>
              <w:top w:w="80" w:type="dxa"/>
              <w:start w:w="100" w:type="dxa"/>
              <w:bottom w:w="80" w:type="dxa"/>
              <w:end w:w="100" w:type="dxa"/>
            </w:tcMar>
            <w:vAlign w:val="top"/>
          </w:tcPr>
          <w:p>
            <w:r>
              <w:t>Config-first, code-optional; web-first but not web-only.</w:t>
            </w:r>
          </w:p>
        </w:tc>
      </w:tr>
      <w:tr>
        <w:tc>
          <w:tcPr>
            <w:tcW w:type="dxa" w:w="2088"/>
            <w:tcMar>
              <w:top w:w="80" w:type="dxa"/>
              <w:start w:w="100" w:type="dxa"/>
              <w:bottom w:w="80" w:type="dxa"/>
              <w:end w:w="100" w:type="dxa"/>
            </w:tcMar>
            <w:vAlign w:val="top"/>
          </w:tcPr>
          <w:p>
            <w:r>
              <w:t>Simulation core</w:t>
            </w:r>
          </w:p>
        </w:tc>
        <w:tc>
          <w:tcPr>
            <w:tcW w:type="dxa" w:w="1512"/>
            <w:tcMar>
              <w:top w:w="80" w:type="dxa"/>
              <w:start w:w="100" w:type="dxa"/>
              <w:bottom w:w="80" w:type="dxa"/>
              <w:end w:w="100" w:type="dxa"/>
            </w:tcMar>
            <w:vAlign w:val="top"/>
          </w:tcPr>
          <w:p>
            <w:r>
              <w:t>Locked</w:t>
            </w:r>
          </w:p>
        </w:tc>
        <w:tc>
          <w:tcPr>
            <w:tcW w:type="dxa" w:w="6912"/>
            <w:tcMar>
              <w:top w:w="80" w:type="dxa"/>
              <w:start w:w="100" w:type="dxa"/>
              <w:bottom w:w="80" w:type="dxa"/>
              <w:end w:w="100" w:type="dxa"/>
            </w:tcMar>
            <w:vAlign w:val="top"/>
          </w:tcPr>
          <w:p>
            <w:r>
              <w:t>Fixed deterministic master physics step, one common policy tick for active RL agents, and fixed integer internal substeps selected per environment.</w:t>
            </w:r>
          </w:p>
        </w:tc>
      </w:tr>
      <w:tr>
        <w:tc>
          <w:tcPr>
            <w:tcW w:type="dxa" w:w="3360"/>
          </w:tcPr>
          <w:p>
            <w:r>
              <w:t>Dynamics abstraction</w:t>
            </w:r>
          </w:p>
        </w:tc>
        <w:tc>
          <w:tcPr>
            <w:tcW w:type="dxa" w:w="3360"/>
          </w:tcPr>
          <w:p>
            <w:r>
              <w:t>Locked</w:t>
            </w:r>
          </w:p>
        </w:tc>
        <w:tc>
          <w:tcPr>
            <w:tcW w:type="dxa" w:w="3360"/>
          </w:tcPr>
          <w:p>
            <w:r>
              <w:t>One primary 6-DOF plant with an optional scenario-wide constrained planar 3-DOF mode derived from the same plant. Mixed dynamics models or DOF modes inside one environment are prohibited.</w:t>
            </w:r>
          </w:p>
        </w:tc>
      </w:tr>
      <w:tr>
        <w:tc>
          <w:tcPr>
            <w:tcW w:type="dxa" w:w="2088"/>
            <w:tcMar>
              <w:top w:w="80" w:type="dxa"/>
              <w:start w:w="100" w:type="dxa"/>
              <w:bottom w:w="80" w:type="dxa"/>
              <w:end w:w="100" w:type="dxa"/>
            </w:tcMar>
            <w:vAlign w:val="top"/>
          </w:tcPr>
          <w:p>
            <w:r>
              <w:t>RL interface</w:t>
            </w:r>
          </w:p>
        </w:tc>
        <w:tc>
          <w:tcPr>
            <w:tcW w:type="dxa" w:w="1512"/>
            <w:tcMar>
              <w:top w:w="80" w:type="dxa"/>
              <w:start w:w="100" w:type="dxa"/>
              <w:bottom w:w="80" w:type="dxa"/>
              <w:end w:w="100" w:type="dxa"/>
            </w:tcMar>
            <w:vAlign w:val="top"/>
          </w:tcPr>
          <w:p>
            <w:r>
              <w:t>Locked</w:t>
            </w:r>
          </w:p>
        </w:tc>
        <w:tc>
          <w:tcPr>
            <w:tcW w:type="dxa" w:w="6912"/>
            <w:tcMar>
              <w:top w:w="80" w:type="dxa"/>
              <w:start w:w="100" w:type="dxa"/>
              <w:bottom w:w="80" w:type="dxa"/>
              <w:end w:w="100" w:type="dxa"/>
            </w:tcMar>
            <w:vAlign w:val="top"/>
          </w:tcPr>
          <w:p>
            <w:r>
              <w:t>PettingZoo-compatible parallel adapter, kept thin and outside the hot loop.</w:t>
            </w:r>
          </w:p>
        </w:tc>
      </w:tr>
      <w:tr>
        <w:tc>
          <w:tcPr>
            <w:tcW w:type="dxa" w:w="2088"/>
            <w:tcMar>
              <w:top w:w="80" w:type="dxa"/>
              <w:start w:w="100" w:type="dxa"/>
              <w:bottom w:w="80" w:type="dxa"/>
              <w:end w:w="100" w:type="dxa"/>
            </w:tcMar>
            <w:vAlign w:val="top"/>
          </w:tcPr>
          <w:p>
            <w:r>
              <w:t>Vehicle creation</w:t>
            </w:r>
          </w:p>
        </w:tc>
        <w:tc>
          <w:tcPr>
            <w:tcW w:type="dxa" w:w="1512"/>
            <w:tcMar>
              <w:top w:w="80" w:type="dxa"/>
              <w:start w:w="100" w:type="dxa"/>
              <w:bottom w:w="80" w:type="dxa"/>
              <w:end w:w="100" w:type="dxa"/>
            </w:tcMar>
            <w:vAlign w:val="top"/>
          </w:tcPr>
          <w:p>
            <w:r>
              <w:t>Locked</w:t>
            </w:r>
          </w:p>
        </w:tc>
        <w:tc>
          <w:tcPr>
            <w:tcW w:type="dxa" w:w="6912"/>
            <w:tcMar>
              <w:top w:w="80" w:type="dxa"/>
              <w:start w:w="100" w:type="dxa"/>
              <w:bottom w:w="80" w:type="dxa"/>
              <w:end w:w="100" w:type="dxa"/>
            </w:tcMar>
            <w:vAlign w:val="top"/>
          </w:tcPr>
          <w:p>
            <w:r>
              <w:t>Multiple sources feed one standard vessel representation.</w:t>
            </w:r>
          </w:p>
        </w:tc>
      </w:tr>
      <w:tr>
        <w:tc>
          <w:tcPr>
            <w:tcW w:type="dxa" w:w="2088"/>
            <w:tcMar>
              <w:top w:w="80" w:type="dxa"/>
              <w:start w:w="100" w:type="dxa"/>
              <w:bottom w:w="80" w:type="dxa"/>
              <w:end w:w="100" w:type="dxa"/>
            </w:tcMar>
            <w:vAlign w:val="top"/>
          </w:tcPr>
          <w:p>
            <w:r>
              <w:t>Physics fidelity</w:t>
            </w:r>
          </w:p>
        </w:tc>
        <w:tc>
          <w:tcPr>
            <w:tcW w:type="dxa" w:w="1512"/>
            <w:tcMar>
              <w:top w:w="80" w:type="dxa"/>
              <w:start w:w="100" w:type="dxa"/>
              <w:bottom w:w="80" w:type="dxa"/>
              <w:end w:w="100" w:type="dxa"/>
            </w:tcMar>
            <w:vAlign w:val="top"/>
          </w:tcPr>
          <w:p>
            <w:r>
              <w:t>Nice-to-have</w:t>
            </w:r>
          </w:p>
        </w:tc>
        <w:tc>
          <w:tcPr>
            <w:tcW w:type="dxa" w:w="6912"/>
            <w:tcMar>
              <w:top w:w="80" w:type="dxa"/>
              <w:start w:w="100" w:type="dxa"/>
              <w:bottom w:w="80" w:type="dxa"/>
              <w:end w:w="100" w:type="dxa"/>
            </w:tcMar>
            <w:vAlign w:val="top"/>
          </w:tcPr>
          <w:p>
            <w:r>
              <w:t>Architect now for staged/continuous fidelity; implementation can come later.</w:t>
            </w:r>
          </w:p>
        </w:tc>
      </w:tr>
      <w:tr>
        <w:tc>
          <w:tcPr>
            <w:tcW w:type="dxa" w:w="2088"/>
            <w:tcMar>
              <w:top w:w="80" w:type="dxa"/>
              <w:start w:w="100" w:type="dxa"/>
              <w:bottom w:w="80" w:type="dxa"/>
              <w:end w:w="100" w:type="dxa"/>
            </w:tcMar>
            <w:vAlign w:val="top"/>
          </w:tcPr>
          <w:p>
            <w:r>
              <w:t>Performance targets</w:t>
            </w:r>
          </w:p>
        </w:tc>
        <w:tc>
          <w:tcPr>
            <w:tcW w:type="dxa" w:w="1512"/>
            <w:tcMar>
              <w:top w:w="80" w:type="dxa"/>
              <w:start w:w="100" w:type="dxa"/>
              <w:bottom w:w="80" w:type="dxa"/>
              <w:end w:w="100" w:type="dxa"/>
            </w:tcMar>
            <w:vAlign w:val="top"/>
          </w:tcPr>
          <w:p>
            <w:r>
              <w:t>Open by design</w:t>
            </w:r>
          </w:p>
        </w:tc>
        <w:tc>
          <w:tcPr>
            <w:tcW w:type="dxa" w:w="6912"/>
            <w:tcMar>
              <w:top w:w="80" w:type="dxa"/>
              <w:start w:w="100" w:type="dxa"/>
              <w:bottom w:w="80" w:type="dxa"/>
              <w:end w:w="100" w:type="dxa"/>
            </w:tcMar>
            <w:vAlign w:val="top"/>
          </w:tcPr>
          <w:p>
            <w:r>
              <w:t>No throughput or scale target is frozen yet.</w:t>
            </w:r>
          </w:p>
        </w:tc>
      </w:tr>
      <w:tr>
        <w:tc>
          <w:tcPr>
            <w:tcW w:type="dxa" w:w="2088"/>
            <w:tcMar>
              <w:top w:w="80" w:type="dxa"/>
              <w:start w:w="100" w:type="dxa"/>
              <w:bottom w:w="80" w:type="dxa"/>
              <w:end w:w="100" w:type="dxa"/>
            </w:tcMar>
            <w:vAlign w:val="top"/>
          </w:tcPr>
          <w:p>
            <w:r>
              <w:t>SDK surface</w:t>
            </w:r>
          </w:p>
        </w:tc>
        <w:tc>
          <w:tcPr>
            <w:tcW w:type="dxa" w:w="1512"/>
            <w:tcMar>
              <w:top w:w="80" w:type="dxa"/>
              <w:start w:w="100" w:type="dxa"/>
              <w:bottom w:w="80" w:type="dxa"/>
              <w:end w:w="100" w:type="dxa"/>
            </w:tcMar>
            <w:vAlign w:val="top"/>
          </w:tcPr>
          <w:p>
            <w:r>
              <w:t>Partially open</w:t>
            </w:r>
          </w:p>
        </w:tc>
        <w:tc>
          <w:tcPr>
            <w:tcW w:type="dxa" w:w="6912"/>
            <w:tcMar>
              <w:top w:w="80" w:type="dxa"/>
              <w:start w:w="100" w:type="dxa"/>
              <w:bottom w:w="80" w:type="dxa"/>
              <w:end w:w="100" w:type="dxa"/>
            </w:tcMar>
            <w:vAlign w:val="top"/>
          </w:tcPr>
          <w:p>
            <w:r>
              <w:t>Sensors/actuators/metrics are clear extension areas; final extension list is intentionally not frozen.</w:t>
            </w:r>
          </w:p>
        </w:tc>
      </w:tr>
      <w:tr>
        <w:tc>
          <w:tcPr>
            <w:tcW w:type="dxa" w:w="3360"/>
            <w:vAlign w:val="center"/>
          </w:tcPr>
          <w:p>
            <w:r>
              <w:t>Parallel execution</w:t>
            </w:r>
          </w:p>
        </w:tc>
        <w:tc>
          <w:tcPr>
            <w:tcW w:type="dxa" w:w="3360"/>
            <w:vAlign w:val="center"/>
          </w:tcPr>
          <w:p>
            <w:r>
              <w:t>Locked</w:t>
            </w:r>
          </w:p>
        </w:tc>
        <w:tc>
          <w:tcPr>
            <w:tcW w:type="dxa" w:w="3360"/>
            <w:vAlign w:val="center"/>
          </w:tcPr>
          <w:p>
            <w:r>
              <w:t>Parallel work is organized across environment × vessel populations. Canonical vessel state is uniform; compatible actuator and sensor components batch by schema with environment/owner mappings and deterministic reductions.</w:t>
            </w:r>
          </w:p>
        </w:tc>
      </w:tr>
      <w:tr>
        <w:tc>
          <w:tcPr>
            <w:tcW w:type="dxa" w:w="3360"/>
          </w:tcPr>
          <w:p>
            <w:r>
              <w:t>Reward / agent lifecycle</w:t>
            </w:r>
          </w:p>
        </w:tc>
        <w:tc>
          <w:tcPr>
            <w:tcW w:type="dxa" w:w="3360"/>
          </w:tcPr>
          <w:p>
            <w:r>
              <w:t>Locked</w:t>
            </w:r>
          </w:p>
        </w:tc>
        <w:tc>
          <w:tcPr>
            <w:tcW w:type="dxa" w:w="3360"/>
          </w:tcPr>
          <w:p>
            <w:r>
              <w:t>Tasks may use individual, team/shared, or weighted combined rewards; disabled-agent behavior is task-configurable.</w:t>
            </w:r>
          </w:p>
        </w:tc>
      </w:tr>
    </w:tbl>
    <w:p/>
    <w:p>
      <w:pPr>
        <w:jc w:val="center"/>
      </w:pPr>
      <w:r>
        <w:drawing>
          <wp:inline xmlns:a="http://schemas.openxmlformats.org/drawingml/2006/main" xmlns:pic="http://schemas.openxmlformats.org/drawingml/2006/picture">
            <wp:extent cx="6400800" cy="3817759"/>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9"/>
                    <a:stretch>
                      <a:fillRect/>
                    </a:stretch>
                  </pic:blipFill>
                  <pic:spPr>
                    <a:xfrm>
                      <a:off x="0" y="0"/>
                      <a:ext cx="6400800" cy="3817759"/>
                    </a:xfrm>
                    <a:prstGeom prst="rect"/>
                  </pic:spPr>
                </pic:pic>
              </a:graphicData>
            </a:graphic>
          </wp:inline>
        </w:drawing>
      </w:r>
    </w:p>
    <w:p>
      <w:pPr>
        <w:jc w:val="center"/>
      </w:pPr>
      <w:r>
        <w:rPr>
          <w:i/>
          <w:sz w:val="18"/>
        </w:rPr>
        <w:t>Figure 1. High-level target architecture. The defining rule is that the simulation backend is singular; user surfaces are clients of the same core and canonical configurations.</w:t>
      </w:r>
    </w:p>
    <w:p>
      <w:pPr>
        <w:pStyle w:val="Heading1"/>
        <w:keepNext/>
        <w:spacing w:before="200" w:after="80"/>
      </w:pPr>
      <w:r>
        <w:t>2. Architectural north star and design principles</w:t>
      </w:r>
    </w:p>
    <w:p>
      <w:r>
        <w:t>The system is intended to remove setup friction without hiding the marine robotics details that matter scientifically. The ideal user experience is: choose or create one or more vessels, define or generate a scenario, select a task, and train or replay a policy. A researcher should not need to modify simulator code for normal experimentation.</w:t>
      </w:r>
    </w:p>
    <w:p>
      <w:pPr>
        <w:pStyle w:val="ListBullet"/>
        <w:spacing w:after="40"/>
      </w:pPr>
      <w:r>
        <w:rPr>
          <w:b/>
        </w:rPr>
        <w:t xml:space="preserve">Config first, code optional. </w:t>
      </w:r>
      <w:r>
        <w:t>Anything that is reasonably expected to vary between experiments should be configurable without editing source code. Code remains available for truly new behavior.</w:t>
      </w:r>
    </w:p>
    <w:p>
      <w:pPr>
        <w:pStyle w:val="ListBullet"/>
        <w:spacing w:after="40"/>
      </w:pPr>
      <w:r>
        <w:rPr>
          <w:b/>
        </w:rPr>
        <w:t xml:space="preserve">One canonical backend. </w:t>
      </w:r>
      <w:r>
        <w:t>Web, CLI, programmatic workflows, policy demos, and RL adapters all use the same simulation engine and resolved configuration representation.</w:t>
      </w:r>
    </w:p>
    <w:p>
      <w:pPr>
        <w:pStyle w:val="ListBullet"/>
        <w:spacing w:after="40"/>
      </w:pPr>
      <w:r>
        <w:rPr>
          <w:b/>
        </w:rPr>
        <w:t xml:space="preserve">Simple defaults, explicit escape hatches. </w:t>
      </w:r>
      <w:r>
        <w:t>MARL researchers should be able to work at a high level; marine specialists should still be able to configure direct actuators, custom sensors, detailed vehicle models, and lower-level dynamics.</w:t>
      </w:r>
    </w:p>
    <w:p>
      <w:pPr>
        <w:pStyle w:val="ListBullet"/>
        <w:spacing w:after="40"/>
      </w:pPr>
      <w:r>
        <w:rPr>
          <w:b/>
        </w:rPr>
        <w:t xml:space="preserve">Composition over inheritance. </w:t>
      </w:r>
      <w:r>
        <w:t>Systems are assembled from reusable component definitions plus small overrides. Every run resolves to a fully explicit configuration.</w:t>
      </w:r>
    </w:p>
    <w:p>
      <w:pPr>
        <w:pStyle w:val="ListBullet"/>
        <w:spacing w:after="40"/>
      </w:pPr>
      <w:r>
        <w:rPr>
          <w:b/>
        </w:rPr>
        <w:t xml:space="preserve">Reproducibility by construction. </w:t>
      </w:r>
      <w:r>
        <w:t>Seeds, resolved configs, versions, termination reasons, and the sampled scenario for each episode are preserved.</w:t>
      </w:r>
    </w:p>
    <w:p>
      <w:pPr>
        <w:pStyle w:val="ListBullet"/>
        <w:spacing w:after="40"/>
      </w:pPr>
      <w:r>
        <w:rPr>
          <w:b/>
        </w:rPr>
        <w:t xml:space="preserve">Extensibility for behavior, rigidity for invariants. </w:t>
      </w:r>
      <w:r>
        <w:t>Sensors, actuators, metrics, tasks, policies, and vehicle models can be extended. Coordinate conventions, units, lifecycle order, and other core invariants should not be casually replaceable.</w:t>
      </w:r>
    </w:p>
    <w:p>
      <w:pPr>
        <w:pStyle w:val="ListBullet"/>
        <w:spacing w:after="40"/>
      </w:pPr>
      <w:r>
        <w:t>High fidelity is optional, not mandatory. Researchers can use abstract sensing and the constrained planar mode when studying coordination, then move to the primary full 6-DOF dynamics and richer sensing/physics when required. Dynamics-mode changes occur only between episodes or training stages, never during an episode.</w:t>
      </w:r>
    </w:p>
    <w:p>
      <w:pPr>
        <w:pStyle w:val="ListBullet"/>
        <w:spacing w:after="40"/>
      </w:pPr>
      <w:r>
        <w:t>Heterogeneity is native. Different vessels can have different hulls, dynamics parameters, sensors, capabilities, actuator layouts, operating limits, and controllers inside the same environment. Heterogeneity does not mean mixing different dynamics models or DOF modes within one environment; the scenario selects one shared dynamics mode for all vessels.</w:t>
      </w:r>
    </w:p>
    <w:p>
      <w:pPr>
        <w:pStyle w:val="ListBullet"/>
        <w:spacing w:after="40"/>
      </w:pPr>
      <w:r>
        <w:rPr>
          <w:b/>
        </w:rPr>
        <w:t xml:space="preserve">Physical multi-agent interaction is native. </w:t>
      </w:r>
      <w:r>
        <w:t>Agent interaction is not limited to observation and collision; the world architecture allows vessels to modify shared environmental fields such as local wake/disturbance fields.</w:t>
      </w:r>
    </w:p>
    <w:p>
      <w:pPr>
        <w:pStyle w:val="Heading2"/>
      </w:pPr>
      <w:r>
        <w:t>2.1 Consequential decision rationale</w:t>
      </w:r>
    </w:p>
    <w:p>
      <w:pPr>
        <w:pStyle w:val="ListBullet"/>
      </w:pPr>
      <w:r>
        <w:t>The web interface remains a client of the same backend/configs so demos, training, and headless experiments cannot silently diverge.</w:t>
      </w:r>
    </w:p>
    <w:p>
      <w:pPr>
        <w:pStyle w:val="ListBullet"/>
      </w:pPr>
      <w:r>
        <w:t>PettingZoo remains an adapter rather than a core dependency so MARL interoperability does not dictate physics data structures.</w:t>
      </w:r>
    </w:p>
    <w:p>
      <w:pPr>
        <w:pStyle w:val="ListBullet"/>
      </w:pPr>
      <w:r>
        <w:t>Component batching is used instead of one giant homogeneous vehicle tensor so heterogeneous sensors and actuators do not block GPU/vector execution.</w:t>
      </w:r>
    </w:p>
    <w:p>
      <w:pPr>
        <w:pStyle w:val="ListBullet"/>
      </w:pPr>
      <w:r>
        <w:t>A fixed master clock plus fixed integer substeps keeps timing deterministic while allowing the 6-DOF plant to meet stability requirements without forcing policy and sensor rates to equal the integrator rate.</w:t>
      </w:r>
    </w:p>
    <w:p>
      <w:pPr>
        <w:pStyle w:val="ListBullet"/>
      </w:pPr>
      <w:r>
        <w:t>Exact determinism on the same supported backend is retained even when it costs some throughput because reproducible research and debugging are core platform goals.</w:t>
      </w:r>
    </w:p>
    <w:p>
      <w:pPr>
        <w:pStyle w:val="ListBullet"/>
      </w:pPr>
      <w:r>
        <w:t>One dynamics mode per environment avoids mixed-model contact, timing, and validation semantics while still allowing heterogeneous vessel geometry, parameters, sensors, and actuators.</w:t>
      </w:r>
    </w:p>
    <w:p>
      <w:pPr>
        <w:pStyle w:val="ListBullet"/>
      </w:pPr>
      <w:r>
        <w:t>The 6-DOF plant is primary because the platform should converge on one dynamics implementation rather than maintain two independent plants. The 3-DOF option is a constrained operating mode of that plant, not a second hydrodynamic model.</w:t>
      </w:r>
    </w:p>
    <w:p>
      <w:pPr>
        <w:pStyle w:val="ListBullet"/>
      </w:pPr>
      <w:r>
        <w:t>NED/FRD + SI are canonical because they align with marine-vehicle conventions and prevent ambiguous sign/frame semantics inside the physics core; other conventions are boundary concerns.</w:t>
      </w:r>
    </w:p>
    <w:p>
      <w:pPr>
        <w:pStyle w:val="Heading1"/>
        <w:keepNext/>
        <w:spacing w:before="200" w:after="80"/>
      </w:pPr>
      <w:r>
        <w:t>3. Core conceptual model</w:t>
      </w:r>
    </w:p>
    <w:p>
      <w:pPr>
        <w:pStyle w:val="Heading2"/>
        <w:keepNext/>
        <w:spacing w:before="200" w:after="80"/>
      </w:pPr>
      <w:r>
        <w:t>3.1 Vessel</w:t>
      </w:r>
    </w:p>
    <w:p>
      <w:r>
        <w:t>The vessel is the central embodied-agent abstraction. It is deliberately broader than a CAD asset and deliberately narrower than an entire scenario. Any source of a vessel model—manual configuration, imported model, procedural generation, or an automated CAD-to-CFD pipeline—must ultimately produce the same conceptual vessel object.</w:t>
      </w:r>
    </w:p>
    <w:p>
      <w:pPr>
        <w:pStyle w:val="ListBullet"/>
        <w:spacing w:after="40"/>
      </w:pPr>
      <w:r>
        <w:rPr>
          <w:b/>
        </w:rPr>
        <w:t xml:space="preserve">Physical definition. </w:t>
      </w:r>
      <w:r>
        <w:t>Collision/physical geometry, mass properties, inertia, dimensions, buoyancy-related properties, and operating limits.</w:t>
      </w:r>
    </w:p>
    <w:p>
      <w:pPr>
        <w:pStyle w:val="ListBullet"/>
        <w:spacing w:after="40"/>
      </w:pPr>
      <w:r>
        <w:t>Dynamics model. One primary 6-DOF marine dynamics plant governs how forces, moments, environment, and control inputs change vessel state. A scenario may enable a constrained planar 3-DOF mode of this same plant; this is not a second vessel architecture or a separate set of hydrodynamic equations.</w:t>
      </w:r>
    </w:p>
    <w:p>
      <w:pPr>
        <w:pStyle w:val="ListBullet"/>
        <w:spacing w:after="40"/>
      </w:pPr>
      <w:r>
        <w:rPr>
          <w:b/>
        </w:rPr>
        <w:t xml:space="preserve">Control and actuators. </w:t>
      </w:r>
      <w:r>
        <w:t>Each vessel defines its own actuator set and control mapping. Different vessels are not forced into a single hardware control vector.</w:t>
      </w:r>
    </w:p>
    <w:p>
      <w:pPr>
        <w:pStyle w:val="ListBullet"/>
        <w:spacing w:after="40"/>
      </w:pPr>
      <w:r>
        <w:rPr>
          <w:b/>
        </w:rPr>
        <w:t xml:space="preserve">Sensors. </w:t>
      </w:r>
      <w:r>
        <w:t>Sensors are attached to explicit poses relative to the vessel body frame and carry their own measurement properties.</w:t>
      </w:r>
    </w:p>
    <w:p>
      <w:pPr>
        <w:pStyle w:val="ListBullet"/>
        <w:spacing w:after="40"/>
      </w:pPr>
      <w:r>
        <w:t>Runtime state. A canonical 6-DOF pose and linear/angular velocity representation is exposed externally for every vessel, plus actuator state and optional subsystem state such as energy, health, or damage. In constrained planar mode, inactive heave/roll/pitch states remain at vessel-specific equilibrium values and their associated rates remain zero.</w:t>
      </w:r>
    </w:p>
    <w:p>
      <w:pPr>
        <w:pStyle w:val="ListBullet"/>
        <w:spacing w:after="40"/>
      </w:pPr>
      <w:r>
        <w:rPr>
          <w:b/>
        </w:rPr>
        <w:t xml:space="preserve">Optional capabilities. </w:t>
      </w:r>
      <w:r>
        <w:t>Communication hardware/model, wake/disturbance emission, energy model, component health, and other future modules.</w:t>
      </w:r>
    </w:p>
    <w:p>
      <w:pPr>
        <w:pStyle w:val="ListBullet"/>
        <w:spacing w:after="40"/>
      </w:pPr>
      <w:r>
        <w:rPr>
          <w:b/>
        </w:rPr>
        <w:t xml:space="preserve">Provenance. </w:t>
      </w:r>
      <w:r>
        <w:t>The vessel definition should retain whether its dynamics were manually defined, imported, derived from CFD, measured, calibrated, procedurally generated, or later adjusted.</w:t>
      </w:r>
    </w:p>
    <w:p>
      <w:pPr>
        <w:pStyle w:val="ListBullet"/>
      </w:pPr>
      <w:r>
        <w:t>Validated operating envelope. Each vessel/dynamics parameterization declares the range of speeds, actuator commands, environmental conditions, and numerical step requirements for which it has been validated. Scenario validation uses these declarations rather than silently extrapolating beyond known-safe conditions.</w:t>
      </w:r>
    </w:p>
    <w:tbl>
      <w:tblPr>
        <w:tblW w:type="auto" w:w="0"/>
        <w:jc w:val="center"/>
        <w:tblLook w:firstColumn="1" w:firstRow="1" w:lastColumn="0" w:lastRow="0" w:noHBand="0" w:noVBand="1" w:val="04A0"/>
      </w:tblPr>
      <w:tblGrid>
        <w:gridCol w:w="10080"/>
      </w:tblGrid>
      <w:tr>
        <w:tc>
          <w:tcPr>
            <w:tcW w:type="dxa" w:w="10080"/>
            <w:shd w:fill="EEF2F5"/>
            <w:tcMar>
              <w:top w:w="140" w:type="dxa"/>
              <w:start w:w="160" w:type="dxa"/>
              <w:bottom w:w="140" w:type="dxa"/>
              <w:end w:w="160" w:type="dxa"/>
            </w:tcMar>
          </w:tcPr>
          <w:p>
            <w:r>
              <w:rPr>
                <w:b/>
              </w:rPr>
              <w:t xml:space="preserve">Important architectural decision. </w:t>
            </w:r>
            <w:r>
              <w:t>CAD is not the vessel abstraction. CAD-to-model is one vessel creation path. This is what allows users to generate random hulls, import existing models, hand-author parameters, or use future ML model generators without changing the rest of the simulator.</w:t>
            </w:r>
          </w:p>
        </w:tc>
      </w:tr>
    </w:tbl>
    <w:p/>
    <w:p>
      <w:pPr>
        <w:pStyle w:val="Heading3"/>
      </w:pPr>
      <w:r>
        <w:t>3.1.1 Canonical state and unified dynamics plant</w:t>
      </w:r>
    </w:p>
    <w:p>
      <w:pPr/>
      <w:r>
        <w:t>The current simulator's separate 3-DOF and 6-DOF plants should converge on one primary 6-DOF dynamics implementation behind the standard vessel interface. The optional 3-DOF behavior is a constrained operating mode of that implementation rather than a second plant. The rest of the system therefore never branches between separate 3-DOF and 6-DOF vessel types.</w:t>
      </w:r>
    </w:p>
    <w:p>
      <w:pPr>
        <w:pStyle w:val="ListBullet"/>
      </w:pPr>
      <w:r>
        <w:t>Canonical external state. Every vessel exposes position, orientation, linear velocity, and angular velocity in a full 6-DOF representation at all times. This keeps transforms, sensors, logging, observation schemas, and web visualization stable across fidelity stages.</w:t>
      </w:r>
    </w:p>
    <w:p>
      <w:pPr>
        <w:pStyle w:val="ListBullet"/>
      </w:pPr>
      <w:r>
        <w:t>Constrained planar 3-DOF mode. The same 6-DOF plant is run with heave, roll, and pitch constrained to vessel-specific equilibrium values and with heave, roll, and pitch rates held at zero. Surge, sway, and yaw remain active. The implementation may optimize away inactive calculations, but it must not introduce a separate coefficient set or independent hydrodynamic equation family.</w:t>
      </w:r>
    </w:p>
    <w:p>
      <w:pPr>
        <w:pStyle w:val="ListBullet"/>
      </w:pPr>
      <w:r>
        <w:t>Primary full 6-DOF mode. Surge, sway, heave, roll, pitch, and yaw all evolve and can respond to actuator loads, water and air forces, buoyancy/restoring effects, contact, and other enabled physics. This is the primary dynamics path to be debugged and validated.</w:t>
      </w:r>
    </w:p>
    <w:p>
      <w:pPr>
        <w:pStyle w:val="ListBullet"/>
      </w:pPr>
      <w:r>
        <w:t>Common consumers. World queries, sensors, collision/contact, logging, web visualization, and RL adapters consume the same canonical vessel state and should not depend on the selected dynamics implementation.</w:t>
      </w:r>
    </w:p>
    <w:p>
      <w:pPr>
        <w:pStyle w:val="ListBullet"/>
      </w:pPr>
      <w:r>
        <w:t>Common force/control boundary. Actuators and environmental models provide forces and moments through one stable contract. In full 6-DOF mode the entire wrench is eligible to affect motion; in constrained planar mode only the active surge/sway/yaw components can evolve the state.</w:t>
      </w:r>
    </w:p>
    <w:p>
      <w:pPr>
        <w:pStyle w:val="ListBullet"/>
      </w:pPr>
      <w:r>
        <w:t>Mode changes are explicit and episode-bounded. A simulation environment selects either full 6-DOF or constrained planar 3-DOF before reset, and every vessel in that environment uses that same mode for the entire episode. Mid-episode switching is prohibited in V1. Between episodes, entering full 6-DOF preserves planar state and initializes heave/roll/pitch to the vessel equilibrium pose with their rates at zero; entering constrained planar mode preserves planar state and clamps the inactive components to equilibrium.</w:t>
      </w:r>
    </w:p>
    <w:p>
      <w:pPr>
        <w:pStyle w:val="ListBullet"/>
      </w:pPr>
      <w:r>
        <w:t>Single-mode environment invariant. A single simulation environment cannot contain one vessel in full 6-DOF and another in constrained planar mode, nor can it mix different dynamics implementations. Vessel heterogeneity is expressed through geometry, parameters, sensors, actuators, and capabilities—not through different plant models inside the same environment.</w:t>
      </w:r>
    </w:p>
    <w:p>
      <w:pPr>
        <w:pStyle w:val="Heading2"/>
        <w:keepNext/>
        <w:spacing w:before="200" w:after="80"/>
      </w:pPr>
      <w:r>
        <w:t>3.2 World</w:t>
      </w:r>
    </w:p>
    <w:p>
      <w:r>
        <w:t>The world owns the environment external to vessels. It must represent both the marine medium and the atmosphere, as well as geometry and shared interactions. The world is not merely a visual scene.</w:t>
      </w:r>
    </w:p>
    <w:p>
      <w:pPr>
        <w:pStyle w:val="ListBullet"/>
        <w:spacing w:after="40"/>
      </w:pPr>
      <w:r>
        <w:rPr>
          <w:b/>
        </w:rPr>
        <w:t xml:space="preserve">Water environment. </w:t>
      </w:r>
      <w:r>
        <w:t>Currents, waves, spatially varying fields, and other water-side disturbances required by the selected fidelity model.</w:t>
      </w:r>
    </w:p>
    <w:p>
      <w:pPr>
        <w:pStyle w:val="ListBullet"/>
        <w:spacing w:after="40"/>
      </w:pPr>
      <w:r>
        <w:rPr>
          <w:b/>
        </w:rPr>
        <w:t xml:space="preserve">Air environment. </w:t>
      </w:r>
      <w:r>
        <w:t>Wind and other atmospheric forces that affect vessel motion.</w:t>
      </w:r>
    </w:p>
    <w:p>
      <w:pPr>
        <w:pStyle w:val="ListBullet"/>
        <w:spacing w:after="40"/>
      </w:pPr>
      <w:r>
        <w:rPr>
          <w:b/>
        </w:rPr>
        <w:t xml:space="preserve">Perception conditions. </w:t>
      </w:r>
      <w:r>
        <w:t>Fog, rain, visibility, and similar conditions that alter what sensors perceive without necessarily changing vessel dynamics.</w:t>
      </w:r>
    </w:p>
    <w:p>
      <w:pPr>
        <w:pStyle w:val="ListBullet"/>
        <w:spacing w:after="40"/>
      </w:pPr>
      <w:r>
        <w:rPr>
          <w:b/>
        </w:rPr>
        <w:t xml:space="preserve">Geography and obstacles. </w:t>
      </w:r>
      <w:r>
        <w:t>Static world geometry, boundaries, navigational obstacles, imported maps, and collision geometry.</w:t>
      </w:r>
    </w:p>
    <w:p>
      <w:pPr>
        <w:pStyle w:val="ListBullet"/>
        <w:spacing w:after="40"/>
      </w:pPr>
      <w:r>
        <w:rPr>
          <w:b/>
        </w:rPr>
        <w:t xml:space="preserve">Shared physical fields. </w:t>
      </w:r>
      <w:r>
        <w:t>A vessel may write a local disturbance field into the world, and other vessels may sample it. This is the architectural basis for lightweight wake or vessel-vessel hydrodynamic coupling.</w:t>
      </w:r>
    </w:p>
    <w:p>
      <w:pPr>
        <w:pStyle w:val="ListBullet"/>
        <w:spacing w:after="40"/>
      </w:pPr>
      <w:r>
        <w:rPr>
          <w:b/>
        </w:rPr>
        <w:t xml:space="preserve">Environment query interface. </w:t>
      </w:r>
      <w:r>
        <w:t>Vessels and sensors query the world for conditions at a location and time; they do not own global environment state.</w:t>
      </w:r>
    </w:p>
    <w:p>
      <w:r>
        <w:t>Obstacle behavior is explicitly physical. Geometry must participate in collision/contact and therefore affect vessel motion. Visual-only obstacles are not considered sufficient for the core simulation model.</w:t>
      </w:r>
    </w:p>
    <w:p>
      <w:pPr>
        <w:pStyle w:val="Heading2"/>
        <w:keepNext/>
        <w:spacing w:before="200" w:after="80"/>
      </w:pPr>
      <w:r>
        <w:t>3.3 Scenario</w:t>
      </w:r>
    </w:p>
    <w:p>
      <w:r>
        <w:t>A scenario composes a set of vessel definitions into a world and specifies the initial conditions for an episode. It determines which vessels exist, where they begin, what world configuration is active, and which task is attached. It does not own the task logic itself.</w:t>
      </w:r>
    </w:p>
    <w:p>
      <w:pPr>
        <w:pStyle w:val="Heading2"/>
        <w:keepNext/>
        <w:spacing w:before="200" w:after="80"/>
      </w:pPr>
      <w:r>
        <w:t>3.4 Task</w:t>
      </w:r>
    </w:p>
    <w:p>
      <w:r>
        <w:t>A task defines what the agents are trying to accomplish: reward logic, success criteria, failure conditions, agent-lifecycle consequences, and task-specific termination. Initial tasks should remain intentionally basic. The key architectural requirement is that common new tasks can be created through configuration rather than requiring source-code changes. More complex tasks can use an extension interface later.</w:t>
      </w:r>
    </w:p>
    <w:p>
      <w:pPr>
        <w:pStyle w:val="ListBullet"/>
      </w:pPr>
      <w:r>
        <w:t>Reward structure. A task may produce per-agent rewards, a shared/team reward, or a weighted combination of individual and team components. Reward components are named and loggable so the experiment record can distinguish what drove learning from what was merely measured.</w:t>
      </w:r>
    </w:p>
    <w:p>
      <w:pPr>
        <w:pStyle w:val="ListBullet"/>
      </w:pPr>
      <w:r>
        <w:t>Agent lifecycle policy. A task declares what a vehicle failure or disable event means for the episode: terminate the whole episode, deactivate that RL agent while the physical entity remains in the world, or another explicitly supported task behavior. Silent implicit removal is not allowed.</w:t>
      </w:r>
    </w:p>
    <w:p>
      <w:pPr>
        <w:pStyle w:val="Heading2"/>
        <w:keepNext/>
        <w:spacing w:before="200" w:after="80"/>
      </w:pPr>
      <w:r>
        <w:t>3.5 Experiment</w:t>
      </w:r>
    </w:p>
    <w:p>
      <w:r>
        <w:t>An experiment specifies how scenarios are generated and run. It selects a scenario template, parameter distributions, seeds, task configuration, training/evaluation mode, logging profile, policy interface, and episode count. This keeps “what the world is” separate from “how the study samples and runs worlds.”</w:t>
      </w:r>
    </w:p>
    <w:p>
      <w:pPr>
        <w:pStyle w:val="Heading1"/>
        <w:keepNext/>
        <w:spacing w:before="200" w:after="80"/>
      </w:pPr>
      <w:r>
        <w:t>4. Vessel control and actuator architecture</w:t>
      </w:r>
    </w:p>
    <w:p>
      <w:r>
        <w:t>Different vessels may have fundamentally different control mechanisms. The architecture therefore supports two control modes at the high-level interface rather than imposing one universal action representation.</w:t>
      </w:r>
    </w:p>
    <w:p>
      <w:pPr>
        <w:pStyle w:val="ListBullet"/>
        <w:spacing w:after="40"/>
      </w:pPr>
      <w:r>
        <w:rPr>
          <w:b/>
        </w:rPr>
        <w:t xml:space="preserve">High-level control mode. </w:t>
      </w:r>
      <w:r>
        <w:t>A policy can output normalized or semantic commands such as throttle, desired heading, desired speed, or turn command. A vessel-specific controller/autopilot maps those commands into the vessel’s native actuators.</w:t>
      </w:r>
    </w:p>
    <w:p>
      <w:pPr>
        <w:pStyle w:val="ListBullet"/>
        <w:spacing w:after="40"/>
      </w:pPr>
      <w:r>
        <w:rPr>
          <w:b/>
        </w:rPr>
        <w:t xml:space="preserve">Direct actuator mode. </w:t>
      </w:r>
      <w:r>
        <w:t>A policy can bypass the autopilot and command the actual actuators directly—for example left and right thruster commands, rudder angle, sail control, or other vessel-specific inputs.</w:t>
      </w:r>
    </w:p>
    <w:p>
      <w:r>
        <w:t>The selected action mode is explicit in configuration and in the policy contract. This allows cross-vessel learning experiments at a common high level while preserving hardware-realistic low-level control when that is the research question.</w:t>
      </w:r>
    </w:p>
    <w:p>
      <w:r>
        <w:t>Actuators themselves are vessel components with defined command domains, dynamics/latency where applicable, limits, and mounting/force application geometry. The existing actuator SDK concept should be preserved and brought under this common contract.</w:t>
      </w:r>
    </w:p>
    <w:p>
      <w:pPr>
        <w:pStyle w:val="Heading1"/>
        <w:keepNext/>
        <w:spacing w:before="200" w:after="80"/>
      </w:pPr>
      <w:r>
        <w:t>5. Sensing and observation architecture</w:t>
      </w:r>
    </w:p>
    <w:p>
      <w:r>
        <w:t>The sensing system separates three distinct concepts that should never be silently conflated: simulated physical sensors, abstract sensors, and ground-truth state.</w:t>
      </w:r>
    </w:p>
    <w:p>
      <w:pPr>
        <w:pStyle w:val="Heading2"/>
        <w:keepNext/>
        <w:spacing w:before="200" w:after="80"/>
      </w:pPr>
      <w:r>
        <w:t>5.1 Physical sensors</w:t>
      </w:r>
    </w:p>
    <w:p>
      <w:r>
        <w:t>Physical sensors simulate the behavior of hardware. Current capabilities discussed include sonar, LiDAR, GPS, and IMU, and the existing custom-sensor SDK remains part of the target architecture. A camera or LiDAR is not represented simply by its type; its pose relative to the vessel, orientation, field of view or scan geometry, update rate, latency, and noise are all part of its configuration.</w:t>
      </w:r>
    </w:p>
    <w:p>
      <w:pPr>
        <w:pStyle w:val="Heading2"/>
        <w:keepNext/>
        <w:spacing w:before="200" w:after="80"/>
      </w:pPr>
      <w:r>
        <w:t>5.2 Abstract sensors</w:t>
      </w:r>
    </w:p>
    <w:p>
      <w:r>
        <w:t>Abstract sensors provide structured information derived from world ground truth without running a full perception pipeline. They exist so coordination and decision-making research does not need to pay the cost of ray tracing or vision models when perception itself is not the object of study. An abstract sensor still behaves like a sensor: it has a declared range or field of view, output schema, update rate, frame, and simple seed-driven numeric noise.</w:t>
      </w:r>
    </w:p>
    <w:p>
      <w:r>
        <w:t>Version 1 deliberately excludes richer perception-error models such as false positives, false negatives, hallucinated objects, or learned detector uncertainty. Those remain a future extension point.</w:t>
      </w:r>
    </w:p>
    <w:p>
      <w:pPr>
        <w:pStyle w:val="Heading2"/>
        <w:keepNext/>
        <w:spacing w:before="200" w:after="80"/>
      </w:pPr>
      <w:r>
        <w:t>5.3 Ground-truth mode</w:t>
      </w:r>
    </w:p>
    <w:p>
      <w:r>
        <w:t>Ground truth is exposed explicitly as a debugging/baseline mode rather than masquerading as a sensor. This makes it clear when an algorithm receives privileged simulator state.</w:t>
      </w:r>
    </w:p>
    <w:p>
      <w:pPr>
        <w:pStyle w:val="Heading2"/>
        <w:keepNext/>
        <w:spacing w:before="200" w:after="80"/>
      </w:pPr>
      <w:r>
        <w:t>5.4 Sensor contract</w:t>
      </w:r>
    </w:p>
    <w:p>
      <w:pPr>
        <w:pStyle w:val="ListBullet"/>
        <w:spacing w:after="40"/>
      </w:pPr>
      <w:r>
        <w:t>Every sensor declares its type and mounting transform relative to a vessel frame.</w:t>
      </w:r>
    </w:p>
    <w:p>
      <w:pPr>
        <w:pStyle w:val="ListBullet"/>
        <w:spacing w:after="40"/>
      </w:pPr>
      <w:r>
        <w:t>Every sensor declares an update rate and may declare latency.</w:t>
      </w:r>
    </w:p>
    <w:p>
      <w:pPr>
        <w:pStyle w:val="ListBullet"/>
        <w:spacing w:after="40"/>
      </w:pPr>
      <w:r>
        <w:t>Noise is seed-driven so deterministic runs remain reproducible.</w:t>
      </w:r>
    </w:p>
    <w:p>
      <w:pPr>
        <w:pStyle w:val="ListBullet"/>
        <w:spacing w:after="40"/>
      </w:pPr>
      <w:r>
        <w:t>Outputs have explicit schemas, units, and coordinate frames.</w:t>
      </w:r>
    </w:p>
    <w:p>
      <w:pPr>
        <w:pStyle w:val="ListBullet"/>
        <w:spacing w:after="40"/>
      </w:pPr>
      <w:r>
        <w:t>The simulation clock drives sensor timing; sensors do not advance time independently.</w:t>
      </w:r>
    </w:p>
    <w:p>
      <w:pPr>
        <w:pStyle w:val="ListBullet"/>
        <w:spacing w:after="40"/>
      </w:pPr>
      <w:r>
        <w:t>All sensor outputs are normalized to SI units inside the simulator. External/imported conventions are converted at the boundary.</w:t>
      </w:r>
    </w:p>
    <w:p>
      <w:pPr>
        <w:pStyle w:val="ListBullet"/>
        <w:spacing w:after="40"/>
      </w:pPr>
      <w:r>
        <w:t>Custom SDK sensors implement the same lifecycle and data contract as built-in sensors.</w:t>
      </w:r>
    </w:p>
    <w:p>
      <w:r>
        <w:t>The observation configuration then declares exactly which sensor outputs, derived features, or ground-truth fields the policy receives. That observation contract is frozen for a given experiment and recorded with the policy bundle.</w:t>
      </w:r>
    </w:p>
    <w:p>
      <w:pPr>
        <w:pStyle w:val="Heading1"/>
        <w:keepNext/>
        <w:spacing w:before="200" w:after="80"/>
      </w:pPr>
      <w:r>
        <w:t>6. Multi-agent interaction architecture</w:t>
      </w:r>
    </w:p>
    <w:p>
      <w:r>
        <w:t>Multi-agent support is not treated as “run several copies of a single-agent boat.” Heterogeneity, vessel-vessel contact, and environment-mediated interaction are native architectural concerns.</w:t>
      </w:r>
    </w:p>
    <w:p>
      <w:pPr>
        <w:pStyle w:val="Heading2"/>
        <w:keepNext/>
        <w:spacing w:before="200" w:after="80"/>
      </w:pPr>
      <w:r>
        <w:t>6.1 Heterogeneous vessels</w:t>
      </w:r>
    </w:p>
    <w:p>
      <w:r>
        <w:t>Different agents in the same scenario may have different hulls, dynamics parameters, actuators, sensors, control mappings, operating limits, and optional subsystems. They may not use different dynamics implementations or DOF modes within the same environment. The core loop must not assume identical action or observation spaces, and the parallel execution model must not require every vessel to share the same sensor or actuator tensor shape. Heterogeneity is handled by keeping canonical vessel state uniform while batching only compatible component types or schemas.</w:t>
      </w:r>
    </w:p>
    <w:p>
      <w:pPr>
        <w:pStyle w:val="Heading2"/>
        <w:keepNext/>
        <w:spacing w:before="200" w:after="80"/>
      </w:pPr>
      <w:r>
        <w:t>6.2 Collision and contact</w:t>
      </w:r>
    </w:p>
    <w:p>
      <w:r>
        <w:t>The world supports vessel-static obstacle, vessel-dynamic obstacle, vessel-vessel, and world-boundary contacts. A collision is not only an event flag; the physics layer must produce a contact response that changes motion. Contact detection may use full 3-D geometry in either dynamics mode. In full 6-DOF mode the resulting contact wrench can affect all six degrees of freedom. In constrained planar mode the contact wrench is projected onto surge, sway, and yaw; out-of-plane response is intentionally not represented and is a documented fidelity limitation. Task logic independently decides whether the collision causes a reward penalty, episode termination, damage, or no task-level consequence.</w:t>
      </w:r>
    </w:p>
    <w:p>
      <w:pPr>
        <w:pStyle w:val="Heading2"/>
        <w:keepNext/>
        <w:spacing w:before="200" w:after="80"/>
      </w:pPr>
      <w:r>
        <w:t>6.3 Persistent damage</w:t>
      </w:r>
    </w:p>
    <w:p>
      <w:r>
        <w:t>Persistent damage is a planned optional subsystem, not a V1 requirement. The architecture should allow collision severity to degrade vessel capabilities—for example reduced thrust, sensor loss, or component failure—without making damage mandatory for every simulation.</w:t>
      </w:r>
    </w:p>
    <w:p>
      <w:pPr>
        <w:pStyle w:val="Heading2"/>
        <w:keepNext/>
        <w:spacing w:before="200" w:after="80"/>
      </w:pPr>
      <w:r>
        <w:t>6.4 Dynamic obstacles and reactive entities</w:t>
      </w:r>
    </w:p>
    <w:p>
      <w:r>
        <w:t>Two types of moving world object are supported conceptually. Simple dynamic obstacles may follow predefined kinematic trajectories and do not need a full vessel stack. Anything that reacts meaningfully to the environment, another vessel, or navigational rules should instead be represented as a full simulated entity. A full entity may be controlled by a learned policy, scripted controller, autopilot, or human input; “agent” therefore does not imply “RL-controlled.” This avoids a second, weaker behavior system that duplicates vessel logic and provides a clean path for non-learning traffic.</w:t>
      </w:r>
    </w:p>
    <w:p>
      <w:pPr>
        <w:pStyle w:val="Heading2"/>
        <w:keepNext/>
        <w:spacing w:before="200" w:after="80"/>
      </w:pPr>
      <w:r>
        <w:t>6.5 Environment-mediated physical coupling</w:t>
      </w:r>
    </w:p>
    <w:p>
      <w:r>
        <w:t>The world can hold shared disturbance fields that vessels both write to and sample. This enables lightweight wake or flow coupling: a vessel emits a local disturbance based on its state; nearby vessels experience the modified water field. Shared fields use double-buffered semantics to remove agent-order dependence: every vessel samples the immutable field for the current step, new disturbances are accumulated deterministically into the next field after vessel updates, and the buffers swap only at the step boundary. The exact wake model remains open; full CFD-to-CFD vessel interaction is not required for this architecture.</w:t>
      </w:r>
    </w:p>
    <w:p>
      <w:pPr>
        <w:pStyle w:val="Heading2"/>
        <w:keepNext/>
        <w:spacing w:before="200" w:after="80"/>
      </w:pPr>
      <w:r>
        <w:t>6.6 Communication</w:t>
      </w:r>
    </w:p>
    <w:p>
      <w:r>
        <w:t>Communication remains an optional capability rather than a core architectural claim. A vessel may expose communication hardware, while the world or a communication service can apply range, latency, packet loss, or bandwidth constraints. The architecture should not block this, but the initial platform does not depend on empirically validated communication models.</w:t>
      </w:r>
    </w:p>
    <w:p>
      <w:pPr>
        <w:pStyle w:val="Heading2"/>
      </w:pPr>
      <w:r>
        <w:t>6.7 Agent lifecycle and disabled entities</w:t>
      </w:r>
    </w:p>
    <w:p>
      <w:pPr/>
      <w:r>
        <w:t>Agent lifecycle is task-configurable rather than hard-coded into the simulation core. When an RL-controlled vessel becomes disabled, the task may end the episode or deactivate that learning agent while leaving the physical vessel in the world. If the entity remains, it follows an explicitly configured fallback behavior such as zero actuation, passive drift, or a non-learning controller. Removing the physical entity is allowed only when the task explicitly requests it. The active RL-agent set and the set of physical entities are therefore related but not identical.</w:t>
      </w:r>
    </w:p>
    <w:p>
      <w:pPr>
        <w:pStyle w:val="Heading1"/>
        <w:keepNext/>
        <w:spacing w:before="200" w:after="80"/>
      </w:pPr>
      <w:r>
        <w:t>7. Coordinate systems, units, and simulation time</w:t>
      </w:r>
    </w:p>
    <w:p>
      <w:pPr>
        <w:pStyle w:val="Heading2"/>
        <w:keepNext/>
        <w:spacing w:before="200" w:after="80"/>
      </w:pPr>
      <w:r>
        <w:t>7.1 Frames and units</w:t>
      </w:r>
    </w:p>
    <w:p>
      <w:r>
        <w:t>The simulator uses a standard local NED (North-East-Down) navigation/world frame and a vessel body-fixed FRD (Forward-Right-Down) frame. Sensor mounting transforms are explicit and expressed relative to declared parent frames. The canonical vessel state is spatial/6-DOF in both full and constrained-planar dynamics modes, which keeps transforms and sensor mounting semantics uniform. SI units are canonical internally: meters, seconds, radians, kilograms, Newtons, Newton-meters, and related SI-derived units. External integrations may expose other conventions such as ENU/FLU, but internal state is never ambiguous about its frame or units.</w:t>
      </w:r>
    </w:p>
    <w:p>
      <w:pPr>
        <w:pStyle w:val="Heading3"/>
      </w:pPr>
      <w:r>
        <w:t>7.1.1 Canonical conversion boundary</w:t>
      </w:r>
    </w:p>
    <w:p>
      <w:pPr/>
      <w:r>
        <w:t>All coordinate, unit, vertical-sign, and display-frame conversion is owned by one named boundary conversion subsystem. Importers, sensors, web rendering, and external adapters must not each invent local conversion logic. Every imported source declares its source frame, units, and vertical convention before conversion into canonical NED/FRD + SI.</w:t>
      </w:r>
    </w:p>
    <w:p>
      <w:pPr>
        <w:pStyle w:val="ListBullet"/>
      </w:pPr>
      <w:r>
        <w:t>Bathymetry/depth sources require an explicit vertical semantic because products may encode positive-down depth or positive-up/negative-down elevation. The conversion subsystem normalizes that convention before the data enters the world model. Web visualization likewise uses an explicit NED-to-display transform rather than relying on implicit Y-up assumptions.</w:t>
      </w:r>
    </w:p>
    <w:p>
      <w:pPr>
        <w:pStyle w:val="ListBullet"/>
      </w:pPr>
      <w:r>
        <w:t>The conversion subsystem is covered by property tests, including round-trip frame conversions, sign checks for known vertical values, and consistency of pose/velocity/wrench transforms.</w:t>
      </w:r>
    </w:p>
    <w:p>
      <w:pPr>
        <w:pStyle w:val="Heading2"/>
        <w:keepNext/>
        <w:spacing w:before="200" w:after="80"/>
      </w:pPr>
      <w:r>
        <w:t>7.2 Master clock and update rates</w:t>
      </w:r>
    </w:p>
    <w:p>
      <w:r>
        <w:t>The simulation uses one fixed deterministic master time step and one common scenario-level policy/control tick for all active RL agents. At each policy tick, active agents act simultaneously through the PettingZoo-style boundary; arbitrary per-agent asynchronous decision rates are out of scope for V1. Sensors may run at their own configured rates, and the last action is held between policy ticks. The dynamics integrator may use a fixed integer number of internal substeps per master interval. Because a single environment cannot mix dynamics models or DOF modes, that environment uses one integration schedule for all vessels. The chosen substep count must satisfy the stability requirements declared by every vessel in the environment; if vessels differ, the environment uses a schedule at least as conservative as the strictest participating requirement. Different vectorized environment instances may use different compatible schedules and be batched accordingly.</w:t>
      </w:r>
    </w:p>
    <w:p>
      <w:pPr>
        <w:jc w:val="center"/>
      </w:pPr>
      <w:r>
        <w:drawing>
          <wp:inline xmlns:a="http://schemas.openxmlformats.org/drawingml/2006/main" xmlns:pic="http://schemas.openxmlformats.org/drawingml/2006/picture">
            <wp:extent cx="6492240" cy="2019538"/>
            <wp:docPr id="2" name="Picture 2"/>
            <wp:cNvGraphicFramePr>
              <a:graphicFrameLocks noChangeAspect="1"/>
            </wp:cNvGraphicFramePr>
            <a:graphic>
              <a:graphicData uri="http://schemas.openxmlformats.org/drawingml/2006/picture">
                <pic:pic>
                  <pic:nvPicPr>
                    <pic:cNvPr id="0" name="simulation_lifecycle.png"/>
                    <pic:cNvPicPr/>
                  </pic:nvPicPr>
                  <pic:blipFill>
                    <a:blip r:embed="rId10"/>
                    <a:stretch>
                      <a:fillRect/>
                    </a:stretch>
                  </pic:blipFill>
                  <pic:spPr>
                    <a:xfrm>
                      <a:off x="0" y="0"/>
                      <a:ext cx="6492240" cy="2019538"/>
                    </a:xfrm>
                    <a:prstGeom prst="rect"/>
                  </pic:spPr>
                </pic:pic>
              </a:graphicData>
            </a:graphic>
          </wp:inline>
        </w:drawing>
      </w:r>
    </w:p>
    <w:p>
      <w:pPr>
        <w:jc w:val="center"/>
      </w:pPr>
      <w:r>
        <w:rPr>
          <w:i/>
          <w:sz w:val="18"/>
        </w:rPr>
        <w:t>Figure 2. Conceptual simulation step ordering. Exact implementation details can vary, but the lifecycle ordering is an architectural invariant.</w:t>
      </w:r>
    </w:p>
    <w:p>
      <w:pPr>
        <w:pStyle w:val="Heading1"/>
        <w:keepNext/>
        <w:spacing w:before="200" w:after="80"/>
      </w:pPr>
      <w:r>
        <w:t>8. Simulation lifecycle and failure semantics</w:t>
      </w:r>
    </w:p>
    <w:p>
      <w:r>
        <w:t>Each simulation step follows a fixed conceptual ordering: obtain actions when the common policy tick is due, map them through the selected control layer, sample the current immutable environment/shared-field buffer, advance vessel/environment physics using the configured fixed substeps, resolve contact, deterministically accumulate new shared-field emissions for the next step, update due sensors, assemble observations, compute rewards and task/agent-lifecycle transitions, log, and return the result. The ordering is an architectural invariant because it prevents agent-order dependence and makes replay/debugging reproducible.</w:t>
      </w:r>
    </w:p>
    <w:p>
      <w:r>
        <w:t>Episode termination is structured rather than represented by a single undifferentiated boolean. The system should distinguish at least task success, task failure, time or horizon expiry, physics/numerical failure, vehicle/component failure, sensor failure when configured as fatal, and external/user termination. Every run records the reason.</w:t>
      </w:r>
    </w:p>
    <w:p>
      <w:pPr>
        <w:pStyle w:val="Heading1"/>
        <w:keepNext/>
        <w:spacing w:before="200" w:after="80"/>
      </w:pPr>
      <w:r>
        <w:t>9. Scenario generation and curriculum support</w:t>
      </w:r>
    </w:p>
    <w:p>
      <w:r>
        <w:t>Researchers should not need to hand-author every training episode. The experiment layer therefore supports parameterized scenario generation. A scenario template can define distributions or ranges for vessel initial positions, environmental fields, obstacle placement, target locations, traffic, weather, and other configurable variables. Each episode samples a concrete scenario deterministically from the experiment seed.</w:t>
      </w:r>
    </w:p>
    <w:p>
      <w:pPr>
        <w:pStyle w:val="ListBullet"/>
        <w:spacing w:after="40"/>
      </w:pPr>
      <w:r>
        <w:t>Every sampled scenario resolves to a normal scenario configuration.</w:t>
      </w:r>
    </w:p>
    <w:p>
      <w:pPr>
        <w:pStyle w:val="ListBullet"/>
        <w:spacing w:after="40"/>
      </w:pPr>
      <w:r>
        <w:t>Resolved sampled scenarios can be exported and replayed exactly.</w:t>
      </w:r>
    </w:p>
    <w:p>
      <w:pPr>
        <w:pStyle w:val="ListBullet"/>
        <w:spacing w:after="40"/>
      </w:pPr>
      <w:r>
        <w:t>Scenario generation is usable headlessly and exposed visually in the web interface.</w:t>
      </w:r>
    </w:p>
    <w:p>
      <w:pPr>
        <w:pStyle w:val="ListBullet"/>
        <w:spacing w:after="40"/>
      </w:pPr>
      <w:r>
        <w:t>The first version can use declarative ranges and distributions; no adaptive teacher is required.</w:t>
      </w:r>
    </w:p>
    <w:p>
      <w:r>
        <w:t>A future “teacher” or curriculum module can sit above this generator and choose scenario distributions adaptively based on policy progress. This remains intentionally optional. The core simulator should work completely without a teacher.</w:t>
      </w:r>
    </w:p>
    <w:p>
      <w:pPr>
        <w:pStyle w:val="Heading1"/>
        <w:keepNext/>
        <w:spacing w:before="200" w:after="80"/>
      </w:pPr>
      <w:r>
        <w:t>10. Configuration and asset architecture</w:t>
      </w:r>
    </w:p>
    <w:p>
      <w:r>
        <w:t>Configuration is the primary interaction model for the system. The architecture calls for reusable component configurations rather than one monolithic experiment file. Conceptually there are configurations for vessels, sensors, actuators, worlds/environments, tasks, policies, scenarios, and experiments.</w:t>
      </w:r>
    </w:p>
    <w:p>
      <w:pPr>
        <w:pStyle w:val="ListBullet"/>
        <w:spacing w:after="40"/>
      </w:pPr>
      <w:r>
        <w:rPr>
          <w:b/>
        </w:rPr>
        <w:t xml:space="preserve">Composition plus overrides. </w:t>
      </w:r>
      <w:r>
        <w:t>A scenario or experiment references reusable components and applies limited overrides. Rich inheritance hierarchies are intentionally avoided.</w:t>
      </w:r>
    </w:p>
    <w:p>
      <w:pPr>
        <w:pStyle w:val="ListBullet"/>
        <w:spacing w:after="40"/>
      </w:pPr>
      <w:r>
        <w:rPr>
          <w:b/>
        </w:rPr>
        <w:t xml:space="preserve">Versioned schemas. </w:t>
      </w:r>
      <w:r>
        <w:t>Every configuration format carries a version so changes can be migrated intentionally.</w:t>
      </w:r>
    </w:p>
    <w:p>
      <w:pPr>
        <w:pStyle w:val="ListBullet"/>
        <w:spacing w:after="40"/>
      </w:pPr>
      <w:r>
        <w:rPr>
          <w:b/>
        </w:rPr>
        <w:t xml:space="preserve">Fully resolved runtime config. </w:t>
      </w:r>
      <w:r>
        <w:t>Before a run begins, references and overrides are resolved into an explicit immutable representation of what will execute.</w:t>
      </w:r>
    </w:p>
    <w:p>
      <w:pPr>
        <w:pStyle w:val="ListBullet"/>
        <w:spacing w:after="40"/>
      </w:pPr>
      <w:r>
        <w:rPr>
          <w:b/>
        </w:rPr>
        <w:t xml:space="preserve">No silent ambiguity. </w:t>
      </w:r>
      <w:r>
        <w:t>Unknown fields fail validation. Defaults may exist for usability, but the resolved configuration records the actual chosen value so no experiment depends on invisible defaults.</w:t>
      </w:r>
    </w:p>
    <w:p>
      <w:pPr>
        <w:pStyle w:val="ListBullet"/>
        <w:spacing w:after="40"/>
      </w:pPr>
      <w:r>
        <w:rPr>
          <w:b/>
        </w:rPr>
        <w:t xml:space="preserve">Portable bundles. </w:t>
      </w:r>
      <w:r>
        <w:t>Web-created vessels, environments, and scenarios can be exported with the assets required for programmatic/headless use.</w:t>
      </w:r>
    </w:p>
    <w:p>
      <w:pPr>
        <w:pStyle w:val="Heading2"/>
        <w:keepNext/>
        <w:spacing w:before="200" w:after="80"/>
      </w:pPr>
      <w:r>
        <w:t>10.1 Assets and imports</w:t>
      </w:r>
    </w:p>
    <w:p>
      <w:r>
        <w:t>Standard 3D mesh formats should be used for imported vessel and world geometry. Visual geometry and collision geometry are kept separate so high-detail rendering does not force high-detail collision cost. Semantic properties—mass, sensors, actuator locations, dynamics parameters, tags—live in configuration rather than being implicitly inferred from the visual mesh.</w:t>
      </w:r>
    </w:p>
    <w:p>
      <w:r>
        <w:t>Real-world geographic data may be imported in latitude/longitude or other geospatial systems, but is converted into the local NED simulation frame at the boundary. The internal core remains consistent and local.</w:t>
      </w:r>
    </w:p>
    <w:p>
      <w:pPr>
        <w:pStyle w:val="Heading1"/>
        <w:keepNext/>
        <w:spacing w:before="200" w:after="80"/>
      </w:pPr>
      <w:r>
        <w:t>11. Training and MARL integration</w:t>
      </w:r>
    </w:p>
    <w:p>
      <w:r>
        <w:t>The core simulator must not depend on a particular RL framework. Instead, a thin adapter exposes the simulator through a PettingZoo-compatible multi-agent interface, with the parallel API as the natural default because active RL agents act on one common scenario-level policy tick. This is an interoperability boundary, not the simulation architecture itself. Physics and sensors may update more frequently internally, but V1 does not expose arbitrary asynchronous per-agent policy schedules.</w:t>
      </w:r>
    </w:p>
    <w:p>
      <w:pPr>
        <w:pStyle w:val="ListBullet"/>
        <w:spacing w:after="40"/>
      </w:pPr>
      <w:r>
        <w:t>Each agent exposes the observation and action space appropriate to its configured vessel and control mode.</w:t>
      </w:r>
    </w:p>
    <w:p>
      <w:pPr>
        <w:pStyle w:val="ListBullet"/>
        <w:spacing w:after="40"/>
      </w:pPr>
      <w:r>
        <w:t>The adapter can optionally expose a centralized training view for CTDE-style algorithms without changing decentralized execution observations.</w:t>
      </w:r>
    </w:p>
    <w:p>
      <w:pPr>
        <w:pStyle w:val="ListBullet"/>
        <w:spacing w:after="40"/>
      </w:pPr>
      <w:r>
        <w:t>The RL adapter remains outside the hot physics loop and should not introduce HTTP/RPC calls.</w:t>
      </w:r>
    </w:p>
    <w:p>
      <w:pPr>
        <w:pStyle w:val="ListBullet"/>
        <w:spacing w:after="40"/>
      </w:pPr>
      <w:r>
        <w:t>Internal parallel execution batches only schema-compatible components rather than forcing all vessels into one globally fixed sensor/actuator representation. This preserves vectorization while allowing heterogeneous fleets.</w:t>
      </w:r>
    </w:p>
    <w:tbl>
      <w:tblPr>
        <w:tblW w:type="auto" w:w="0"/>
        <w:jc w:val="center"/>
        <w:tblLook w:firstColumn="1" w:firstRow="1" w:lastColumn="0" w:lastRow="0" w:noHBand="0" w:noVBand="1" w:val="04A0"/>
      </w:tblPr>
      <w:tblGrid>
        <w:gridCol w:w="10080"/>
      </w:tblGrid>
      <w:tr>
        <w:tc>
          <w:tcPr>
            <w:tcW w:type="dxa" w:w="10080"/>
            <w:shd w:fill="EEF2F5"/>
            <w:tcMar>
              <w:top w:w="140" w:type="dxa"/>
              <w:start w:w="160" w:type="dxa"/>
              <w:bottom w:w="140" w:type="dxa"/>
              <w:end w:w="160" w:type="dxa"/>
            </w:tcMar>
          </w:tcPr>
          <w:p>
            <w:r>
              <w:t>Performance design principle. A clean “API” does not imply a network API. The hot loop should remain in-process and batch-friendly. Heterogeneous parallelism is achieved by batching compatible dynamics, actuator, and sensor components, with ownership mappings back to canonical vessel states; identical full-vehicle tensors are not required. Web/backend communication happens outside the per-physics-step path.</w:t>
            </w:r>
          </w:p>
        </w:tc>
      </w:tr>
    </w:tbl>
    <w:p/>
    <w:p>
      <w:pPr>
        <w:pStyle w:val="Heading2"/>
      </w:pPr>
      <w:r>
        <w:t>11.1 Heterogeneous parallel execution</w:t>
      </w:r>
    </w:p>
    <w:p>
      <w:r>
        <w:t>The simulator separates a uniform canonical vessel-state representation from the execution layout of heterogeneous components. The primary throughput population is environment × vessel: many independent environment instances run in parallel, and compatible component work is batched across the vessels contained in those environments. This avoids relying on the small vessel count of a single multi-agent episode for GPU utilization.</w:t>
      </w:r>
    </w:p>
    <w:p>
      <w:pPr>
        <w:pStyle w:val="ListBullet"/>
      </w:pPr>
      <w:r>
        <w:t>Canonical vessel state remains fixed-shape and common across vessels so world interaction, transforms, collision handling, and bookkeeping operate on one consistent representation.</w:t>
      </w:r>
    </w:p>
    <w:p>
      <w:pPr>
        <w:pStyle w:val="ListBullet"/>
      </w:pPr>
      <w:r>
        <w:t>Dynamics execution is batched across compatible environment instances. Each environment has exactly one selected dynamics implementation/mode and one integration schedule for all of its vessels; environments with different global modes or schedules are routed to separate compatible batches.</w:t>
      </w:r>
    </w:p>
    <w:p>
      <w:pPr>
        <w:pStyle w:val="ListBullet"/>
      </w:pPr>
      <w:r>
        <w:t>Actuators are batched by compatible type/schema across the full vectorized environment population. Every component carries both an environment ID and an owner-vessel ID so resulting forces and moments can be routed back to the correct canonical vessel state.</w:t>
      </w:r>
    </w:p>
    <w:p>
      <w:pPr>
        <w:pStyle w:val="ListBullet"/>
      </w:pPr>
      <w:r>
        <w:t>Deterministic accumulation. Component forces, moments, metrics, and other many-to-one contributions must be reduced in a fixed deterministic order or an equivalent deterministic segmented reduction. Unordered atomic accumulation is not permitted on execution paths that claim the platform’s same-backend determinism guarantee. A future explicitly nondeterministic fast mode may exist, but it cannot masquerade as the reproducible mode.</w:t>
      </w:r>
    </w:p>
    <w:p>
      <w:pPr>
        <w:pStyle w:val="ListBullet"/>
      </w:pPr>
      <w:r>
        <w:t>Sensors are batched by compatible type/schema across environment instances rather than by whole vehicle. Different vessels may carry different sensor counts, mounting transforms, parameters, and modalities without forcing one global padded sensor tensor; each sensor retains environment and owner-vessel mappings.</w:t>
      </w:r>
    </w:p>
    <w:p>
      <w:pPr>
        <w:pStyle w:val="ListBullet"/>
      </w:pPr>
      <w:r>
        <w:t>Where a sensor family itself has variable-size outputs, the implementation may use configuration buckets, padding/masks, or separate compatible batches as appropriate. The architecture does not mandate one universal representation.</w:t>
      </w:r>
    </w:p>
    <w:p>
      <w:pPr>
        <w:pStyle w:val="ListBullet"/>
      </w:pPr>
      <w:r>
        <w:t>Policy observations are assembled after sensing from each agent’s configured observation contract. The simulator therefore does not require homogeneous observation shapes merely to satisfy a particular RL library; adapters may batch, pad, mask, or route policies as required outside the physics core.</w:t>
      </w:r>
    </w:p>
    <w:p>
      <w:pPr>
        <w:pStyle w:val="Heading1"/>
        <w:keepNext/>
        <w:spacing w:before="200" w:after="80"/>
      </w:pPr>
      <w:r>
        <w:t>12. Web application architecture</w:t>
      </w:r>
    </w:p>
    <w:p>
      <w:r>
        <w:t>The web interface is a first-class product surface because the simulator began as a web-based system and because interactive visualization is valuable for research communication. However, the web app is a client of the simulation platform, not a fork of it.</w:t>
      </w:r>
    </w:p>
    <w:p>
      <w:pPr>
        <w:pStyle w:val="Heading2"/>
        <w:keepNext/>
        <w:spacing w:before="200" w:after="80"/>
      </w:pPr>
      <w:r>
        <w:t>12.1 Authoring</w:t>
      </w:r>
    </w:p>
    <w:p>
      <w:pPr>
        <w:pStyle w:val="ListBullet"/>
        <w:spacing w:after="40"/>
      </w:pPr>
      <w:r>
        <w:t>Create or configure vessels, including control, sensors, and mounting geometry.</w:t>
      </w:r>
    </w:p>
    <w:p>
      <w:pPr>
        <w:pStyle w:val="ListBullet"/>
        <w:spacing w:after="40"/>
      </w:pPr>
      <w:r>
        <w:t>Create environments, place obstacles, waypoints, vessels, and other entities.</w:t>
      </w:r>
    </w:p>
    <w:p>
      <w:pPr>
        <w:pStyle w:val="ListBullet"/>
        <w:spacing w:after="40"/>
      </w:pPr>
      <w:r>
        <w:t>Configure scenario-generation ranges and distributions where practical.</w:t>
      </w:r>
    </w:p>
    <w:p>
      <w:pPr>
        <w:pStyle w:val="ListBullet"/>
        <w:spacing w:after="40"/>
      </w:pPr>
      <w:r>
        <w:t>Export vessels, environments, and scenarios into the same canonical configurations used programmatically.</w:t>
      </w:r>
    </w:p>
    <w:p>
      <w:pPr>
        <w:pStyle w:val="Heading2"/>
        <w:keepNext/>
        <w:spacing w:before="200" w:after="80"/>
      </w:pPr>
      <w:r>
        <w:t>12.2 Policy demonstration</w:t>
      </w:r>
    </w:p>
    <w:p>
      <w:r>
        <w:t>The web application also functions as a demo and inspection tool for trained policies. A user can load a packaged policy, run it in the backend simulator, then manipulate permitted scenario conditions—such as obstacle placement or environmental conditions—and observe how the frozen policy behaves. This creates an interactive research artifact rather than a static video.</w:t>
      </w:r>
    </w:p>
    <w:p>
      <w:pPr>
        <w:pStyle w:val="Heading2"/>
        <w:keepNext/>
        <w:spacing w:before="200" w:after="80"/>
      </w:pPr>
      <w:r>
        <w:t>12.3 Backend boundary</w:t>
      </w:r>
    </w:p>
    <w:p>
      <w:r>
        <w:t>For the initial architecture, all simulation execution requires the backend. Browser-only simulation is explicitly deferred as a possible future optimization or lightweight demo mode. No physics, collision, sensor, or task logic is duplicated in JavaScript solely for the web interface.</w:t>
      </w:r>
    </w:p>
    <w:p>
      <w:pPr>
        <w:pStyle w:val="Heading1"/>
        <w:keepNext/>
        <w:spacing w:before="200" w:after="80"/>
      </w:pPr>
      <w:r>
        <w:t>13. Policy packaging and replay</w:t>
      </w:r>
    </w:p>
    <w:p>
      <w:r>
        <w:t>A policy bundle is self-contained enough for replay and demo use. It includes model weights, the policy/model format or architecture/runtime requirement, the exact observation contract and its stable hash, the action/control mode it produces, relevant preprocessing metadata, the trainer version/commit, and a versioned policy/config manifest that references the simulator run provenance from which it was produced.</w:t>
      </w:r>
    </w:p>
    <w:p>
      <w:r>
        <w:t>The simulator interacts with the policy through a clean policy contract and should not need to know the details of the training framework. Policy bundles should be as declarative as practical, because arbitrary executable code creates security and reproducibility problems—particularly when policies are uploaded to a web service. A constrained execution format or sandbox is preferable for public/demo deployment.</w:t>
      </w:r>
    </w:p>
    <w:p>
      <w:r>
        <w:t>Replay has two meanings and the architecture distinguishes them. Deterministic replay can rerun a scenario from its recorded configuration, seed, and policy. Analysis playback can also visualize recorded state or sensor logs without re-executing the simulation.</w:t>
      </w:r>
    </w:p>
    <w:p>
      <w:pPr>
        <w:pStyle w:val="Heading1"/>
        <w:keepNext/>
        <w:spacing w:before="200" w:after="80"/>
      </w:pPr>
      <w:r>
        <w:t>14. Logging, metrics, and experiment records</w:t>
      </w:r>
    </w:p>
    <w:p>
      <w:r>
        <w:t>Logging must be rich enough for reproducible research without making every training run pay the cost of full telemetry. Logging is therefore asynchronous and tiered.</w:t>
      </w:r>
    </w:p>
    <w:p>
      <w:pPr>
        <w:pStyle w:val="ListBullet"/>
        <w:spacing w:after="40"/>
      </w:pPr>
      <w:r>
        <w:t>Always recorded. A run manifest containing the fully resolved config and hash, sampled/resolved scenario identity, seeds, simulator version/commit, active dynamics mode, master step and substep schedule, vessel/dynamics fingerprints, relevant asset hashes, selected policy bundle/version, trainer version/commit when applicable, episode result, and structured termination reason. Trajectories and analysis artifacts reference this manifest so provenance is not lost or duplicated inconsistently.</w:t>
      </w:r>
    </w:p>
    <w:p>
      <w:pPr>
        <w:pStyle w:val="ListBullet"/>
        <w:spacing w:after="40"/>
      </w:pPr>
      <w:r>
        <w:rPr>
          <w:b/>
        </w:rPr>
        <w:t xml:space="preserve">Configurable state/event logging. </w:t>
      </w:r>
      <w:r>
        <w:t>Trajectory state, control commands, collisions, component failures, environment values, and other events can be enabled at chosen rates.</w:t>
      </w:r>
    </w:p>
    <w:p>
      <w:pPr>
        <w:pStyle w:val="ListBullet"/>
        <w:spacing w:after="40"/>
      </w:pPr>
      <w:r>
        <w:rPr>
          <w:b/>
        </w:rPr>
        <w:t xml:space="preserve">Heavy data opt-in. </w:t>
      </w:r>
      <w:r>
        <w:t>Full camera/LiDAR/sonar dumps and similarly expensive sensor streams are disabled unless explicitly requested.</w:t>
      </w:r>
    </w:p>
    <w:p>
      <w:pPr>
        <w:pStyle w:val="ListBullet"/>
        <w:spacing w:after="40"/>
      </w:pPr>
      <w:r>
        <w:rPr>
          <w:b/>
        </w:rPr>
        <w:t xml:space="preserve">Standard metrics registry. </w:t>
      </w:r>
      <w:r>
        <w:t>Users can enable common metrics from config, including reward, success/completion rate, collision rate, time to completion, distance traveled, energy use when modeled, and similar common measures.</w:t>
      </w:r>
    </w:p>
    <w:p>
      <w:pPr>
        <w:pStyle w:val="ListBullet"/>
        <w:spacing w:after="40"/>
      </w:pPr>
      <w:r>
        <w:rPr>
          <w:b/>
        </w:rPr>
        <w:t xml:space="preserve">Custom metrics extension. </w:t>
      </w:r>
      <w:r>
        <w:t>A metrics/logging SDK is an explicit extension point because research groups are likely to add study-specific measures.</w:t>
      </w:r>
    </w:p>
    <w:p>
      <w:r>
        <w:t>The metric registry separates measurement from task reward: a metric can be logged without influencing behavior, and a reward component can be logged independently for analysis.</w:t>
      </w:r>
    </w:p>
    <w:p>
      <w:pPr>
        <w:pStyle w:val="Heading1"/>
        <w:keepNext/>
        <w:spacing w:before="200" w:after="80"/>
      </w:pPr>
      <w:r>
        <w:t>15. Validation and reproducibility architecture</w:t>
      </w:r>
    </w:p>
    <w:p>
      <w:r>
        <w:t>Validation occurs at three levels and is treated as part of the platform, not only as developer testing.</w:t>
      </w:r>
    </w:p>
    <w:p>
      <w:pPr>
        <w:pStyle w:val="ListNumber"/>
        <w:spacing w:after="40"/>
      </w:pPr>
      <w:r>
        <w:t>Configuration validation before runtime: schema correctness, explicit units/frames, compatible components, required assets, action/observation compatibility, and fail-closed identity resolution. An identity-bearing reference (vessel, preset, sensor, dynamics configuration, asset, controller, policy, task, or similar) must never silently fall back to a default when resolution fails.</w:t>
      </w:r>
    </w:p>
    <w:p>
      <w:pPr>
        <w:pStyle w:val="ListNumber"/>
        <w:spacing w:after="40"/>
      </w:pPr>
      <w:r>
        <w:t>Component validation: deterministic tests for dynamics, actuators, sensors, environment queries, collision behavior, shared-field ordering, and conversion utilities using fixed inputs and seeds. Physical plausibility checks are model-specific and include finite parameters, valid mass/inertia properties, sensible actuator bounds, required matrix definiteness/conditioning where mathematically applicable, declared operating envelopes, and any hydrodynamic invariants required by the selected model.</w:t>
      </w:r>
    </w:p>
    <w:p>
      <w:pPr>
        <w:pStyle w:val="ListNumber"/>
        <w:spacing w:after="40"/>
      </w:pPr>
      <w:r>
        <w:t>Canonical system scenarios: small repeatable scenarios that validate end-to-end properties such as collision response, sensor sanity, NED/FRD and external-frame conversions, bathymetry sign handling, deterministic reductions, environment effects, wake double-buffer ordering, agent lifecycle, and multi-agent interaction.</w:t>
      </w:r>
    </w:p>
    <w:p>
      <w:r>
        <w:t>The target reproducibility guarantee is exact deterministic behavior on the same supported backend/configuration when the seed and resolved config are identical. This guarantee includes deterministic many-to-one reductions used by heterogeneous batching and deterministic shared-field update ordering. Across different hardware or numerical backends, validation may use explicit tolerances rather than demanding bitwise identity.</w:t>
      </w:r>
    </w:p>
    <w:p>
      <w:pPr>
        <w:pStyle w:val="Heading2"/>
      </w:pPr>
      <w:r>
        <w:t>15.1 Migration and regression gates</w:t>
      </w:r>
    </w:p>
    <w:p>
      <w:pPr/>
      <w:r>
        <w:t>The new core is a migration of an existing simulator, not a clean-room replacement. Existing behavior that has already been validated should become regression gates for the refactor. Representative vessel replays, environmental-adapter checks, deterministic sweeps, sensor checks, collision tests, and other previously trusted evidence are rerun against the new architecture before the corresponding old path is retired. The primary 6-DOF plant receives explicit debugging and validation attention because it is the single dynamics implementation on which both full and constrained-planar modes depend.</w:t>
      </w:r>
    </w:p>
    <w:p>
      <w:pPr>
        <w:pStyle w:val="Heading1"/>
        <w:keepNext/>
        <w:spacing w:before="200" w:after="80"/>
      </w:pPr>
      <w:r>
        <w:t>16. Vessel creation and calibration subsystem</w:t>
      </w:r>
    </w:p>
    <w:p>
      <w:r>
        <w:t>The vessel-generation subsystem exists beside the simulator rather than defining it. The central rule is that all creation paths end in the same vessel representation.</w:t>
      </w:r>
    </w:p>
    <w:p>
      <w:pPr>
        <w:pStyle w:val="Heading2"/>
        <w:keepNext/>
        <w:spacing w:before="200" w:after="80"/>
      </w:pPr>
      <w:r>
        <w:t>16.1 Supported conceptual creation paths</w:t>
      </w:r>
    </w:p>
    <w:p>
      <w:pPr>
        <w:pStyle w:val="ListBullet"/>
        <w:spacing w:after="40"/>
      </w:pPr>
      <w:r>
        <w:t>Manual vessel definition from known coefficients and actuator properties.</w:t>
      </w:r>
    </w:p>
    <w:p>
      <w:pPr>
        <w:pStyle w:val="ListBullet"/>
        <w:spacing w:after="40"/>
      </w:pPr>
      <w:r>
        <w:t>Import of an existing vessel model/configuration.</w:t>
      </w:r>
    </w:p>
    <w:p>
      <w:pPr>
        <w:pStyle w:val="ListBullet"/>
        <w:spacing w:after="40"/>
      </w:pPr>
      <w:r>
        <w:t>Procedural or random hull/model generation for large heterogeneous training populations.</w:t>
      </w:r>
    </w:p>
    <w:p>
      <w:pPr>
        <w:pStyle w:val="ListBullet"/>
        <w:spacing w:after="40"/>
      </w:pPr>
      <w:r>
        <w:t>CAD/design asset → CFD analysis → fitted parameterization for the primary 6-DOF vessel dynamics plant.</w:t>
      </w:r>
    </w:p>
    <w:p>
      <w:pPr>
        <w:pStyle w:val="ListBullet"/>
        <w:spacing w:after="40"/>
      </w:pPr>
      <w:r>
        <w:t>Optional short real-world calibration/tuning run to correct the CFD-derived model.</w:t>
      </w:r>
    </w:p>
    <w:p>
      <w:pPr>
        <w:pStyle w:val="ListBullet"/>
        <w:spacing w:after="40"/>
      </w:pPr>
      <w:r>
        <w:t>Future ML acceleration that predicts or initializes dynamics from geometry, if it proves reliable.</w:t>
      </w:r>
    </w:p>
    <w:p>
      <w:pPr>
        <w:pStyle w:val="Heading2"/>
        <w:keepNext/>
        <w:spacing w:before="200" w:after="80"/>
      </w:pPr>
      <w:r>
        <w:t>16.2 CFD-first strategy</w:t>
      </w:r>
    </w:p>
    <w:p>
      <w:r>
        <w:t>The architecture deliberately does not depend on an ML geometry-to-coefficient model. The baseline automation path uses a conventional CFD solver to generate hydrodynamic force/moment information, identifies the parameters required by the simulator’s primary 6-DOF dynamics plant, and optionally refines those parameters using a short calibration maneuver from the real vessel. The constrained planar mode uses the same underlying vessel parameterization. ML can later accelerate or initialize this process, but failure of the ML approach must not break the system.</w:t>
      </w:r>
    </w:p>
    <w:p>
      <w:pPr>
        <w:pStyle w:val="Heading2"/>
        <w:keepNext/>
        <w:spacing w:before="200" w:after="80"/>
      </w:pPr>
      <w:r>
        <w:t>16.3 Why this is architecturally separate</w:t>
      </w:r>
    </w:p>
    <w:p>
      <w:r>
        <w:t>CFD model generation may be slow, resource intensive, or absent for many users. Training and simulation must therefore consume a completed vessel definition and remain agnostic to how it was created. This separation also permits cached model libraries, procedurally generated vessels, and externally identified coefficients.</w:t>
      </w:r>
    </w:p>
    <w:p>
      <w:pPr>
        <w:pStyle w:val="Heading1"/>
        <w:keepNext/>
        <w:spacing w:before="200" w:after="80"/>
      </w:pPr>
      <w:r>
        <w:t>17. Configurable physics fidelity</w:t>
      </w:r>
    </w:p>
    <w:p>
      <w:r>
        <w:t>Configurable physics fidelity—and continuous adjustment where it is physically meaningful—is a deliberate nice-to-have that should be enabled by the architecture now even if the full feature is implemented later. The motivation is both computational and educational: policies can learn simple concepts in inexpensive environments before being exposed to richer physics.</w:t>
      </w:r>
    </w:p>
    <w:p>
      <w:r>
        <w:t>Fidelity should be adjustable by subsystem rather than implemented as completely separate simulators. For dynamics, the architecture keeps one primary 6-DOF plant and exposes a constrained planar 3-DOF mode of that same plant. A curriculum may train early episodes in the constrained mode with abstract sensors, simple environmental fields, and coarse collision geometry, then move later episodes to full 6-DOF dynamics, richer hydrodynamics, physical sensors, vessel-vessel coupling, and finer contact. The dynamics-mode change occurs only between episodes or training stages, never inside an episode.</w:t>
      </w:r>
    </w:p>
    <w:p>
      <w:pPr>
        <w:pStyle w:val="ListBullet"/>
        <w:spacing w:after="40"/>
      </w:pPr>
      <w:r>
        <w:t>Changing fidelity should not change the external vessel/task API or the shape/meaning of canonical vessel state. This allows an observation-contract hash to remain stable across dynamics-fidelity stages unless the experiment explicitly changes the observation configuration itself.</w:t>
      </w:r>
    </w:p>
    <w:p>
      <w:pPr>
        <w:pStyle w:val="ListBullet"/>
        <w:spacing w:after="40"/>
      </w:pPr>
      <w:r>
        <w:t>Fidelity controls may be continuous for parameters that meaningfully admit interpolation, but structural choices remain discrete. Full 6-DOF versus constrained planar operation is a scenario-level mode of one plant, not a continuously interpolated model and not a second independent dynamics implementation. All vessels within an environment share the selected mode.</w:t>
      </w:r>
    </w:p>
    <w:p>
      <w:pPr>
        <w:pStyle w:val="ListBullet"/>
        <w:spacing w:after="40"/>
      </w:pPr>
      <w:r>
        <w:t>An experiment or future teacher can schedule fidelity over training.</w:t>
      </w:r>
    </w:p>
    <w:p>
      <w:pPr>
        <w:pStyle w:val="ListBullet"/>
        <w:spacing w:after="40"/>
      </w:pPr>
      <w:r>
        <w:t>Every run records the active fidelity settings so results remain interpretable.</w:t>
      </w:r>
    </w:p>
    <w:p>
      <w:r>
        <w:t>This may later support a research question about physics curricula, but the simulator and paper should not depend on that result.</w:t>
      </w:r>
    </w:p>
    <w:p>
      <w:pPr>
        <w:pStyle w:val="Heading1"/>
        <w:keepNext/>
        <w:spacing w:before="200" w:after="80"/>
      </w:pPr>
      <w:r>
        <w:t>18. Representative user workflows</w:t>
      </w:r>
    </w:p>
    <w:p>
      <w:pPr>
        <w:pStyle w:val="Heading2"/>
        <w:keepNext/>
        <w:spacing w:before="200" w:after="80"/>
      </w:pPr>
      <w:r>
        <w:t>18.1 MARL researcher using an existing vessel</w:t>
      </w:r>
    </w:p>
    <w:p>
      <w:pPr>
        <w:spacing w:after="40"/>
        <w:ind w:left="280" w:hanging="240"/>
      </w:pPr>
      <w:r>
        <w:t>1. Select a vessel from a library or import a vessel configuration.</w:t>
      </w:r>
    </w:p>
    <w:p>
      <w:pPr>
        <w:spacing w:after="40"/>
        <w:ind w:left="280" w:hanging="240"/>
      </w:pPr>
      <w:r>
        <w:t>2. Select or configure a world and task.</w:t>
      </w:r>
    </w:p>
    <w:p>
      <w:pPr>
        <w:spacing w:after="40"/>
        <w:ind w:left="280" w:hanging="240"/>
      </w:pPr>
      <w:r>
        <w:t>3. Define scenario randomization ranges for training.</w:t>
      </w:r>
    </w:p>
    <w:p>
      <w:pPr>
        <w:spacing w:after="40"/>
        <w:ind w:left="280" w:hanging="240"/>
      </w:pPr>
      <w:r>
        <w:t>4. Choose observation mode, high-level or direct control mode, and the scenario-wide dynamics mode (full 6-DOF or constrained planar).</w:t>
      </w:r>
    </w:p>
    <w:p>
      <w:pPr>
        <w:spacing w:after="40"/>
        <w:ind w:left="280" w:hanging="240"/>
      </w:pPr>
      <w:r>
        <w:t>5. Run through a PettingZoo-compatible training adapter.</w:t>
      </w:r>
    </w:p>
    <w:p>
      <w:pPr>
        <w:spacing w:after="40"/>
        <w:ind w:left="280" w:hanging="240"/>
      </w:pPr>
      <w:r>
        <w:t>6. Evaluate on fixed resolved scenarios and export logs/metrics.</w:t>
      </w:r>
    </w:p>
    <w:p>
      <w:pPr>
        <w:spacing w:after="40"/>
        <w:ind w:left="280" w:hanging="240"/>
      </w:pPr>
      <w:r>
        <w:t>7. Optionally package the policy and publish an interactive web demo.</w:t>
      </w:r>
    </w:p>
    <w:p>
      <w:pPr>
        <w:pStyle w:val="Heading2"/>
        <w:keepNext/>
        <w:spacing w:before="200" w:after="80"/>
      </w:pPr>
      <w:r>
        <w:t>18.2 Marine robotics researcher bringing a real vessel</w:t>
      </w:r>
    </w:p>
    <w:p>
      <w:pPr>
        <w:spacing w:after="40"/>
        <w:ind w:left="280" w:hanging="240"/>
      </w:pPr>
      <w:r>
        <w:t>1. Create the vessel manually or submit CAD/design geometry to the external model-generation pipeline.</w:t>
      </w:r>
    </w:p>
    <w:p>
      <w:pPr>
        <w:spacing w:after="40"/>
        <w:ind w:left="280" w:hanging="240"/>
      </w:pPr>
      <w:r>
        <w:t>2. Run CFD and derive/fit the dynamics parameters required by the primary 6-DOF plant; optionally perform a short real-world calibration maneuver.</w:t>
      </w:r>
    </w:p>
    <w:p>
      <w:pPr>
        <w:spacing w:after="40"/>
        <w:ind w:left="280" w:hanging="240"/>
      </w:pPr>
      <w:r>
        <w:t>3. Attach/configure actuators and sensors with mounting transforms.</w:t>
      </w:r>
    </w:p>
    <w:p>
      <w:pPr>
        <w:spacing w:after="40"/>
        <w:ind w:left="280" w:hanging="240"/>
      </w:pPr>
      <w:r>
        <w:t>4. Export the resulting vessel definition and use it like any other vessel in the simulator.</w:t>
      </w:r>
    </w:p>
    <w:p>
      <w:pPr>
        <w:spacing w:after="40"/>
        <w:ind w:left="280" w:hanging="240"/>
      </w:pPr>
      <w:r>
        <w:t>5. Train or evaluate in heterogeneous fleets and realistic environmental conditions.</w:t>
      </w:r>
    </w:p>
    <w:p>
      <w:pPr>
        <w:pStyle w:val="Heading2"/>
        <w:keepNext/>
        <w:spacing w:before="200" w:after="80"/>
      </w:pPr>
      <w:r>
        <w:t>18.3 Web-demo user</w:t>
      </w:r>
    </w:p>
    <w:p>
      <w:pPr>
        <w:spacing w:after="40"/>
        <w:ind w:left="280" w:hanging="240"/>
      </w:pPr>
      <w:r>
        <w:t>1. Open a shared vessel/scenario/policy bundle in the web application.</w:t>
      </w:r>
    </w:p>
    <w:p>
      <w:pPr>
        <w:spacing w:after="40"/>
        <w:ind w:left="280" w:hanging="240"/>
      </w:pPr>
      <w:r>
        <w:t>2. Run the policy using the same backend simulator used for research runs.</w:t>
      </w:r>
    </w:p>
    <w:p>
      <w:pPr>
        <w:spacing w:after="40"/>
        <w:ind w:left="280" w:hanging="240"/>
      </w:pPr>
      <w:r>
        <w:t>3. Modify allowed environment or obstacle parameters interactively.</w:t>
      </w:r>
    </w:p>
    <w:p>
      <w:pPr>
        <w:spacing w:after="40"/>
        <w:ind w:left="280" w:hanging="240"/>
      </w:pPr>
      <w:r>
        <w:t>4. Observe how the frozen policy behaves and inspect selected metrics or sensor views.</w:t>
      </w:r>
    </w:p>
    <w:p>
      <w:pPr>
        <w:pStyle w:val="Heading1"/>
        <w:keepNext/>
        <w:spacing w:before="200" w:after="80"/>
      </w:pPr>
      <w:r>
        <w:t>19. What is deliberately loose or deferred</w:t>
      </w:r>
    </w:p>
    <w:p>
      <w:r>
        <w:t>Several decisions are intentionally not frozen because locking them now would create false precision or constrain implementation before profiling and prototyping.</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DDE3E8"/>
            <w:vAlign w:val="center"/>
          </w:tcPr>
          <w:p>
            <w:r>
              <w:rPr>
                <w:b/>
              </w:rPr>
              <w:t>Area</w:t>
            </w:r>
          </w:p>
        </w:tc>
        <w:tc>
          <w:tcPr>
            <w:tcW w:type="dxa" w:w="1512"/>
            <w:shd w:fill="DDE3E8"/>
            <w:vAlign w:val="center"/>
          </w:tcPr>
          <w:p>
            <w:r>
              <w:rPr>
                <w:b/>
              </w:rPr>
              <w:t>Status</w:t>
            </w:r>
          </w:p>
        </w:tc>
        <w:tc>
          <w:tcPr>
            <w:tcW w:type="dxa" w:w="6912"/>
            <w:shd w:fill="DDE3E8"/>
            <w:vAlign w:val="center"/>
          </w:tcPr>
          <w:p>
            <w:r>
              <w:rPr>
                <w:b/>
              </w:rPr>
              <w:t>Architecture decision</w:t>
            </w:r>
          </w:p>
        </w:tc>
      </w:tr>
      <w:tr>
        <w:tc>
          <w:tcPr>
            <w:tcW w:type="dxa" w:w="2088"/>
            <w:tcMar>
              <w:top w:w="80" w:type="dxa"/>
              <w:start w:w="100" w:type="dxa"/>
              <w:bottom w:w="80" w:type="dxa"/>
              <w:end w:w="100" w:type="dxa"/>
            </w:tcMar>
            <w:vAlign w:val="top"/>
          </w:tcPr>
          <w:p>
            <w:r>
              <w:t>Performance targets</w:t>
            </w:r>
          </w:p>
        </w:tc>
        <w:tc>
          <w:tcPr>
            <w:tcW w:type="dxa" w:w="1512"/>
            <w:tcMar>
              <w:top w:w="80" w:type="dxa"/>
              <w:start w:w="100" w:type="dxa"/>
              <w:bottom w:w="80" w:type="dxa"/>
              <w:end w:w="100" w:type="dxa"/>
            </w:tcMar>
            <w:vAlign w:val="top"/>
          </w:tcPr>
          <w:p>
            <w:r>
              <w:t>Open</w:t>
            </w:r>
          </w:p>
        </w:tc>
        <w:tc>
          <w:tcPr>
            <w:tcW w:type="dxa" w:w="6912"/>
            <w:tcMar>
              <w:top w:w="80" w:type="dxa"/>
              <w:start w:w="100" w:type="dxa"/>
              <w:bottom w:w="80" w:type="dxa"/>
              <w:end w:w="100" w:type="dxa"/>
            </w:tcMar>
            <w:vAlign w:val="top"/>
          </w:tcPr>
          <w:p>
            <w:r>
              <w:t>No committed number of environments, agents, transitions/second, or real-time factor. Architecture must remain batch/vectorization friendly through schema-compatible component batching; targets come after profiling.</w:t>
            </w:r>
          </w:p>
        </w:tc>
      </w:tr>
      <w:tr>
        <w:tc>
          <w:tcPr>
            <w:tcW w:type="dxa" w:w="2088"/>
            <w:tcMar>
              <w:top w:w="80" w:type="dxa"/>
              <w:start w:w="100" w:type="dxa"/>
              <w:bottom w:w="80" w:type="dxa"/>
              <w:end w:w="100" w:type="dxa"/>
            </w:tcMar>
            <w:vAlign w:val="top"/>
          </w:tcPr>
          <w:p>
            <w:r>
              <w:t>Exact SDK list</w:t>
            </w:r>
          </w:p>
        </w:tc>
        <w:tc>
          <w:tcPr>
            <w:tcW w:type="dxa" w:w="1512"/>
            <w:tcMar>
              <w:top w:w="80" w:type="dxa"/>
              <w:start w:w="100" w:type="dxa"/>
              <w:bottom w:w="80" w:type="dxa"/>
              <w:end w:w="100" w:type="dxa"/>
            </w:tcMar>
            <w:vAlign w:val="top"/>
          </w:tcPr>
          <w:p>
            <w:r>
              <w:t>Open</w:t>
            </w:r>
          </w:p>
        </w:tc>
        <w:tc>
          <w:tcPr>
            <w:tcW w:type="dxa" w:w="6912"/>
            <w:tcMar>
              <w:top w:w="80" w:type="dxa"/>
              <w:start w:w="100" w:type="dxa"/>
              <w:bottom w:w="80" w:type="dxa"/>
              <w:end w:w="100" w:type="dxa"/>
            </w:tcMar>
            <w:vAlign w:val="top"/>
          </w:tcPr>
          <w:p>
            <w:r>
              <w:t>Sensors, actuators, logging/metrics, vehicle models, tasks, and policies are likely extension points, but the final supported SDK surface will be reviewed after implementation experience.</w:t>
            </w:r>
          </w:p>
        </w:tc>
      </w:tr>
      <w:tr>
        <w:tc>
          <w:tcPr>
            <w:tcW w:type="dxa" w:w="2088"/>
            <w:tcMar>
              <w:top w:w="80" w:type="dxa"/>
              <w:start w:w="100" w:type="dxa"/>
              <w:bottom w:w="80" w:type="dxa"/>
              <w:end w:w="100" w:type="dxa"/>
            </w:tcMar>
            <w:vAlign w:val="top"/>
          </w:tcPr>
          <w:p>
            <w:r>
              <w:t>Exact config syntax</w:t>
            </w:r>
          </w:p>
        </w:tc>
        <w:tc>
          <w:tcPr>
            <w:tcW w:type="dxa" w:w="1512"/>
            <w:tcMar>
              <w:top w:w="80" w:type="dxa"/>
              <w:start w:w="100" w:type="dxa"/>
              <w:bottom w:w="80" w:type="dxa"/>
              <w:end w:w="100" w:type="dxa"/>
            </w:tcMar>
            <w:vAlign w:val="top"/>
          </w:tcPr>
          <w:p>
            <w:r>
              <w:t>Open</w:t>
            </w:r>
          </w:p>
        </w:tc>
        <w:tc>
          <w:tcPr>
            <w:tcW w:type="dxa" w:w="6912"/>
            <w:tcMar>
              <w:top w:w="80" w:type="dxa"/>
              <w:start w:w="100" w:type="dxa"/>
              <w:bottom w:w="80" w:type="dxa"/>
              <w:end w:w="100" w:type="dxa"/>
            </w:tcMar>
            <w:vAlign w:val="top"/>
          </w:tcPr>
          <w:p>
            <w:r>
              <w:t>The conceptual hierarchy and validation rules are locked; YAML/JSON/TOML choices and field names are not.</w:t>
            </w:r>
          </w:p>
        </w:tc>
      </w:tr>
      <w:tr>
        <w:tc>
          <w:tcPr>
            <w:tcW w:type="dxa" w:w="2088"/>
            <w:tcMar>
              <w:top w:w="80" w:type="dxa"/>
              <w:start w:w="100" w:type="dxa"/>
              <w:bottom w:w="80" w:type="dxa"/>
              <w:end w:w="100" w:type="dxa"/>
            </w:tcMar>
            <w:vAlign w:val="top"/>
          </w:tcPr>
          <w:p>
            <w:r>
              <w:t>Physics engine / solver details</w:t>
            </w:r>
          </w:p>
        </w:tc>
        <w:tc>
          <w:tcPr>
            <w:tcW w:type="dxa" w:w="1512"/>
            <w:tcMar>
              <w:top w:w="80" w:type="dxa"/>
              <w:start w:w="100" w:type="dxa"/>
              <w:bottom w:w="80" w:type="dxa"/>
              <w:end w:w="100" w:type="dxa"/>
            </w:tcMar>
            <w:vAlign w:val="top"/>
          </w:tcPr>
          <w:p>
            <w:r>
              <w:t>Open</w:t>
            </w:r>
          </w:p>
        </w:tc>
        <w:tc>
          <w:tcPr>
            <w:tcW w:type="dxa" w:w="6912"/>
            <w:tcMar>
              <w:top w:w="80" w:type="dxa"/>
              <w:start w:w="100" w:type="dxa"/>
              <w:bottom w:w="80" w:type="dxa"/>
              <w:end w:w="100" w:type="dxa"/>
            </w:tcMar>
            <w:vAlign w:val="top"/>
          </w:tcPr>
          <w:p>
            <w:r>
              <w:t>Fixed-step deterministic semantics, one shared dynamics mode per environment, equilibrium clamping in constrained planar mode, and fixed integer substeps are locked. Exact integrator/contact backend and numerical constraint mechanism are implementation decisions.</w:t>
            </w:r>
          </w:p>
        </w:tc>
      </w:tr>
      <w:tr>
        <w:tc>
          <w:tcPr>
            <w:tcW w:type="dxa" w:w="2088"/>
            <w:tcMar>
              <w:top w:w="80" w:type="dxa"/>
              <w:start w:w="100" w:type="dxa"/>
              <w:bottom w:w="80" w:type="dxa"/>
              <w:end w:w="100" w:type="dxa"/>
            </w:tcMar>
            <w:vAlign w:val="top"/>
          </w:tcPr>
          <w:p>
            <w:r>
              <w:t>Wake/coupling equation</w:t>
            </w:r>
          </w:p>
        </w:tc>
        <w:tc>
          <w:tcPr>
            <w:tcW w:type="dxa" w:w="1512"/>
            <w:tcMar>
              <w:top w:w="80" w:type="dxa"/>
              <w:start w:w="100" w:type="dxa"/>
              <w:bottom w:w="80" w:type="dxa"/>
              <w:end w:w="100" w:type="dxa"/>
            </w:tcMar>
            <w:vAlign w:val="top"/>
          </w:tcPr>
          <w:p>
            <w:r>
              <w:t>Open</w:t>
            </w:r>
          </w:p>
        </w:tc>
        <w:tc>
          <w:tcPr>
            <w:tcW w:type="dxa" w:w="6912"/>
            <w:tcMar>
              <w:top w:w="80" w:type="dxa"/>
              <w:start w:w="100" w:type="dxa"/>
              <w:bottom w:w="80" w:type="dxa"/>
              <w:end w:w="100" w:type="dxa"/>
            </w:tcMar>
            <w:vAlign w:val="top"/>
          </w:tcPr>
          <w:p>
            <w:r>
              <w:t>Shared disturbance-field architecture is locked; the precise physical model and fidelity are research/validation choices.</w:t>
            </w:r>
          </w:p>
        </w:tc>
      </w:tr>
      <w:tr>
        <w:tc>
          <w:tcPr>
            <w:tcW w:type="dxa" w:w="2088"/>
            <w:tcMar>
              <w:top w:w="80" w:type="dxa"/>
              <w:start w:w="100" w:type="dxa"/>
              <w:bottom w:w="80" w:type="dxa"/>
              <w:end w:w="100" w:type="dxa"/>
            </w:tcMar>
            <w:vAlign w:val="top"/>
          </w:tcPr>
          <w:p>
            <w:r>
              <w:t>Damage model</w:t>
            </w:r>
          </w:p>
        </w:tc>
        <w:tc>
          <w:tcPr>
            <w:tcW w:type="dxa" w:w="1512"/>
            <w:tcMar>
              <w:top w:w="80" w:type="dxa"/>
              <w:start w:w="100" w:type="dxa"/>
              <w:bottom w:w="80" w:type="dxa"/>
              <w:end w:w="100" w:type="dxa"/>
            </w:tcMar>
            <w:vAlign w:val="top"/>
          </w:tcPr>
          <w:p>
            <w:r>
              <w:t>Deferred</w:t>
            </w:r>
          </w:p>
        </w:tc>
        <w:tc>
          <w:tcPr>
            <w:tcW w:type="dxa" w:w="6912"/>
            <w:tcMar>
              <w:top w:w="80" w:type="dxa"/>
              <w:start w:w="100" w:type="dxa"/>
              <w:bottom w:w="80" w:type="dxa"/>
              <w:end w:w="100" w:type="dxa"/>
            </w:tcMar>
            <w:vAlign w:val="top"/>
          </w:tcPr>
          <w:p>
            <w:r>
              <w:t>Extension point should exist, but persistent component degradation is not required in V1.</w:t>
            </w:r>
          </w:p>
        </w:tc>
      </w:tr>
      <w:tr>
        <w:tc>
          <w:tcPr>
            <w:tcW w:type="dxa" w:w="2088"/>
            <w:tcMar>
              <w:top w:w="80" w:type="dxa"/>
              <w:start w:w="100" w:type="dxa"/>
              <w:bottom w:w="80" w:type="dxa"/>
              <w:end w:w="100" w:type="dxa"/>
            </w:tcMar>
            <w:vAlign w:val="top"/>
          </w:tcPr>
          <w:p>
            <w:r>
              <w:t>Communication model</w:t>
            </w:r>
          </w:p>
        </w:tc>
        <w:tc>
          <w:tcPr>
            <w:tcW w:type="dxa" w:w="1512"/>
            <w:tcMar>
              <w:top w:w="80" w:type="dxa"/>
              <w:start w:w="100" w:type="dxa"/>
              <w:bottom w:w="80" w:type="dxa"/>
              <w:end w:w="100" w:type="dxa"/>
            </w:tcMar>
            <w:vAlign w:val="top"/>
          </w:tcPr>
          <w:p>
            <w:r>
              <w:t>Secondary</w:t>
            </w:r>
          </w:p>
        </w:tc>
        <w:tc>
          <w:tcPr>
            <w:tcW w:type="dxa" w:w="6912"/>
            <w:tcMar>
              <w:top w:w="80" w:type="dxa"/>
              <w:start w:w="100" w:type="dxa"/>
              <w:bottom w:w="80" w:type="dxa"/>
              <w:end w:w="100" w:type="dxa"/>
            </w:tcMar>
            <w:vAlign w:val="top"/>
          </w:tcPr>
          <w:p>
            <w:r>
              <w:t>Optional constraints are supported architecturally, but no claim of high-fidelity real-world communication modeling is required.</w:t>
            </w:r>
          </w:p>
        </w:tc>
      </w:tr>
      <w:tr>
        <w:tc>
          <w:tcPr>
            <w:tcW w:type="dxa" w:w="2088"/>
            <w:tcMar>
              <w:top w:w="80" w:type="dxa"/>
              <w:start w:w="100" w:type="dxa"/>
              <w:bottom w:w="80" w:type="dxa"/>
              <w:end w:w="100" w:type="dxa"/>
            </w:tcMar>
            <w:vAlign w:val="top"/>
          </w:tcPr>
          <w:p>
            <w:r>
              <w:t>Adaptive teacher</w:t>
            </w:r>
          </w:p>
        </w:tc>
        <w:tc>
          <w:tcPr>
            <w:tcW w:type="dxa" w:w="1512"/>
            <w:tcMar>
              <w:top w:w="80" w:type="dxa"/>
              <w:start w:w="100" w:type="dxa"/>
              <w:bottom w:w="80" w:type="dxa"/>
              <w:end w:w="100" w:type="dxa"/>
            </w:tcMar>
            <w:vAlign w:val="top"/>
          </w:tcPr>
          <w:p>
            <w:r>
              <w:t>Deferred</w:t>
            </w:r>
          </w:p>
        </w:tc>
        <w:tc>
          <w:tcPr>
            <w:tcW w:type="dxa" w:w="6912"/>
            <w:tcMar>
              <w:top w:w="80" w:type="dxa"/>
              <w:start w:w="100" w:type="dxa"/>
              <w:bottom w:w="80" w:type="dxa"/>
              <w:end w:w="100" w:type="dxa"/>
            </w:tcMar>
            <w:vAlign w:val="top"/>
          </w:tcPr>
          <w:p>
            <w:r>
              <w:t>Scenario generator is required; an adaptive curriculum/teacher is optional and must remain outside the core.</w:t>
            </w:r>
          </w:p>
        </w:tc>
      </w:tr>
      <w:tr>
        <w:tc>
          <w:tcPr>
            <w:tcW w:type="dxa" w:w="2088"/>
            <w:tcMar>
              <w:top w:w="80" w:type="dxa"/>
              <w:start w:w="100" w:type="dxa"/>
              <w:bottom w:w="80" w:type="dxa"/>
              <w:end w:w="100" w:type="dxa"/>
            </w:tcMar>
            <w:vAlign w:val="top"/>
          </w:tcPr>
          <w:p>
            <w:r>
              <w:t>Browser-only execution</w:t>
            </w:r>
          </w:p>
        </w:tc>
        <w:tc>
          <w:tcPr>
            <w:tcW w:type="dxa" w:w="1512"/>
            <w:tcMar>
              <w:top w:w="80" w:type="dxa"/>
              <w:start w:w="100" w:type="dxa"/>
              <w:bottom w:w="80" w:type="dxa"/>
              <w:end w:w="100" w:type="dxa"/>
            </w:tcMar>
            <w:vAlign w:val="top"/>
          </w:tcPr>
          <w:p>
            <w:r>
              <w:t>Deferred</w:t>
            </w:r>
          </w:p>
        </w:tc>
        <w:tc>
          <w:tcPr>
            <w:tcW w:type="dxa" w:w="6912"/>
            <w:tcMar>
              <w:top w:w="80" w:type="dxa"/>
              <w:start w:w="100" w:type="dxa"/>
              <w:bottom w:w="80" w:type="dxa"/>
              <w:end w:w="100" w:type="dxa"/>
            </w:tcMar>
            <w:vAlign w:val="top"/>
          </w:tcPr>
          <w:p>
            <w:r>
              <w:t>Backend simulation is required initially; future lightweight browser execution may be added without changing canonical configs.</w:t>
            </w:r>
          </w:p>
        </w:tc>
      </w:tr>
      <w:tr>
        <w:tc>
          <w:tcPr>
            <w:tcW w:type="dxa" w:w="2088"/>
            <w:tcMar>
              <w:top w:w="80" w:type="dxa"/>
              <w:start w:w="100" w:type="dxa"/>
              <w:bottom w:w="80" w:type="dxa"/>
              <w:end w:w="100" w:type="dxa"/>
            </w:tcMar>
            <w:vAlign w:val="top"/>
          </w:tcPr>
          <w:p>
            <w:r>
              <w:t>ML vessel model generation</w:t>
            </w:r>
          </w:p>
        </w:tc>
        <w:tc>
          <w:tcPr>
            <w:tcW w:type="dxa" w:w="1512"/>
            <w:tcMar>
              <w:top w:w="80" w:type="dxa"/>
              <w:start w:w="100" w:type="dxa"/>
              <w:bottom w:w="80" w:type="dxa"/>
              <w:end w:w="100" w:type="dxa"/>
            </w:tcMar>
            <w:vAlign w:val="top"/>
          </w:tcPr>
          <w:p>
            <w:r>
              <w:t>Stretch</w:t>
            </w:r>
          </w:p>
        </w:tc>
        <w:tc>
          <w:tcPr>
            <w:tcW w:type="dxa" w:w="6912"/>
            <w:tcMar>
              <w:top w:w="80" w:type="dxa"/>
              <w:start w:w="100" w:type="dxa"/>
              <w:bottom w:w="80" w:type="dxa"/>
              <w:end w:w="100" w:type="dxa"/>
            </w:tcMar>
            <w:vAlign w:val="top"/>
          </w:tcPr>
          <w:p>
            <w:r>
              <w:t>The platform does not depend on ML. ML may later accelerate CFD/system-identification model creation.</w:t>
            </w:r>
          </w:p>
        </w:tc>
      </w:tr>
      <w:tr>
        <w:tc>
          <w:tcPr>
            <w:tcW w:type="dxa" w:w="2088"/>
            <w:tcMar>
              <w:top w:w="80" w:type="dxa"/>
              <w:start w:w="100" w:type="dxa"/>
              <w:bottom w:w="80" w:type="dxa"/>
              <w:end w:w="100" w:type="dxa"/>
            </w:tcMar>
            <w:vAlign w:val="top"/>
          </w:tcPr>
          <w:p>
            <w:r>
              <w:t>Perception error models</w:t>
            </w:r>
          </w:p>
        </w:tc>
        <w:tc>
          <w:tcPr>
            <w:tcW w:type="dxa" w:w="1512"/>
            <w:tcMar>
              <w:top w:w="80" w:type="dxa"/>
              <w:start w:w="100" w:type="dxa"/>
              <w:bottom w:w="80" w:type="dxa"/>
              <w:end w:w="100" w:type="dxa"/>
            </w:tcMar>
            <w:vAlign w:val="top"/>
          </w:tcPr>
          <w:p>
            <w:r>
              <w:t>Deferred</w:t>
            </w:r>
          </w:p>
        </w:tc>
        <w:tc>
          <w:tcPr>
            <w:tcW w:type="dxa" w:w="6912"/>
            <w:tcMar>
              <w:top w:w="80" w:type="dxa"/>
              <w:start w:w="100" w:type="dxa"/>
              <w:bottom w:w="80" w:type="dxa"/>
              <w:end w:w="100" w:type="dxa"/>
            </w:tcMar>
            <w:vAlign w:val="top"/>
          </w:tcPr>
          <w:p>
            <w:r>
              <w:t>Abstract sensors use simple numeric noise in V1; false detections/missed detections are future work.</w:t>
            </w:r>
          </w:p>
        </w:tc>
      </w:tr>
      <w:tr>
        <w:tc>
          <w:tcPr>
            <w:tcW w:type="dxa" w:w="3360"/>
          </w:tcPr>
          <w:p>
            <w:r>
              <w:t>Benchmark suite / algorithm baselines</w:t>
            </w:r>
          </w:p>
        </w:tc>
        <w:tc>
          <w:tcPr>
            <w:tcW w:type="dxa" w:w="3360"/>
          </w:tcPr>
          <w:p>
            <w:r>
              <w:t>Deferred to study design</w:t>
            </w:r>
          </w:p>
        </w:tc>
        <w:tc>
          <w:tcPr>
            <w:tcW w:type="dxa" w:w="3360"/>
          </w:tcPr>
          <w:p>
            <w:r>
              <w:t>Concrete AAMAS benchmark tasks, baseline algorithms, and hypothesis tests belong in the study-design document rather than this system-architecture document.</w:t>
            </w:r>
          </w:p>
        </w:tc>
      </w:tr>
    </w:tbl>
    <w:p/>
    <w:p>
      <w:pPr>
        <w:pStyle w:val="Heading1"/>
        <w:keepNext/>
        <w:spacing w:before="200" w:after="80"/>
      </w:pPr>
      <w:r>
        <w:t>20. Boundaries and non-goals</w:t>
      </w:r>
    </w:p>
    <w:p>
      <w:pPr>
        <w:pStyle w:val="ListBullet"/>
        <w:spacing w:after="40"/>
      </w:pPr>
      <w:r>
        <w:t>The architecture is not trying to make every simulation run maximum fidelity by default.</w:t>
      </w:r>
    </w:p>
    <w:p>
      <w:pPr>
        <w:pStyle w:val="ListBullet"/>
        <w:spacing w:after="40"/>
      </w:pPr>
      <w:r>
        <w:t>The platform does not require CAD or CFD to create a vessel.</w:t>
      </w:r>
    </w:p>
    <w:p>
      <w:pPr>
        <w:pStyle w:val="ListBullet"/>
        <w:spacing w:after="40"/>
      </w:pPr>
      <w:r>
        <w:t>The web application does not contain a second independent simulation engine.</w:t>
      </w:r>
    </w:p>
    <w:p>
      <w:pPr>
        <w:pStyle w:val="ListBullet"/>
        <w:spacing w:after="40"/>
      </w:pPr>
      <w:r>
        <w:t>The PettingZoo interface does not dictate internal physics or data structures.</w:t>
      </w:r>
    </w:p>
    <w:p>
      <w:pPr>
        <w:pStyle w:val="ListBullet"/>
        <w:spacing w:after="40"/>
      </w:pPr>
      <w:r>
        <w:t>Tasks do not own world physics; vessels do not own global environment state.</w:t>
      </w:r>
    </w:p>
    <w:p>
      <w:pPr>
        <w:pStyle w:val="ListBullet"/>
        <w:spacing w:after="40"/>
      </w:pPr>
      <w:r>
        <w:t>A “sensor” is not allowed to silently expose privileged ground truth; ground-truth access is explicit.</w:t>
      </w:r>
    </w:p>
    <w:p>
      <w:pPr>
        <w:pStyle w:val="ListBullet"/>
        <w:spacing w:after="40"/>
      </w:pPr>
      <w:r>
        <w:t>Reactive traffic is not implemented as a separate ad-hoc obstacle behavior framework when it should be modeled as a full entity.</w:t>
      </w:r>
    </w:p>
    <w:p>
      <w:pPr>
        <w:pStyle w:val="ListBullet"/>
        <w:spacing w:after="40"/>
      </w:pPr>
      <w:r>
        <w:t>The initial design does not promise full CFD-level wake interaction during training.</w:t>
      </w:r>
    </w:p>
    <w:p>
      <w:pPr>
        <w:pStyle w:val="ListBullet"/>
        <w:spacing w:after="40"/>
      </w:pPr>
      <w:r>
        <w:t>The initial design does not promise that arbitrary uploaded policy code is safe to execute; public demos require constrained policy packaging/execution.</w:t>
      </w:r>
    </w:p>
    <w:p>
      <w:pPr>
        <w:pStyle w:val="ListBullet"/>
      </w:pPr>
      <w:r>
        <w:t>The architecture does not permit mixed dynamics implementations or mixed full/constrained DOF modes inside one simulation environment, and it does not permit changing DOF mode mid-episode. Full 6-DOF and constrained planar operation share one primary plant and are selected between episodes/training stages.</w:t>
      </w:r>
    </w:p>
    <w:p>
      <w:pPr>
        <w:pStyle w:val="ListBullet"/>
      </w:pPr>
      <w:r>
        <w:t>The initial V1 does not support arbitrary per-agent asynchronous policy clocks. Active RL agents in an environment act on one common scenario-level policy tick; physics and sensors remain independently multi-rate internally.</w:t>
      </w:r>
    </w:p>
    <w:p>
      <w:pPr>
        <w:pStyle w:val="Heading1"/>
        <w:keepNext/>
        <w:spacing w:before="200" w:after="80"/>
      </w:pPr>
      <w:r>
        <w:t>21. Architecture completeness assessment</w:t>
      </w:r>
    </w:p>
    <w:p>
      <w:r>
        <w:t>At this point, the platform has a coherent system-level architecture suitable for conversion into a later technical specification. The major component boundaries and invariants are resolved: vessel/world/scenario separation; one primary 6-DOF plant with a scenario-wide constrained planar mode; canonical 6-DOF vessel state; NED world and FRD body frames with one centralized conversion boundary and SI units; config-first composition; one common policy tick with fixed deterministic master time and fixed integer substeps; dual control modes; physical/abstract/ground-truth observation layers; environment × vessel parallel execution with deterministic component reductions; multi-agent contact, disabled-agent lifecycle, non-learning traffic, and double-buffered shared fields; scenario generation; RL adapter boundary; web/backend boundary; provenance-rich logging/metrics; fail-closed validation and migration regression gates; policy packaging; and multiple vessel-model creation paths.</w:t>
      </w:r>
    </w:p>
    <w:p>
      <w:r>
        <w:t>The remaining loose ends are intentional and mostly belong to the next phase: exact config syntax and module/class contracts, backend technology choices, the detailed 6-DOF numerical formulation and contact implementation, the final SDK surface, profiling-derived performance targets, wake/coupling equations, damage details, and the AAMAS study design (benchmark tasks, baselines, and research hypotheses). Those should be filled in without reopening the architectural invariants recorded here unless implementation evidence demonstrates a real conflict.</w:t>
      </w:r>
    </w:p>
    <w:tbl>
      <w:tblPr>
        <w:tblW w:type="auto" w:w="0"/>
        <w:jc w:val="center"/>
        <w:tblLook w:firstColumn="1" w:firstRow="1" w:lastColumn="0" w:lastRow="0" w:noHBand="0" w:noVBand="1" w:val="04A0"/>
      </w:tblPr>
      <w:tblGrid>
        <w:gridCol w:w="10080"/>
      </w:tblGrid>
      <w:tr>
        <w:tc>
          <w:tcPr>
            <w:tcW w:type="dxa" w:w="10080"/>
            <w:shd w:fill="EEF2F5"/>
            <w:tcMar>
              <w:top w:w="140" w:type="dxa"/>
              <w:start w:w="160" w:type="dxa"/>
              <w:bottom w:w="140" w:type="dxa"/>
              <w:end w:w="160" w:type="dxa"/>
            </w:tcMar>
          </w:tcPr>
          <w:p>
            <w:r>
              <w:rPr>
                <w:b/>
              </w:rPr>
              <w:t xml:space="preserve">Recommended next artifact. </w:t>
            </w:r>
            <w:r>
              <w:t>The next document should be a technical design specification derived from this architecture—not a rewrite of it. That spec would assign concrete modules, interfaces, schemas, lifecycle signatures, data structures, solver/backend choices, migration steps from the current simulator, and validation tests to each architectural component.</w:t>
            </w:r>
          </w:p>
        </w:tc>
      </w:tr>
    </w:tbl>
    <w:p/>
    <w:p>
      <w:pPr>
        <w:pStyle w:val="Heading1"/>
        <w:keepNext/>
        <w:pageBreakBefore/>
        <w:spacing w:before="200" w:after="80"/>
      </w:pPr>
      <w:r>
        <w:t>Appendix A. Consolidated decision ledger</w:t>
      </w:r>
    </w:p>
    <w:tbl>
      <w:tblPr>
        <w:tblStyle w:val="TableGrid"/>
        <w:tblW w:type="auto" w:w="0"/>
        <w:jc w:val="center"/>
        <w:tblLook w:firstColumn="1" w:firstRow="1" w:lastColumn="0" w:lastRow="0" w:noHBand="0" w:noVBand="1" w:val="04A0"/>
      </w:tblPr>
      <w:tblGrid>
        <w:gridCol w:w="5040"/>
        <w:gridCol w:w="5040"/>
      </w:tblGrid>
      <w:tr>
        <w:tc>
          <w:tcPr>
            <w:tcW w:type="dxa" w:w="5040"/>
            <w:shd w:fill="DDE3E8"/>
          </w:tcPr>
          <w:p>
            <w:r>
              <w:rPr>
                <w:b/>
              </w:rPr>
              <w:t>Decision area</w:t>
            </w:r>
          </w:p>
        </w:tc>
        <w:tc>
          <w:tcPr>
            <w:tcW w:type="dxa" w:w="5040"/>
            <w:shd w:fill="DDE3E8"/>
          </w:tcPr>
          <w:p>
            <w:r>
              <w:rPr>
                <w:b/>
              </w:rPr>
              <w:t>Current architecture position</w:t>
            </w:r>
          </w:p>
        </w:tc>
      </w:tr>
      <w:tr>
        <w:tc>
          <w:tcPr>
            <w:tcW w:type="dxa" w:w="5040"/>
            <w:tcMar>
              <w:top w:w="70" w:type="dxa"/>
              <w:start w:w="90" w:type="dxa"/>
              <w:bottom w:w="70" w:type="dxa"/>
              <w:end w:w="90" w:type="dxa"/>
            </w:tcMar>
          </w:tcPr>
          <w:p>
            <w:r>
              <w:t>System identity</w:t>
            </w:r>
          </w:p>
        </w:tc>
        <w:tc>
          <w:tcPr>
            <w:tcW w:type="dxa" w:w="5040"/>
            <w:tcMar>
              <w:top w:w="70" w:type="dxa"/>
              <w:start w:w="90" w:type="dxa"/>
              <w:bottom w:w="70" w:type="dxa"/>
              <w:end w:w="90" w:type="dxa"/>
            </w:tcMar>
          </w:tcPr>
          <w:p>
            <w:r>
              <w:t>Easy-to-use marine MARL simulator with low-level escape hatches.</w:t>
            </w:r>
          </w:p>
        </w:tc>
      </w:tr>
      <w:tr>
        <w:tc>
          <w:tcPr>
            <w:tcW w:type="dxa" w:w="5040"/>
            <w:tcMar>
              <w:top w:w="70" w:type="dxa"/>
              <w:start w:w="90" w:type="dxa"/>
              <w:bottom w:w="70" w:type="dxa"/>
              <w:end w:w="90" w:type="dxa"/>
            </w:tcMar>
          </w:tcPr>
          <w:p>
            <w:r>
              <w:t>Primary interaction</w:t>
            </w:r>
          </w:p>
        </w:tc>
        <w:tc>
          <w:tcPr>
            <w:tcW w:type="dxa" w:w="5040"/>
            <w:tcMar>
              <w:top w:w="70" w:type="dxa"/>
              <w:start w:w="90" w:type="dxa"/>
              <w:bottom w:w="70" w:type="dxa"/>
              <w:end w:w="90" w:type="dxa"/>
            </w:tcMar>
          </w:tcPr>
          <w:p>
            <w:r>
              <w:t>Configuration files and web UI; source modification not required for common experimentation.</w:t>
            </w:r>
          </w:p>
        </w:tc>
      </w:tr>
      <w:tr>
        <w:tc>
          <w:tcPr>
            <w:tcW w:type="dxa" w:w="5040"/>
            <w:tcMar>
              <w:top w:w="70" w:type="dxa"/>
              <w:start w:w="90" w:type="dxa"/>
              <w:bottom w:w="70" w:type="dxa"/>
              <w:end w:w="90" w:type="dxa"/>
            </w:tcMar>
          </w:tcPr>
          <w:p>
            <w:r>
              <w:t>Core objects</w:t>
            </w:r>
          </w:p>
        </w:tc>
        <w:tc>
          <w:tcPr>
            <w:tcW w:type="dxa" w:w="5040"/>
            <w:tcMar>
              <w:top w:w="70" w:type="dxa"/>
              <w:start w:w="90" w:type="dxa"/>
              <w:bottom w:w="70" w:type="dxa"/>
              <w:end w:w="90" w:type="dxa"/>
            </w:tcMar>
          </w:tcPr>
          <w:p>
            <w:r>
              <w:t>Vessel, World, Scenario; Task and Experiment remain separate.</w:t>
            </w:r>
          </w:p>
        </w:tc>
      </w:tr>
      <w:tr>
        <w:tc>
          <w:tcPr>
            <w:tcW w:type="dxa" w:w="5040"/>
            <w:tcMar>
              <w:top w:w="70" w:type="dxa"/>
              <w:start w:w="90" w:type="dxa"/>
              <w:bottom w:w="70" w:type="dxa"/>
              <w:end w:w="90" w:type="dxa"/>
            </w:tcMar>
          </w:tcPr>
          <w:p>
            <w:r>
              <w:t>Vessel sources</w:t>
            </w:r>
          </w:p>
        </w:tc>
        <w:tc>
          <w:tcPr>
            <w:tcW w:type="dxa" w:w="5040"/>
            <w:tcMar>
              <w:top w:w="70" w:type="dxa"/>
              <w:start w:w="90" w:type="dxa"/>
              <w:bottom w:w="70" w:type="dxa"/>
              <w:end w:w="90" w:type="dxa"/>
            </w:tcMar>
          </w:tcPr>
          <w:p>
            <w:r>
              <w:t>Manual, imported, procedural, CAD→CFD→calibration, future ML.</w:t>
            </w:r>
          </w:p>
        </w:tc>
      </w:tr>
      <w:tr>
        <w:tc>
          <w:tcPr>
            <w:tcW w:type="dxa" w:w="5040"/>
            <w:tcMar>
              <w:top w:w="70" w:type="dxa"/>
              <w:start w:w="90" w:type="dxa"/>
              <w:bottom w:w="70" w:type="dxa"/>
              <w:end w:w="90" w:type="dxa"/>
            </w:tcMar>
          </w:tcPr>
          <w:p>
            <w:r>
              <w:t>World scope</w:t>
            </w:r>
          </w:p>
        </w:tc>
        <w:tc>
          <w:tcPr>
            <w:tcW w:type="dxa" w:w="5040"/>
            <w:tcMar>
              <w:top w:w="70" w:type="dxa"/>
              <w:start w:w="90" w:type="dxa"/>
              <w:bottom w:w="70" w:type="dxa"/>
              <w:end w:w="90" w:type="dxa"/>
            </w:tcMar>
          </w:tcPr>
          <w:p>
            <w:r>
              <w:t>Water + air dynamics, weather/visibility, geography, obstacles, shared physical fields.</w:t>
            </w:r>
          </w:p>
        </w:tc>
      </w:tr>
      <w:tr>
        <w:tc>
          <w:tcPr>
            <w:tcW w:type="dxa" w:w="5040"/>
            <w:tcMar>
              <w:top w:w="70" w:type="dxa"/>
              <w:start w:w="90" w:type="dxa"/>
              <w:bottom w:w="70" w:type="dxa"/>
              <w:end w:w="90" w:type="dxa"/>
            </w:tcMar>
          </w:tcPr>
          <w:p>
            <w:r>
              <w:t>Obstacles</w:t>
            </w:r>
          </w:p>
        </w:tc>
        <w:tc>
          <w:tcPr>
            <w:tcW w:type="dxa" w:w="5040"/>
            <w:tcMar>
              <w:top w:w="70" w:type="dxa"/>
              <w:start w:w="90" w:type="dxa"/>
              <w:bottom w:w="70" w:type="dxa"/>
              <w:end w:w="90" w:type="dxa"/>
            </w:tcMar>
          </w:tcPr>
          <w:p>
            <w:r>
              <w:t>Physically participate in contact; not merely decorative.</w:t>
            </w:r>
          </w:p>
        </w:tc>
      </w:tr>
      <w:tr>
        <w:tc>
          <w:tcPr>
            <w:tcW w:type="dxa" w:w="5040"/>
            <w:tcMar>
              <w:top w:w="70" w:type="dxa"/>
              <w:start w:w="90" w:type="dxa"/>
              <w:bottom w:w="70" w:type="dxa"/>
              <w:end w:w="90" w:type="dxa"/>
            </w:tcMar>
          </w:tcPr>
          <w:p>
            <w:r>
              <w:t>Dynamic objects</w:t>
            </w:r>
          </w:p>
        </w:tc>
        <w:tc>
          <w:tcPr>
            <w:tcW w:type="dxa" w:w="5040"/>
            <w:tcMar>
              <w:top w:w="70" w:type="dxa"/>
              <w:start w:w="90" w:type="dxa"/>
              <w:bottom w:w="70" w:type="dxa"/>
              <w:end w:w="90" w:type="dxa"/>
            </w:tcMar>
          </w:tcPr>
          <w:p>
            <w:r>
              <w:t>Predefined kinematic objects may stay lightweight; reactive objects become full entities.</w:t>
            </w:r>
          </w:p>
        </w:tc>
      </w:tr>
      <w:tr>
        <w:tc>
          <w:tcPr>
            <w:tcW w:type="dxa" w:w="5040"/>
            <w:tcMar>
              <w:top w:w="70" w:type="dxa"/>
              <w:start w:w="90" w:type="dxa"/>
              <w:bottom w:w="70" w:type="dxa"/>
              <w:end w:w="90" w:type="dxa"/>
            </w:tcMar>
          </w:tcPr>
          <w:p>
            <w:r>
              <w:t>Damage</w:t>
            </w:r>
          </w:p>
        </w:tc>
        <w:tc>
          <w:tcPr>
            <w:tcW w:type="dxa" w:w="5040"/>
            <w:tcMar>
              <w:top w:w="70" w:type="dxa"/>
              <w:start w:w="90" w:type="dxa"/>
              <w:bottom w:w="70" w:type="dxa"/>
              <w:end w:w="90" w:type="dxa"/>
            </w:tcMar>
          </w:tcPr>
          <w:p>
            <w:r>
              <w:t>Optional future persistent subsystem.</w:t>
            </w:r>
          </w:p>
        </w:tc>
      </w:tr>
      <w:tr>
        <w:tc>
          <w:tcPr>
            <w:tcW w:type="dxa" w:w="5040"/>
            <w:tcMar>
              <w:top w:w="70" w:type="dxa"/>
              <w:start w:w="90" w:type="dxa"/>
              <w:bottom w:w="70" w:type="dxa"/>
              <w:end w:w="90" w:type="dxa"/>
            </w:tcMar>
          </w:tcPr>
          <w:p>
            <w:r>
              <w:t>Controls</w:t>
            </w:r>
          </w:p>
        </w:tc>
        <w:tc>
          <w:tcPr>
            <w:tcW w:type="dxa" w:w="5040"/>
            <w:tcMar>
              <w:top w:w="70" w:type="dxa"/>
              <w:start w:w="90" w:type="dxa"/>
              <w:bottom w:w="70" w:type="dxa"/>
              <w:end w:w="90" w:type="dxa"/>
            </w:tcMar>
          </w:tcPr>
          <w:p>
            <w:r>
              <w:t>High-level/autopilot mode and direct actuator mode.</w:t>
            </w:r>
          </w:p>
        </w:tc>
      </w:tr>
      <w:tr>
        <w:tc>
          <w:tcPr>
            <w:tcW w:type="dxa" w:w="5040"/>
            <w:tcMar>
              <w:top w:w="70" w:type="dxa"/>
              <w:start w:w="90" w:type="dxa"/>
              <w:bottom w:w="70" w:type="dxa"/>
              <w:end w:w="90" w:type="dxa"/>
            </w:tcMar>
          </w:tcPr>
          <w:p>
            <w:r>
              <w:t>Sensors</w:t>
            </w:r>
          </w:p>
        </w:tc>
        <w:tc>
          <w:tcPr>
            <w:tcW w:type="dxa" w:w="5040"/>
            <w:tcMar>
              <w:top w:w="70" w:type="dxa"/>
              <w:start w:w="90" w:type="dxa"/>
              <w:bottom w:w="70" w:type="dxa"/>
              <w:end w:w="90" w:type="dxa"/>
            </w:tcMar>
          </w:tcPr>
          <w:p>
            <w:r>
              <w:t>Physical, abstract, and explicit ground-truth modes.</w:t>
            </w:r>
          </w:p>
        </w:tc>
      </w:tr>
      <w:tr>
        <w:tc>
          <w:tcPr>
            <w:tcW w:type="dxa" w:w="5040"/>
            <w:tcMar>
              <w:top w:w="70" w:type="dxa"/>
              <w:start w:w="90" w:type="dxa"/>
              <w:bottom w:w="70" w:type="dxa"/>
              <w:end w:w="90" w:type="dxa"/>
            </w:tcMar>
          </w:tcPr>
          <w:p>
            <w:r>
              <w:t>Abstract sensor errors</w:t>
            </w:r>
          </w:p>
        </w:tc>
        <w:tc>
          <w:tcPr>
            <w:tcW w:type="dxa" w:w="5040"/>
            <w:tcMar>
              <w:top w:w="70" w:type="dxa"/>
              <w:start w:w="90" w:type="dxa"/>
              <w:bottom w:w="70" w:type="dxa"/>
              <w:end w:w="90" w:type="dxa"/>
            </w:tcMar>
          </w:tcPr>
          <w:p>
            <w:r>
              <w:t>Simple seed-driven numeric noise in V1.</w:t>
            </w:r>
          </w:p>
        </w:tc>
      </w:tr>
      <w:tr>
        <w:tc>
          <w:tcPr>
            <w:tcW w:type="dxa" w:w="5040"/>
            <w:tcMar>
              <w:top w:w="70" w:type="dxa"/>
              <w:start w:w="90" w:type="dxa"/>
              <w:bottom w:w="70" w:type="dxa"/>
              <w:end w:w="90" w:type="dxa"/>
            </w:tcMar>
          </w:tcPr>
          <w:p>
            <w:r>
              <w:t>Units</w:t>
            </w:r>
          </w:p>
        </w:tc>
        <w:tc>
          <w:tcPr>
            <w:tcW w:type="dxa" w:w="5040"/>
            <w:tcMar>
              <w:top w:w="70" w:type="dxa"/>
              <w:start w:w="90" w:type="dxa"/>
              <w:bottom w:w="70" w:type="dxa"/>
              <w:end w:w="90" w:type="dxa"/>
            </w:tcMar>
          </w:tcPr>
          <w:p>
            <w:r>
              <w:t>SI internally.</w:t>
            </w:r>
          </w:p>
        </w:tc>
      </w:tr>
      <w:tr>
        <w:tc>
          <w:tcPr>
            <w:tcW w:type="dxa" w:w="5040"/>
            <w:tcMar>
              <w:top w:w="70" w:type="dxa"/>
              <w:start w:w="90" w:type="dxa"/>
              <w:bottom w:w="70" w:type="dxa"/>
              <w:end w:w="90" w:type="dxa"/>
            </w:tcMar>
          </w:tcPr>
          <w:p>
            <w:r>
              <w:t>Frames</w:t>
            </w:r>
          </w:p>
        </w:tc>
        <w:tc>
          <w:tcPr>
            <w:tcW w:type="dxa" w:w="5040"/>
            <w:tcMar>
              <w:top w:w="70" w:type="dxa"/>
              <w:start w:w="90" w:type="dxa"/>
              <w:bottom w:w="70" w:type="dxa"/>
              <w:end w:w="90" w:type="dxa"/>
            </w:tcMar>
          </w:tcPr>
          <w:p>
            <w:r>
              <w:t>Local NED world/navigation frame + FRD vessel body frame + explicit sensor frames; one centralized conversion subsystem handles external ENU/FLU, bathymetry vertical semantics, web display transforms, and units.</w:t>
            </w:r>
          </w:p>
        </w:tc>
      </w:tr>
      <w:tr>
        <w:tc>
          <w:tcPr>
            <w:tcW w:type="dxa" w:w="5040"/>
            <w:tcMar>
              <w:top w:w="70" w:type="dxa"/>
              <w:start w:w="90" w:type="dxa"/>
              <w:bottom w:w="70" w:type="dxa"/>
              <w:end w:w="90" w:type="dxa"/>
            </w:tcMar>
          </w:tcPr>
          <w:p>
            <w:r>
              <w:t>Clock</w:t>
            </w:r>
          </w:p>
        </w:tc>
        <w:tc>
          <w:tcPr>
            <w:tcW w:type="dxa" w:w="5040"/>
            <w:tcMar>
              <w:top w:w="70" w:type="dxa"/>
              <w:start w:w="90" w:type="dxa"/>
              <w:bottom w:w="70" w:type="dxa"/>
              <w:end w:w="90" w:type="dxa"/>
            </w:tcMar>
          </w:tcPr>
          <w:p>
            <w:r>
              <w:t>Fixed deterministic master step; fixed integer dynamics substeps selected per environment; sensors remain multi-rate.</w:t>
            </w:r>
          </w:p>
        </w:tc>
      </w:tr>
      <w:tr>
        <w:tc>
          <w:tcPr>
            <w:tcW w:type="dxa" w:w="5040"/>
            <w:tcMar>
              <w:top w:w="70" w:type="dxa"/>
              <w:start w:w="90" w:type="dxa"/>
              <w:bottom w:w="70" w:type="dxa"/>
              <w:end w:w="90" w:type="dxa"/>
            </w:tcMar>
          </w:tcPr>
          <w:p>
            <w:r>
              <w:t>Slow policy behavior</w:t>
            </w:r>
          </w:p>
        </w:tc>
        <w:tc>
          <w:tcPr>
            <w:tcW w:type="dxa" w:w="5040"/>
            <w:tcMar>
              <w:top w:w="70" w:type="dxa"/>
              <w:start w:w="90" w:type="dxa"/>
              <w:bottom w:w="70" w:type="dxa"/>
              <w:end w:w="90" w:type="dxa"/>
            </w:tcMar>
          </w:tcPr>
          <w:p>
            <w:r>
              <w:t>One common policy tick for active RL agents; hold last action between policy ticks.</w:t>
            </w:r>
          </w:p>
        </w:tc>
      </w:tr>
      <w:tr>
        <w:tc>
          <w:tcPr>
            <w:tcW w:type="dxa" w:w="5040"/>
            <w:tcMar>
              <w:top w:w="70" w:type="dxa"/>
              <w:start w:w="90" w:type="dxa"/>
              <w:bottom w:w="70" w:type="dxa"/>
              <w:end w:w="90" w:type="dxa"/>
            </w:tcMar>
          </w:tcPr>
          <w:p>
            <w:r>
              <w:t>RL API</w:t>
            </w:r>
          </w:p>
        </w:tc>
        <w:tc>
          <w:tcPr>
            <w:tcW w:type="dxa" w:w="5040"/>
            <w:tcMar>
              <w:top w:w="70" w:type="dxa"/>
              <w:start w:w="90" w:type="dxa"/>
              <w:bottom w:w="70" w:type="dxa"/>
              <w:end w:w="90" w:type="dxa"/>
            </w:tcMar>
          </w:tcPr>
          <w:p>
            <w:r>
              <w:t>PettingZoo-compatible parallel adapter, thin and in-process; all active RL agents act on one common policy tick in V1.</w:t>
            </w:r>
          </w:p>
        </w:tc>
      </w:tr>
      <w:tr>
        <w:tc>
          <w:tcPr>
            <w:tcW w:type="dxa" w:w="5040"/>
            <w:tcMar>
              <w:top w:w="70" w:type="dxa"/>
              <w:start w:w="90" w:type="dxa"/>
              <w:bottom w:w="70" w:type="dxa"/>
              <w:end w:w="90" w:type="dxa"/>
            </w:tcMar>
          </w:tcPr>
          <w:p>
            <w:r>
              <w:t>Scenario generation</w:t>
            </w:r>
          </w:p>
        </w:tc>
        <w:tc>
          <w:tcPr>
            <w:tcW w:type="dxa" w:w="5040"/>
            <w:tcMar>
              <w:top w:w="70" w:type="dxa"/>
              <w:start w:w="90" w:type="dxa"/>
              <w:bottom w:w="70" w:type="dxa"/>
              <w:end w:w="90" w:type="dxa"/>
            </w:tcMar>
          </w:tcPr>
          <w:p>
            <w:r>
              <w:t>Template + seeded parameter sampling; resolved scenarios are reproducible.</w:t>
            </w:r>
          </w:p>
        </w:tc>
      </w:tr>
      <w:tr>
        <w:tc>
          <w:tcPr>
            <w:tcW w:type="dxa" w:w="5040"/>
            <w:tcMar>
              <w:top w:w="70" w:type="dxa"/>
              <w:start w:w="90" w:type="dxa"/>
              <w:bottom w:w="70" w:type="dxa"/>
              <w:end w:w="90" w:type="dxa"/>
            </w:tcMar>
          </w:tcPr>
          <w:p>
            <w:r>
              <w:t>Teacher</w:t>
            </w:r>
          </w:p>
        </w:tc>
        <w:tc>
          <w:tcPr>
            <w:tcW w:type="dxa" w:w="5040"/>
            <w:tcMar>
              <w:top w:w="70" w:type="dxa"/>
              <w:start w:w="90" w:type="dxa"/>
              <w:bottom w:w="70" w:type="dxa"/>
              <w:end w:w="90" w:type="dxa"/>
            </w:tcMar>
          </w:tcPr>
          <w:p>
            <w:r>
              <w:t>Optional future layer above scenario generation.</w:t>
            </w:r>
          </w:p>
        </w:tc>
      </w:tr>
      <w:tr>
        <w:tc>
          <w:tcPr>
            <w:tcW w:type="dxa" w:w="5040"/>
            <w:tcMar>
              <w:top w:w="70" w:type="dxa"/>
              <w:start w:w="90" w:type="dxa"/>
              <w:bottom w:w="70" w:type="dxa"/>
              <w:end w:w="90" w:type="dxa"/>
            </w:tcMar>
          </w:tcPr>
          <w:p>
            <w:r>
              <w:t>Configs</w:t>
            </w:r>
          </w:p>
        </w:tc>
        <w:tc>
          <w:tcPr>
            <w:tcW w:type="dxa" w:w="5040"/>
            <w:tcMar>
              <w:top w:w="70" w:type="dxa"/>
              <w:start w:w="90" w:type="dxa"/>
              <w:bottom w:w="70" w:type="dxa"/>
              <w:end w:w="90" w:type="dxa"/>
            </w:tcMar>
          </w:tcPr>
          <w:p>
            <w:r>
              <w:t>Versioned, composed with overrides, validated, fully resolved for execution.</w:t>
            </w:r>
          </w:p>
        </w:tc>
      </w:tr>
      <w:tr>
        <w:tc>
          <w:tcPr>
            <w:tcW w:type="dxa" w:w="5040"/>
            <w:tcMar>
              <w:top w:w="70" w:type="dxa"/>
              <w:start w:w="90" w:type="dxa"/>
              <w:bottom w:w="70" w:type="dxa"/>
              <w:end w:w="90" w:type="dxa"/>
            </w:tcMar>
          </w:tcPr>
          <w:p>
            <w:r>
              <w:t>Web</w:t>
            </w:r>
          </w:p>
        </w:tc>
        <w:tc>
          <w:tcPr>
            <w:tcW w:type="dxa" w:w="5040"/>
            <w:tcMar>
              <w:top w:w="70" w:type="dxa"/>
              <w:start w:w="90" w:type="dxa"/>
              <w:bottom w:w="70" w:type="dxa"/>
              <w:end w:w="90" w:type="dxa"/>
            </w:tcMar>
          </w:tcPr>
          <w:p>
            <w:r>
              <w:t>First-class authoring + demo UI; backend required initially.</w:t>
            </w:r>
          </w:p>
        </w:tc>
      </w:tr>
      <w:tr>
        <w:tc>
          <w:tcPr>
            <w:tcW w:type="dxa" w:w="5040"/>
            <w:tcMar>
              <w:top w:w="70" w:type="dxa"/>
              <w:start w:w="90" w:type="dxa"/>
              <w:bottom w:w="70" w:type="dxa"/>
              <w:end w:w="90" w:type="dxa"/>
            </w:tcMar>
          </w:tcPr>
          <w:p>
            <w:r>
              <w:t>Policy bundle</w:t>
            </w:r>
          </w:p>
        </w:tc>
        <w:tc>
          <w:tcPr>
            <w:tcW w:type="dxa" w:w="5040"/>
            <w:tcMar>
              <w:top w:w="70" w:type="dxa"/>
              <w:start w:w="90" w:type="dxa"/>
              <w:bottom w:w="70" w:type="dxa"/>
              <w:end w:w="90" w:type="dxa"/>
            </w:tcMar>
          </w:tcPr>
          <w:p>
            <w:r>
              <w:t>Weights/model + observation/action contract + versioned metadata; constrained execution preferred.</w:t>
            </w:r>
          </w:p>
        </w:tc>
      </w:tr>
      <w:tr>
        <w:tc>
          <w:tcPr>
            <w:tcW w:type="dxa" w:w="5040"/>
            <w:tcMar>
              <w:top w:w="70" w:type="dxa"/>
              <w:start w:w="90" w:type="dxa"/>
              <w:bottom w:w="70" w:type="dxa"/>
              <w:end w:w="90" w:type="dxa"/>
            </w:tcMar>
          </w:tcPr>
          <w:p>
            <w:r>
              <w:t>Logging</w:t>
            </w:r>
          </w:p>
        </w:tc>
        <w:tc>
          <w:tcPr>
            <w:tcW w:type="dxa" w:w="5040"/>
            <w:tcMar>
              <w:top w:w="70" w:type="dxa"/>
              <w:start w:w="90" w:type="dxa"/>
              <w:bottom w:w="70" w:type="dxa"/>
              <w:end w:w="90" w:type="dxa"/>
            </w:tcMar>
          </w:tcPr>
          <w:p>
            <w:r>
              <w:t>Async logging with mandatory run manifest: resolved config hash, commits/versions, dynamics/vessel fingerprints, asset hashes, mode/timestep settings, seeds, trainer provenance, and termination reason.</w:t>
            </w:r>
          </w:p>
        </w:tc>
      </w:tr>
      <w:tr>
        <w:tc>
          <w:tcPr>
            <w:tcW w:type="dxa" w:w="5040"/>
            <w:tcMar>
              <w:top w:w="70" w:type="dxa"/>
              <w:start w:w="90" w:type="dxa"/>
              <w:bottom w:w="70" w:type="dxa"/>
              <w:end w:w="90" w:type="dxa"/>
            </w:tcMar>
          </w:tcPr>
          <w:p>
            <w:r>
              <w:t>Metrics</w:t>
            </w:r>
          </w:p>
        </w:tc>
        <w:tc>
          <w:tcPr>
            <w:tcW w:type="dxa" w:w="5040"/>
            <w:tcMar>
              <w:top w:w="70" w:type="dxa"/>
              <w:start w:w="90" w:type="dxa"/>
              <w:bottom w:w="70" w:type="dxa"/>
              <w:end w:w="90" w:type="dxa"/>
            </w:tcMar>
          </w:tcPr>
          <w:p>
            <w:r>
              <w:t>Built-in opt-in registry + custom metrics/logging SDK.</w:t>
            </w:r>
          </w:p>
        </w:tc>
      </w:tr>
      <w:tr>
        <w:tc>
          <w:tcPr>
            <w:tcW w:type="dxa" w:w="5040"/>
            <w:tcMar>
              <w:top w:w="70" w:type="dxa"/>
              <w:start w:w="90" w:type="dxa"/>
              <w:bottom w:w="70" w:type="dxa"/>
              <w:end w:w="90" w:type="dxa"/>
            </w:tcMar>
          </w:tcPr>
          <w:p>
            <w:r>
              <w:t>Validation</w:t>
            </w:r>
          </w:p>
        </w:tc>
        <w:tc>
          <w:tcPr>
            <w:tcW w:type="dxa" w:w="5040"/>
            <w:tcMar>
              <w:top w:w="70" w:type="dxa"/>
              <w:start w:w="90" w:type="dxa"/>
              <w:bottom w:w="70" w:type="dxa"/>
              <w:end w:w="90" w:type="dxa"/>
            </w:tcMar>
          </w:tcPr>
          <w:p>
            <w:r>
              <w:t>Fail-closed config/reference validation, model-specific physical plausibility checks, deterministic component tests, and canonical end-to-end regression scenarios.</w:t>
            </w:r>
          </w:p>
        </w:tc>
      </w:tr>
      <w:tr>
        <w:tc>
          <w:tcPr>
            <w:tcW w:type="dxa" w:w="5040"/>
            <w:tcMar>
              <w:top w:w="70" w:type="dxa"/>
              <w:start w:w="90" w:type="dxa"/>
              <w:bottom w:w="70" w:type="dxa"/>
              <w:end w:w="90" w:type="dxa"/>
            </w:tcMar>
          </w:tcPr>
          <w:p>
            <w:r>
              <w:t>Determinism</w:t>
            </w:r>
          </w:p>
        </w:tc>
        <w:tc>
          <w:tcPr>
            <w:tcW w:type="dxa" w:w="5040"/>
            <w:tcMar>
              <w:top w:w="70" w:type="dxa"/>
              <w:start w:w="90" w:type="dxa"/>
              <w:bottom w:w="70" w:type="dxa"/>
              <w:end w:w="90" w:type="dxa"/>
            </w:tcMar>
          </w:tcPr>
          <w:p>
            <w:r>
              <w:t>Exact on same backend/config, including deterministic many-to-one reductions and shared-field ordering; tolerances acceptable across different numerical platforms.</w:t>
            </w:r>
          </w:p>
        </w:tc>
      </w:tr>
      <w:tr>
        <w:tc>
          <w:tcPr>
            <w:tcW w:type="dxa" w:w="5040"/>
            <w:tcMar>
              <w:top w:w="70" w:type="dxa"/>
              <w:start w:w="90" w:type="dxa"/>
              <w:bottom w:w="70" w:type="dxa"/>
              <w:end w:w="90" w:type="dxa"/>
            </w:tcMar>
          </w:tcPr>
          <w:p>
            <w:r>
              <w:t>CFD/ML</w:t>
            </w:r>
          </w:p>
        </w:tc>
        <w:tc>
          <w:tcPr>
            <w:tcW w:type="dxa" w:w="5040"/>
            <w:tcMar>
              <w:top w:w="70" w:type="dxa"/>
              <w:start w:w="90" w:type="dxa"/>
              <w:bottom w:w="70" w:type="dxa"/>
              <w:end w:w="90" w:type="dxa"/>
            </w:tcMar>
          </w:tcPr>
          <w:p>
            <w:r>
              <w:t>CFD is baseline model-generation path; ML is optional acceleration, never a dependency.</w:t>
            </w:r>
          </w:p>
        </w:tc>
      </w:tr>
      <w:tr>
        <w:tc>
          <w:tcPr>
            <w:tcW w:type="dxa" w:w="5040"/>
            <w:tcMar>
              <w:top w:w="70" w:type="dxa"/>
              <w:start w:w="90" w:type="dxa"/>
              <w:bottom w:w="70" w:type="dxa"/>
              <w:end w:w="90" w:type="dxa"/>
            </w:tcMar>
          </w:tcPr>
          <w:p>
            <w:r>
              <w:t>Fidelity</w:t>
            </w:r>
          </w:p>
        </w:tc>
        <w:tc>
          <w:tcPr>
            <w:tcW w:type="dxa" w:w="5040"/>
            <w:tcMar>
              <w:top w:w="70" w:type="dxa"/>
              <w:start w:w="90" w:type="dxa"/>
              <w:bottom w:w="70" w:type="dxa"/>
              <w:end w:w="90" w:type="dxa"/>
            </w:tcMar>
          </w:tcPr>
          <w:p>
            <w:r>
              <w:t>Primary full 6-DOF plant plus scenario-wide constrained planar mode; other subsystem fidelity may be staged/continuous where meaningful. Mode changes occur only between episodes.</w:t>
            </w:r>
          </w:p>
        </w:tc>
      </w:tr>
      <w:tr>
        <w:tc>
          <w:tcPr>
            <w:tcW w:type="dxa" w:w="5040"/>
            <w:tcMar>
              <w:top w:w="70" w:type="dxa"/>
              <w:start w:w="90" w:type="dxa"/>
              <w:bottom w:w="70" w:type="dxa"/>
              <w:end w:w="90" w:type="dxa"/>
            </w:tcMar>
          </w:tcPr>
          <w:p>
            <w:r>
              <w:t>Performance</w:t>
            </w:r>
          </w:p>
        </w:tc>
        <w:tc>
          <w:tcPr>
            <w:tcW w:type="dxa" w:w="5040"/>
            <w:tcMar>
              <w:top w:w="70" w:type="dxa"/>
              <w:start w:w="90" w:type="dxa"/>
              <w:bottom w:w="70" w:type="dxa"/>
              <w:end w:w="90" w:type="dxa"/>
            </w:tcMar>
          </w:tcPr>
          <w:p>
            <w:r>
              <w:t>TBD after profiling; architecture preserves heterogeneous batch/vector execution rather than requiring homogeneous full-vehicle tensors.</w:t>
            </w:r>
          </w:p>
        </w:tc>
      </w:tr>
      <w:tr>
        <w:tc>
          <w:tcPr>
            <w:tcW w:type="dxa" w:w="5040"/>
          </w:tcPr>
          <w:p>
            <w:r>
              <w:t>DOF architecture</w:t>
            </w:r>
          </w:p>
        </w:tc>
        <w:tc>
          <w:tcPr>
            <w:tcW w:type="dxa" w:w="5040"/>
          </w:tcPr>
          <w:p>
            <w:r>
              <w:t>One primary 6-DOF dynamics plant. Optional constrained planar mode clamps heave/roll/pitch to vessel-specific equilibrium and zeroes associated rates. All vessels in one environment share the same mode; no mid-episode switching.</w:t>
            </w:r>
          </w:p>
        </w:tc>
      </w:tr>
      <w:tr>
        <w:tc>
          <w:tcPr>
            <w:tcW w:type="dxa" w:w="5040"/>
          </w:tcPr>
          <w:p>
            <w:r>
              <w:t>Parallel execution</w:t>
            </w:r>
          </w:p>
        </w:tc>
        <w:tc>
          <w:tcPr>
            <w:tcW w:type="dxa" w:w="5040"/>
          </w:tcPr>
          <w:p>
            <w:r>
              <w:t>Batch across environment × vessel populations. Compatible actuators/sensors use environment and owner-vessel mappings; many-to-one accumulation is deterministic. Dynamics mode/integration schedule is uniform inside each environment.</w:t>
            </w:r>
          </w:p>
        </w:tc>
      </w:tr>
      <w:tr>
        <w:tc>
          <w:tcPr>
            <w:tcW w:type="dxa" w:w="5040"/>
          </w:tcPr>
          <w:p>
            <w:r>
              <w:t>Dynamics uniformity</w:t>
            </w:r>
          </w:p>
        </w:tc>
        <w:tc>
          <w:tcPr>
            <w:tcW w:type="dxa" w:w="5040"/>
          </w:tcPr>
          <w:p>
            <w:r>
              <w:t>A single environment cannot mix dynamics implementations or full/constrained DOF modes. Heterogeneity is expressed through vessel parameters, geometry, sensors, actuators, and capabilities.</w:t>
            </w:r>
          </w:p>
        </w:tc>
      </w:tr>
      <w:tr>
        <w:tc>
          <w:tcPr>
            <w:tcW w:type="dxa" w:w="5040"/>
          </w:tcPr>
          <w:p>
            <w:r>
              <w:t>Reward structure</w:t>
            </w:r>
          </w:p>
        </w:tc>
        <w:tc>
          <w:tcPr>
            <w:tcW w:type="dxa" w:w="5040"/>
          </w:tcPr>
          <w:p>
            <w:r>
              <w:t>Task config may use individual rewards, shared/team rewards, or weighted combinations; reward components are separately loggable.</w:t>
            </w:r>
          </w:p>
        </w:tc>
      </w:tr>
      <w:tr>
        <w:tc>
          <w:tcPr>
            <w:tcW w:type="dxa" w:w="5040"/>
          </w:tcPr>
          <w:p>
            <w:r>
              <w:t>Disabled-agent lifecycle</w:t>
            </w:r>
          </w:p>
        </w:tc>
        <w:tc>
          <w:tcPr>
            <w:tcW w:type="dxa" w:w="5040"/>
          </w:tcPr>
          <w:p>
            <w:r>
              <w:t>Task-configurable: terminate episode or deactivate the RL agent while the physical entity remains; removal requires an explicit task choice.</w:t>
            </w:r>
          </w:p>
        </w:tc>
      </w:tr>
      <w:tr>
        <w:tc>
          <w:tcPr>
            <w:tcW w:type="dxa" w:w="5040"/>
          </w:tcPr>
          <w:p>
            <w:r>
              <w:t>Traffic / controllers</w:t>
            </w:r>
          </w:p>
        </w:tc>
        <w:tc>
          <w:tcPr>
            <w:tcW w:type="dxa" w:w="5040"/>
          </w:tcPr>
          <w:p>
            <w:r>
              <w:t>Reactive entities are full simulated entities and may use learned, scripted, autopilot, or human controllers.</w:t>
            </w:r>
          </w:p>
        </w:tc>
      </w:tr>
      <w:tr>
        <w:tc>
          <w:tcPr>
            <w:tcW w:type="dxa" w:w="5040"/>
          </w:tcPr>
          <w:p>
            <w:r>
              <w:t>Shared-field ordering</w:t>
            </w:r>
          </w:p>
        </w:tc>
        <w:tc>
          <w:tcPr>
            <w:tcW w:type="dxa" w:w="5040"/>
          </w:tcPr>
          <w:p>
            <w:r>
              <w:t>Double-buffered: all vessels read the current immutable field, emissions reduce deterministically into the next field, then buffers swap at the step boundary.</w:t>
            </w:r>
          </w:p>
        </w:tc>
      </w:tr>
      <w:tr>
        <w:tc>
          <w:tcPr>
            <w:tcW w:type="dxa" w:w="5040"/>
          </w:tcPr>
          <w:p>
            <w:r>
              <w:t>Migration</w:t>
            </w:r>
          </w:p>
        </w:tc>
        <w:tc>
          <w:tcPr>
            <w:tcW w:type="dxa" w:w="5040"/>
          </w:tcPr>
          <w:p>
            <w:r>
              <w:t>Existing validated simulator behavior becomes regression gates before old implementations are retired.</w:t>
            </w:r>
          </w:p>
        </w:tc>
      </w:tr>
    </w:tbl>
    <w:sectPr w:rsidR="00FC693F" w:rsidRPr="0006063C" w:rsidSect="00034616">
      <w:headerReference w:type="default" r:id="rId11"/>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088"/>
        <w:sz w:val="16"/>
      </w:rPr>
      <w:t>Architecture synthesis • 17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088"/>
        <w:sz w:val="16"/>
      </w:rPr>
      <w:t>Marine Multi-Agent Simulation Platform — System Architecture Layout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1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34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4D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1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60"/>
    </w:pPr>
    <w:rPr>
      <w:rFonts w:ascii="Aptos" w:hAnsi="Aptos"/>
      <w:color w:val="53606C"/>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