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PROFESSIONAL SERVICES AGREEMENT</w:t>
      </w:r>
    </w:p>
    <w:p>
      <w:pPr>
        <w:pStyle w:val="Heading2"/>
      </w:pPr>
      <w:r>
        <w:t>--- PAGE 1 ---</w:t>
      </w:r>
    </w:p>
    <w:p>
      <w:pPr>
        <w:pStyle w:val="Heading1"/>
      </w:pPr>
      <w:r>
        <w:t>1. SCOPE OF SERVICES</w:t>
      </w:r>
    </w:p>
    <w:p>
      <w:r>
        <w:t>Provider shall perform specialized enterprise architecture consulting and artificial intelligence integration services as detailed in sequentially numbered Statements of Work ('SOW').</w:t>
      </w:r>
    </w:p>
    <w:p>
      <w:pPr>
        <w:pStyle w:val="Heading1"/>
      </w:pPr>
      <w:r>
        <w:t>2. PAYMENT TERMS AND INVOICING</w:t>
      </w:r>
    </w:p>
    <w:p>
      <w:r>
        <w:t>Client shall remit payment for all approved milestones within forty-five (45) days following invoice presentation. Disputed invoice line items must be formally notified in writing within ten (10) business days.</w:t>
      </w:r>
    </w:p>
    <w:p>
      <w:pPr>
        <w:pStyle w:val="Heading1"/>
      </w:pPr>
      <w:r>
        <w:t>3. RESPONSIBILITIES OF THE SUPPLIER</w:t>
      </w:r>
    </w:p>
    <w:p>
      <w:r>
        <w:t>The Service Provider shall ensure all assigned personnel possess requisite technical certifications, adhere to Client's cybersecurity policies, and deliver weekly progress reports to Client Project Director.</w:t>
      </w:r>
    </w:p>
    <w:p>
      <w:pPr>
        <w:pStyle w:val="Heading2"/>
      </w:pPr>
      <w:r>
        <w:t>--- PAGE 2 ---</w:t>
      </w:r>
    </w:p>
    <w:p>
      <w:pPr>
        <w:pStyle w:val="Heading1"/>
      </w:pPr>
      <w:r>
        <w:t>4. TERMINATION NOTICE PERIOD AND PROCEDURE</w:t>
      </w:r>
    </w:p>
    <w:p>
      <w:r>
        <w:t>Client may terminate any active Statement of Work for convenience upon forty-five (45) days written notice. Either party may terminate the Master Service Agreement immediately upon written notice if the other party enters bankruptcy or liquidation.</w:t>
      </w:r>
    </w:p>
    <w:p>
      <w:pPr>
        <w:pStyle w:val="Heading1"/>
      </w:pPr>
      <w:r>
        <w:t>5. LIMITATION OF LIABILITY</w:t>
      </w:r>
    </w:p>
    <w:p>
      <w:r>
        <w:t>Neither party's total aggregate liability arising out of or related to this Agreement shall exceed the total fees paid by Client to Provider in the twelve (12) months preceding the incident giving rise to liability.</w:t>
      </w:r>
    </w:p>
    <w:p>
      <w:pPr>
        <w:pStyle w:val="Heading1"/>
      </w:pPr>
      <w:r>
        <w:t>6. GOVERNING LAW AND DISPUTE RESOLUTION</w:t>
      </w:r>
    </w:p>
    <w:p>
      <w:r>
        <w:t>This Agreement shall be governed by the laws of the State of California. Any unresolved dispute shall be submitted to binding arbitration under JAMS Comprehensive Arbitration Rules in San Francisco, California.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