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D28B" w14:textId="178A9DEA" w:rsidR="00195651" w:rsidRDefault="00BB7202" w:rsidP="00005A5C">
      <w:pPr>
        <w:pStyle w:val="AuthorInformation"/>
        <w:rPr>
          <w:rFonts w:eastAsiaTheme="majorEastAsia" w:cstheme="majorBidi"/>
          <w:b/>
          <w:spacing w:val="-10"/>
          <w:kern w:val="28"/>
          <w:sz w:val="32"/>
          <w:szCs w:val="56"/>
        </w:rPr>
      </w:pPr>
      <w:r>
        <w:rPr>
          <w:rFonts w:eastAsiaTheme="majorEastAsia" w:cstheme="majorBidi"/>
          <w:b/>
          <w:spacing w:val="-10"/>
          <w:kern w:val="28"/>
          <w:sz w:val="32"/>
          <w:szCs w:val="56"/>
        </w:rPr>
        <w:t>M</w:t>
      </w:r>
      <w:r w:rsidR="00195651" w:rsidRPr="00195651">
        <w:rPr>
          <w:rFonts w:eastAsiaTheme="majorEastAsia" w:cstheme="majorBidi"/>
          <w:b/>
          <w:spacing w:val="-10"/>
          <w:kern w:val="28"/>
          <w:sz w:val="32"/>
          <w:szCs w:val="56"/>
        </w:rPr>
        <w:t>odeling a 3 qubit Linear Optical Quantum Computer to identify and optimize sources of optical loss</w:t>
      </w:r>
    </w:p>
    <w:p w14:paraId="702573B6" w14:textId="77777777" w:rsidR="00195651" w:rsidRDefault="00195651" w:rsidP="00005A5C">
      <w:pPr>
        <w:pStyle w:val="AuthorInformation"/>
        <w:rPr>
          <w:rFonts w:eastAsiaTheme="majorEastAsia" w:cstheme="majorBidi"/>
          <w:b/>
          <w:spacing w:val="-10"/>
          <w:kern w:val="28"/>
          <w:sz w:val="32"/>
          <w:szCs w:val="56"/>
        </w:rPr>
      </w:pPr>
    </w:p>
    <w:p w14:paraId="0999D09E" w14:textId="4C40E1DB" w:rsidR="00005A5C" w:rsidRPr="00170C0F" w:rsidRDefault="00E06F32" w:rsidP="00005A5C">
      <w:pPr>
        <w:pStyle w:val="AuthorInformation"/>
        <w:rPr>
          <w:szCs w:val="22"/>
        </w:rPr>
      </w:pPr>
      <w:r>
        <w:rPr>
          <w:szCs w:val="22"/>
        </w:rPr>
        <w:t>Aadittya</w:t>
      </w:r>
      <w:r w:rsidR="00005A5C" w:rsidRPr="00170C0F">
        <w:rPr>
          <w:szCs w:val="22"/>
        </w:rPr>
        <w:t xml:space="preserve"> </w:t>
      </w:r>
      <w:r>
        <w:rPr>
          <w:szCs w:val="22"/>
        </w:rPr>
        <w:t>Tiwari</w:t>
      </w:r>
      <w:r w:rsidR="00005A5C" w:rsidRPr="00170C0F">
        <w:rPr>
          <w:szCs w:val="22"/>
          <w:vertAlign w:val="superscript"/>
        </w:rPr>
        <w:t>1</w:t>
      </w:r>
    </w:p>
    <w:p w14:paraId="76BF07F6" w14:textId="7DD3FAF2" w:rsidR="00B66CC9" w:rsidRPr="00170C0F" w:rsidRDefault="00E01DC5" w:rsidP="00D17F27">
      <w:pPr>
        <w:pStyle w:val="Authorcontact"/>
      </w:pPr>
      <w:r w:rsidRPr="00170C0F">
        <w:t xml:space="preserve">1. </w:t>
      </w:r>
      <w:r w:rsidRPr="002E3B63">
        <w:t>Department</w:t>
      </w:r>
      <w:r w:rsidRPr="00170C0F">
        <w:t xml:space="preserve"> </w:t>
      </w:r>
      <w:r w:rsidR="00E06F32">
        <w:t>of Electrical &amp; Computer Engineering</w:t>
      </w:r>
      <w:r w:rsidRPr="00170C0F">
        <w:t xml:space="preserve">, </w:t>
      </w:r>
      <w:r w:rsidR="00E06F32">
        <w:t>Georgia Institute of Technology</w:t>
      </w:r>
      <w:r w:rsidRPr="00170C0F">
        <w:t xml:space="preserve">, </w:t>
      </w:r>
      <w:r w:rsidR="00E06F32">
        <w:t>Atlanta</w:t>
      </w:r>
      <w:r w:rsidRPr="00170C0F">
        <w:t xml:space="preserve">, </w:t>
      </w:r>
      <w:r w:rsidR="00E06F32">
        <w:t>GA</w:t>
      </w:r>
      <w:r w:rsidRPr="00170C0F">
        <w:t xml:space="preserve">, </w:t>
      </w:r>
      <w:r w:rsidR="00E06F32">
        <w:t>USA</w:t>
      </w:r>
      <w:r w:rsidR="00C66953">
        <w:t>.</w:t>
      </w:r>
    </w:p>
    <w:p w14:paraId="19A160A1" w14:textId="77777777" w:rsidR="00B44FD4" w:rsidRPr="007F5B1A" w:rsidRDefault="00B44FD4" w:rsidP="00B44FD4">
      <w:pPr>
        <w:pStyle w:val="Heading1"/>
        <w:rPr>
          <w:b w:val="0"/>
        </w:rPr>
      </w:pPr>
      <w:r w:rsidRPr="007F5B1A">
        <w:t>Abstract</w:t>
      </w:r>
    </w:p>
    <w:p w14:paraId="5F04C87E" w14:textId="0BBCF435" w:rsidR="00B44FD4" w:rsidRDefault="003E3FF2" w:rsidP="00B44FD4">
      <w:pPr>
        <w:rPr>
          <w:szCs w:val="20"/>
        </w:rPr>
      </w:pPr>
      <w:r w:rsidRPr="003E3FF2">
        <w:rPr>
          <w:szCs w:val="20"/>
        </w:rPr>
        <w:t>Optical systems are a promising platform for quantum computation, but one of the engineering constraints that hinder</w:t>
      </w:r>
      <w:r w:rsidR="00156C71">
        <w:rPr>
          <w:szCs w:val="20"/>
        </w:rPr>
        <w:t>s</w:t>
      </w:r>
      <w:r w:rsidRPr="003E3FF2">
        <w:rPr>
          <w:szCs w:val="20"/>
        </w:rPr>
        <w:t xml:space="preserve"> development </w:t>
      </w:r>
      <w:r w:rsidR="00156C71">
        <w:rPr>
          <w:szCs w:val="20"/>
        </w:rPr>
        <w:t xml:space="preserve">of </w:t>
      </w:r>
      <w:r w:rsidR="00156C71" w:rsidRPr="003E3FF2">
        <w:rPr>
          <w:szCs w:val="20"/>
        </w:rPr>
        <w:t>the</w:t>
      </w:r>
      <w:r w:rsidRPr="003E3FF2">
        <w:rPr>
          <w:szCs w:val="20"/>
        </w:rPr>
        <w:t xml:space="preserve"> field is optical loss within linear optical quantum computers (LOQC). LOQC systems use photons to serve as the qubit source</w:t>
      </w:r>
      <w:r w:rsidR="00156C71">
        <w:rPr>
          <w:szCs w:val="20"/>
        </w:rPr>
        <w:t>,</w:t>
      </w:r>
      <w:r w:rsidRPr="003E3FF2">
        <w:rPr>
          <w:szCs w:val="20"/>
        </w:rPr>
        <w:t xml:space="preserve"> and optical components such as beamsplitters and wave plates to apply quantum logic gates. Optical loss contributes to the decoherence of quantum states in an LOQC and incorrect attenuation ratios for beamsplitters, which physicists aim to control. Optical loss can arise from several sources, including but not limited to: waveguide scattering after propagation, material properties of optical components, and the physical organization of these components. </w:t>
      </w:r>
      <w:r w:rsidR="00156C71">
        <w:rPr>
          <w:szCs w:val="20"/>
        </w:rPr>
        <w:t>This work recreates</w:t>
      </w:r>
      <w:r w:rsidRPr="003E3FF2">
        <w:rPr>
          <w:szCs w:val="20"/>
        </w:rPr>
        <w:t xml:space="preserve"> a three qubit LOQC in COMSOL, a finite element analysis solver, and perform</w:t>
      </w:r>
      <w:r w:rsidR="00156C71">
        <w:rPr>
          <w:szCs w:val="20"/>
        </w:rPr>
        <w:t>s</w:t>
      </w:r>
      <w:r w:rsidRPr="003E3FF2">
        <w:rPr>
          <w:szCs w:val="20"/>
        </w:rPr>
        <w:t xml:space="preserve"> a multivariable parameter sweep over a loss function that we aim to minimize in order to find potential configurations of the optical components and materials to minimize loss within the LOQC. Results quantify the </w:t>
      </w:r>
      <w:r w:rsidR="00156C71">
        <w:rPr>
          <w:szCs w:val="20"/>
        </w:rPr>
        <w:t>performance</w:t>
      </w:r>
      <w:r w:rsidRPr="003E3FF2">
        <w:rPr>
          <w:szCs w:val="20"/>
        </w:rPr>
        <w:t xml:space="preserve"> of individual parameter configurations in meeting target values for </w:t>
      </w:r>
      <w:r w:rsidR="00156C71">
        <w:rPr>
          <w:szCs w:val="20"/>
        </w:rPr>
        <w:t>power</w:t>
      </w:r>
      <w:r w:rsidRPr="003E3FF2">
        <w:rPr>
          <w:szCs w:val="20"/>
        </w:rPr>
        <w:t xml:space="preserve"> retention and beamsplitter attenuation requirements in an interferometric control-Z gate operation.</w:t>
      </w:r>
    </w:p>
    <w:p w14:paraId="65B94512" w14:textId="77777777" w:rsidR="00592FD9" w:rsidRPr="00170C0F" w:rsidRDefault="00592FD9" w:rsidP="00B44FD4">
      <w:pPr>
        <w:rPr>
          <w:szCs w:val="20"/>
        </w:rPr>
      </w:pPr>
    </w:p>
    <w:p w14:paraId="558C78F7" w14:textId="28FC5A56" w:rsidR="00B44FD4" w:rsidRPr="002E3B63" w:rsidRDefault="00B44FD4" w:rsidP="00B624BC">
      <w:pPr>
        <w:pStyle w:val="BodyText1"/>
        <w:widowControl w:val="0"/>
        <w:rPr>
          <w:b/>
        </w:rPr>
        <w:sectPr w:rsidR="00B44FD4" w:rsidRPr="002E3B63" w:rsidSect="00B9318B">
          <w:headerReference w:type="default" r:id="rId8"/>
          <w:footerReference w:type="default" r:id="rId9"/>
          <w:pgSz w:w="11906" w:h="16838"/>
          <w:pgMar w:top="1417" w:right="1417" w:bottom="1134" w:left="1417" w:header="397" w:footer="283" w:gutter="0"/>
          <w:cols w:space="708"/>
          <w:docGrid w:linePitch="360"/>
        </w:sectPr>
      </w:pPr>
      <w:r w:rsidRPr="001659FD">
        <w:rPr>
          <w:b/>
          <w:sz w:val="22"/>
          <w:szCs w:val="22"/>
        </w:rPr>
        <w:t>Keywords:</w:t>
      </w:r>
      <w:r w:rsidR="007F5B1A">
        <w:rPr>
          <w:b/>
          <w:sz w:val="22"/>
        </w:rPr>
        <w:t xml:space="preserve"> </w:t>
      </w:r>
      <w:r w:rsidR="00E06F32">
        <w:t>Linear Optical Quantum Computing</w:t>
      </w:r>
      <w:r w:rsidR="009640A0">
        <w:t xml:space="preserve"> (LOQC)</w:t>
      </w:r>
      <w:r w:rsidR="00E06F32">
        <w:t xml:space="preserve">, Optical Loss Optimization, </w:t>
      </w:r>
      <w:r w:rsidR="00B170F0">
        <w:t>Digital Twin</w:t>
      </w:r>
      <w:r w:rsidR="00156C71">
        <w:t xml:space="preserve"> Design</w:t>
      </w:r>
      <w:r w:rsidR="00B170F0">
        <w:t xml:space="preserve">, </w:t>
      </w:r>
      <w:r w:rsidR="00E06F32">
        <w:t>Beam Envelopes Method</w:t>
      </w:r>
      <w:r w:rsidR="000B299D">
        <w:t xml:space="preserve"> (EWBE)</w:t>
      </w:r>
      <w:r w:rsidR="001659FD" w:rsidRPr="002E3B63">
        <w:t>.</w:t>
      </w:r>
    </w:p>
    <w:p w14:paraId="09098ADA" w14:textId="77777777" w:rsidR="00E01DC5" w:rsidRPr="007F5B1A" w:rsidRDefault="00E01DC5" w:rsidP="00585A80">
      <w:pPr>
        <w:pStyle w:val="Heading1"/>
        <w:rPr>
          <w:rFonts w:cs="Times New Roman"/>
          <w:b w:val="0"/>
        </w:rPr>
      </w:pPr>
      <w:r w:rsidRPr="007F5B1A">
        <w:rPr>
          <w:rFonts w:cs="Times New Roman"/>
        </w:rPr>
        <w:lastRenderedPageBreak/>
        <w:t>Introduction</w:t>
      </w:r>
    </w:p>
    <w:p w14:paraId="3C6D6008" w14:textId="3C61D664" w:rsidR="004F3062" w:rsidRDefault="004F3062" w:rsidP="004F3062">
      <w:pPr>
        <w:pStyle w:val="Heading1"/>
        <w:rPr>
          <w:b w:val="0"/>
          <w:bCs/>
          <w:sz w:val="20"/>
          <w:szCs w:val="20"/>
        </w:rPr>
      </w:pPr>
      <w:r w:rsidRPr="004F3062">
        <w:rPr>
          <w:rFonts w:eastAsia="Times New Roman" w:cs="Times New Roman"/>
          <w:b w:val="0"/>
          <w:sz w:val="20"/>
          <w:szCs w:val="24"/>
        </w:rPr>
        <w:t xml:space="preserve">Quantum Computing is an active field of research </w:t>
      </w:r>
      <w:r w:rsidR="00B624BC">
        <w:rPr>
          <w:rFonts w:eastAsia="Times New Roman" w:cs="Times New Roman"/>
          <w:b w:val="0"/>
          <w:sz w:val="20"/>
          <w:szCs w:val="24"/>
        </w:rPr>
        <w:t>because</w:t>
      </w:r>
      <w:r w:rsidRPr="004F3062">
        <w:rPr>
          <w:rFonts w:eastAsia="Times New Roman" w:cs="Times New Roman"/>
          <w:b w:val="0"/>
          <w:sz w:val="20"/>
          <w:szCs w:val="24"/>
        </w:rPr>
        <w:t xml:space="preserve"> of its potential to enable key breakthroughs in fields such as cryptography (via Shor’s algorithm for prime number factoring, relevant to RSA encryption) [1], pharmaceutical drug discovery (via quantum eigensolvers for molecular modeling) [2], and machine learning (via variational quantum circuits for neural network optimization) [3], with additional research in finding more problems with potential quantum solutions. In order to realize these solutions, sufficient hardware is required. For a system to be classified as a fault tolerant quantum computer, it needs to meet DiVincenzo’s criteria [4</w:t>
      </w:r>
      <w:commentRangeStart w:id="0"/>
      <w:r w:rsidRPr="004F3062">
        <w:rPr>
          <w:rFonts w:eastAsia="Times New Roman" w:cs="Times New Roman"/>
          <w:b w:val="0"/>
          <w:sz w:val="20"/>
          <w:szCs w:val="24"/>
        </w:rPr>
        <w:t>]. These criteria dictate that a quantum computer must be able to:</w:t>
      </w:r>
      <w:r w:rsidRPr="004F3062">
        <w:rPr>
          <w:sz w:val="24"/>
        </w:rPr>
        <w:t xml:space="preserve"> </w:t>
      </w:r>
      <w:r>
        <w:rPr>
          <w:b w:val="0"/>
          <w:bCs/>
        </w:rPr>
        <w:t xml:space="preserve">1. </w:t>
      </w:r>
      <w:r w:rsidRPr="004F3062">
        <w:rPr>
          <w:b w:val="0"/>
          <w:bCs/>
          <w:sz w:val="20"/>
          <w:szCs w:val="20"/>
        </w:rPr>
        <w:t>Consist of a scalable amount of characterizable quantum bits (qubits), particles whose behavior is determined by quantum mechanical processes</w:t>
      </w:r>
      <w:r>
        <w:rPr>
          <w:b w:val="0"/>
          <w:bCs/>
          <w:sz w:val="20"/>
          <w:szCs w:val="20"/>
        </w:rPr>
        <w:t>.</w:t>
      </w:r>
      <w:r>
        <w:rPr>
          <w:b w:val="0"/>
          <w:bCs/>
        </w:rPr>
        <w:t xml:space="preserve"> 2. </w:t>
      </w:r>
      <w:r w:rsidRPr="004F3062">
        <w:rPr>
          <w:b w:val="0"/>
          <w:bCs/>
          <w:sz w:val="20"/>
          <w:szCs w:val="20"/>
        </w:rPr>
        <w:t>Initialize all bits in a system to an initial (fiduciary) value, i.e. all 0’s</w:t>
      </w:r>
      <w:r>
        <w:rPr>
          <w:b w:val="0"/>
          <w:bCs/>
          <w:sz w:val="20"/>
          <w:szCs w:val="20"/>
        </w:rPr>
        <w:t>.</w:t>
      </w:r>
      <w:r>
        <w:rPr>
          <w:b w:val="0"/>
          <w:bCs/>
        </w:rPr>
        <w:t xml:space="preserve"> 3. </w:t>
      </w:r>
      <w:r w:rsidRPr="004F3062">
        <w:rPr>
          <w:b w:val="0"/>
          <w:bCs/>
          <w:sz w:val="20"/>
          <w:szCs w:val="20"/>
        </w:rPr>
        <w:t>Maintain long decoherence times relative to gate operation times, such that qubits can maintain relevant quantum physical properties during algorithm execution</w:t>
      </w:r>
      <w:r>
        <w:rPr>
          <w:b w:val="0"/>
          <w:bCs/>
          <w:sz w:val="20"/>
          <w:szCs w:val="20"/>
        </w:rPr>
        <w:t>.</w:t>
      </w:r>
      <w:r>
        <w:rPr>
          <w:b w:val="0"/>
          <w:bCs/>
        </w:rPr>
        <w:t xml:space="preserve"> 4. </w:t>
      </w:r>
      <w:r w:rsidRPr="004F3062">
        <w:rPr>
          <w:b w:val="0"/>
          <w:bCs/>
          <w:sz w:val="20"/>
          <w:szCs w:val="20"/>
        </w:rPr>
        <w:t>Perform a universal set of quantum gates, the operations that affect the probabilities of a qubit measuring either</w:t>
      </w:r>
      <w:r>
        <w:rPr>
          <w:b w:val="0"/>
          <w:bCs/>
          <w:sz w:val="20"/>
          <w:szCs w:val="20"/>
        </w:rPr>
        <w:t xml:space="preserve"> a</w:t>
      </w:r>
      <w:r w:rsidRPr="004F3062">
        <w:rPr>
          <w:b w:val="0"/>
          <w:bCs/>
          <w:sz w:val="20"/>
          <w:szCs w:val="20"/>
        </w:rPr>
        <w:t xml:space="preserve"> 0 or 1</w:t>
      </w:r>
      <w:r>
        <w:rPr>
          <w:b w:val="0"/>
          <w:bCs/>
          <w:sz w:val="20"/>
          <w:szCs w:val="20"/>
        </w:rPr>
        <w:t xml:space="preserve"> state.</w:t>
      </w:r>
      <w:r>
        <w:rPr>
          <w:b w:val="0"/>
          <w:bCs/>
        </w:rPr>
        <w:t xml:space="preserve"> 5. </w:t>
      </w:r>
      <w:r w:rsidRPr="004F3062">
        <w:rPr>
          <w:b w:val="0"/>
          <w:bCs/>
          <w:sz w:val="20"/>
          <w:szCs w:val="20"/>
        </w:rPr>
        <w:t>Measure the value of the qubits in the system</w:t>
      </w:r>
      <w:commentRangeEnd w:id="0"/>
      <w:r w:rsidR="00592FD9" w:rsidRPr="004F3062">
        <w:rPr>
          <w:rStyle w:val="CommentReference"/>
          <w:b w:val="0"/>
          <w:bCs/>
          <w:sz w:val="20"/>
          <w:szCs w:val="20"/>
        </w:rPr>
        <w:commentReference w:id="0"/>
      </w:r>
      <w:r w:rsidRPr="004F3062">
        <w:rPr>
          <w:b w:val="0"/>
          <w:bCs/>
          <w:sz w:val="20"/>
          <w:szCs w:val="20"/>
        </w:rPr>
        <w:t>. Notably, none of these requirements dictate a certain platform for achieving these criteria is necessary to assemble a quantum computer. As a result, research institutions and startups have researched several differing platforms for quantum computing hardware have emerged, including trapped ions, neutral atoms, superconducting atoms, and photonic platforms as possible contenders to develop a system that meets DiVincenzo’s criteria. Photonic platforms are of particular interest, because unlike the aforementioned approaches</w:t>
      </w:r>
      <w:r>
        <w:rPr>
          <w:b w:val="0"/>
          <w:bCs/>
          <w:sz w:val="20"/>
          <w:szCs w:val="20"/>
        </w:rPr>
        <w:t xml:space="preserve">, 1. </w:t>
      </w:r>
      <w:r w:rsidRPr="004F3062">
        <w:rPr>
          <w:b w:val="0"/>
          <w:bCs/>
          <w:sz w:val="20"/>
          <w:szCs w:val="20"/>
        </w:rPr>
        <w:t xml:space="preserve">Photons are inherently immune to decoherence from a noisy environment and do not require </w:t>
      </w:r>
      <w:r>
        <w:rPr>
          <w:b w:val="0"/>
          <w:bCs/>
          <w:sz w:val="20"/>
          <w:szCs w:val="20"/>
        </w:rPr>
        <w:t>&lt;</w:t>
      </w:r>
      <w:r w:rsidRPr="004F3062">
        <w:rPr>
          <w:b w:val="0"/>
          <w:bCs/>
          <w:sz w:val="20"/>
          <w:szCs w:val="20"/>
        </w:rPr>
        <w:t xml:space="preserve"> 1 milliKelvin temperatures to maintain coherence</w:t>
      </w:r>
      <w:r>
        <w:rPr>
          <w:b w:val="0"/>
          <w:bCs/>
          <w:sz w:val="20"/>
          <w:szCs w:val="20"/>
        </w:rPr>
        <w:t xml:space="preserve">. 2. </w:t>
      </w:r>
      <w:r w:rsidRPr="004F3062">
        <w:rPr>
          <w:b w:val="0"/>
          <w:bCs/>
          <w:sz w:val="20"/>
          <w:szCs w:val="20"/>
        </w:rPr>
        <w:t>Photonics and Optoelectronics is an already well-developed field of research, facilitating the proliferation of bulk optical components required to perform optical quantum computing</w:t>
      </w:r>
      <w:r>
        <w:rPr>
          <w:b w:val="0"/>
          <w:bCs/>
          <w:sz w:val="20"/>
          <w:szCs w:val="20"/>
        </w:rPr>
        <w:t xml:space="preserve">. </w:t>
      </w:r>
    </w:p>
    <w:p w14:paraId="2FD63DF8" w14:textId="2995DC95" w:rsidR="004F3062" w:rsidRPr="004F3062" w:rsidRDefault="004F3062" w:rsidP="004F3062">
      <w:r w:rsidRPr="004F3062">
        <w:t xml:space="preserve">However, as a result of photons being naturally immune to interference, multi qubit quantum logic gates that rely on intra-system interference are nearly impossible to implement. Non-linear optical effects can be utilized to perform these gates, but non-linear media are inherently lossy systems, ultimately making them impractical to be used within systems that require the persistence of single photons throughout an entire optical system. This challenge was overcome by the introduction of the </w:t>
      </w:r>
      <w:r w:rsidRPr="004F3062">
        <w:t>KLM protocol [5], which enabled the construction of multi qubit gates using strictly linear materials. The KLM protocol led to the proliferation of Linear Optical Quantum Computing (LOQC) research as a viable platform to implement fault tolerant quantum computation. Because of its compatibility with existing mass manufactured bulk optic components, LOQC is a favorable platform for budget constrained demonstrations of quantum computing. However, linear entangling gates come with the tradeoff of losing 8/9 photons sent through the system.</w:t>
      </w:r>
      <w:r w:rsidR="00C47E9A">
        <w:t xml:space="preserve"> </w:t>
      </w:r>
      <w:r w:rsidRPr="004F3062">
        <w:t xml:space="preserve">An active field of research within LOQC remains the optimization of the loss within </w:t>
      </w:r>
      <w:r w:rsidR="0084715D">
        <w:t>optical</w:t>
      </w:r>
      <w:r w:rsidRPr="004F3062">
        <w:t xml:space="preserve"> setups. Careful manipulation of optical loss is important for the retention of individual photons after gate operation and maintaining specific beamsplitter attenuation ratios to perform interferometric entangling gates. This paper aims to recreate an LOQC system within COMSOL in order to observe how changing the photon’s wavelength and beamwidth relative to the wavelength the polarizing beamsplitters (PBSs)</w:t>
      </w:r>
      <w:r w:rsidR="00C47E9A">
        <w:t>,</w:t>
      </w:r>
      <w:r w:rsidRPr="004F3062">
        <w:t xml:space="preserve"> beamsplitters</w:t>
      </w:r>
      <w:r w:rsidR="00C47E9A">
        <w:t>,</w:t>
      </w:r>
      <w:r w:rsidRPr="004F3062">
        <w:t xml:space="preserve"> and anti-reflection coating were designed around, the organizational distance between the components in the system, and the environmental temperature’s impact on refractive indices</w:t>
      </w:r>
      <w:r w:rsidR="00C47E9A">
        <w:t>,</w:t>
      </w:r>
      <w:r w:rsidRPr="004F3062">
        <w:t xml:space="preserve"> impact the loss of photons within the system.</w:t>
      </w:r>
    </w:p>
    <w:p w14:paraId="401B9840" w14:textId="2410E423" w:rsidR="002E3B63" w:rsidRDefault="002E3B63" w:rsidP="002E3B63">
      <w:pPr>
        <w:pStyle w:val="Heading1"/>
      </w:pPr>
      <w:r w:rsidRPr="002E3B63">
        <w:t>Theory / Experimental Set Up</w:t>
      </w:r>
    </w:p>
    <w:p w14:paraId="634A7342" w14:textId="41F422E2" w:rsidR="0084715D" w:rsidRDefault="0084715D" w:rsidP="0084715D">
      <w:pPr>
        <w:rPr>
          <w:szCs w:val="20"/>
        </w:rPr>
      </w:pPr>
      <w:r w:rsidRPr="0084715D">
        <w:rPr>
          <w:szCs w:val="20"/>
        </w:rPr>
        <w:t>This model is intended to simulate a three qubit LOQC, with a universal set of single qubit logic gates being applied to the first qubit and a CZ gate being applied to the second and third qubits. Single qubit logic gates are implemented using half wave plates and quarter wave plates. The implementation of the CZ gate implemented in this paper will be done by implementing an interferometric approach described in the referenced papers [6,7]. The setup contains two single photon sources, four polarizing beamsplitters, three partial non-polarizing beamsplitters, and two photon detectors. The aim of this paper is to perform a study on the loss occurring within the CZ gate rather than photon generation and measurement</w:t>
      </w:r>
      <w:r w:rsidR="00C47E9A">
        <w:rPr>
          <w:szCs w:val="20"/>
        </w:rPr>
        <w:t>.</w:t>
      </w:r>
      <w:r w:rsidRPr="0084715D">
        <w:rPr>
          <w:szCs w:val="20"/>
        </w:rPr>
        <w:t xml:space="preserve"> </w:t>
      </w:r>
      <w:r w:rsidR="00C47E9A">
        <w:rPr>
          <w:szCs w:val="20"/>
        </w:rPr>
        <w:t>C</w:t>
      </w:r>
      <w:r w:rsidRPr="0084715D">
        <w:rPr>
          <w:szCs w:val="20"/>
        </w:rPr>
        <w:t>onsequently</w:t>
      </w:r>
      <w:r w:rsidR="00C47E9A">
        <w:rPr>
          <w:szCs w:val="20"/>
        </w:rPr>
        <w:t>,</w:t>
      </w:r>
      <w:r w:rsidRPr="0084715D">
        <w:rPr>
          <w:szCs w:val="20"/>
        </w:rPr>
        <w:t xml:space="preserve"> the model will fully recreate the polarizing and non-polarizing beamsplitter arrangement while abstracting away the photon sources and measurements to gaussian beam power sources using boundary integration operations.</w:t>
      </w:r>
    </w:p>
    <w:p w14:paraId="347DCDC1" w14:textId="2EE3C6C6" w:rsidR="0084715D" w:rsidRPr="00E96560" w:rsidRDefault="0084715D" w:rsidP="0084715D">
      <w:pPr>
        <w:rPr>
          <w:szCs w:val="20"/>
        </w:rPr>
      </w:pPr>
      <w:r w:rsidRPr="00E96560">
        <w:rPr>
          <w:rFonts w:ascii="Arial" w:hAnsi="Arial" w:cs="Arial"/>
          <w:noProof/>
          <w:color w:val="000000"/>
          <w:sz w:val="22"/>
          <w:szCs w:val="22"/>
        </w:rPr>
        <w:lastRenderedPageBreak/>
        <w:drawing>
          <wp:inline distT="0" distB="0" distL="0" distR="0" wp14:anchorId="7738C74F" wp14:editId="51E9DC93">
            <wp:extent cx="2647950" cy="1495425"/>
            <wp:effectExtent l="0" t="0" r="0" b="9525"/>
            <wp:docPr id="203514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7950" cy="1495425"/>
                    </a:xfrm>
                    <a:prstGeom prst="rect">
                      <a:avLst/>
                    </a:prstGeom>
                    <a:noFill/>
                    <a:ln>
                      <a:noFill/>
                    </a:ln>
                  </pic:spPr>
                </pic:pic>
              </a:graphicData>
            </a:graphic>
          </wp:inline>
        </w:drawing>
      </w:r>
    </w:p>
    <w:p w14:paraId="2D8E70F5" w14:textId="440EA1E7" w:rsidR="0084715D" w:rsidRDefault="0084715D" w:rsidP="0084715D">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The optical tabletop setup of a CZ gate on two qubits and universal gateset on a third.</w:t>
      </w:r>
    </w:p>
    <w:p w14:paraId="41C95AF8" w14:textId="579A7D63" w:rsidR="0084715D" w:rsidRPr="0084715D" w:rsidRDefault="0084715D" w:rsidP="0084715D">
      <w:pPr>
        <w:rPr>
          <w:iCs/>
          <w:szCs w:val="20"/>
        </w:rPr>
      </w:pPr>
      <w:r w:rsidRPr="0084715D">
        <w:rPr>
          <w:iCs/>
          <w:szCs w:val="20"/>
        </w:rPr>
        <w:t>The effect of the CZ gate on the control and target photon is to implement the transformation</w:t>
      </w:r>
      <w:r>
        <w:rPr>
          <w:iCs/>
          <w:szCs w:val="20"/>
        </w:rPr>
        <w:t>:</w:t>
      </w:r>
    </w:p>
    <w:p w14:paraId="1339A96B" w14:textId="77777777" w:rsidR="0084715D" w:rsidRDefault="0084715D" w:rsidP="0084715D">
      <w:pPr>
        <w:rPr>
          <w:i/>
          <w:szCs w:val="20"/>
        </w:rPr>
      </w:pPr>
    </w:p>
    <w:p w14:paraId="00C51B64" w14:textId="3EC90404" w:rsidR="0084715D" w:rsidRPr="0084715D" w:rsidRDefault="0084715D" w:rsidP="0084715D">
      <w:pPr>
        <w:rPr>
          <w:szCs w:val="20"/>
        </w:rPr>
      </w:pPr>
      <m:oMath>
        <m:r>
          <w:rPr>
            <w:rFonts w:ascii="Cambria Math" w:hAnsi="Cambria Math"/>
            <w:szCs w:val="20"/>
          </w:rPr>
          <m:t xml:space="preserve">α|HHi + β|HV i + γ|V Hi + δ|V V i → 1 3 [-α|HHi+β|HV i+γ|V Hi+δ|V V i]+..., </m:t>
        </m:r>
      </m:oMath>
      <w:r w:rsidR="00390180">
        <w:rPr>
          <w:szCs w:val="20"/>
        </w:rPr>
        <w:t xml:space="preserve"> </w:t>
      </w:r>
    </w:p>
    <w:p w14:paraId="4F359109" w14:textId="3A34959A" w:rsidR="00585A80" w:rsidRDefault="00585A80" w:rsidP="00585A80">
      <w:pPr>
        <w:rPr>
          <w:szCs w:val="20"/>
        </w:rPr>
      </w:pPr>
    </w:p>
    <w:p w14:paraId="1069F4BE" w14:textId="64D9046E" w:rsidR="00E96560" w:rsidRDefault="0084715D" w:rsidP="00E96560">
      <w:pPr>
        <w:rPr>
          <w:szCs w:val="20"/>
        </w:rPr>
      </w:pPr>
      <w:r w:rsidRPr="0084715D">
        <w:rPr>
          <w:szCs w:val="20"/>
        </w:rPr>
        <w:t>where H and V refer to horizontal and vertical polarization, and the terms not shown correspond to the failure mode of the gate (i.e., the control and target output ports do not each contain one photon). It is important to note that ⅓ reflecting</w:t>
      </w:r>
      <w:r>
        <w:rPr>
          <w:szCs w:val="20"/>
        </w:rPr>
        <w:t xml:space="preserve"> </w:t>
      </w:r>
      <w:r w:rsidRPr="0084715D">
        <w:rPr>
          <w:szCs w:val="20"/>
        </w:rPr>
        <w:t xml:space="preserve">beamsplitters are used in order to accurately match the probability amplitudes of measuring any of the four possible output combinations. </w:t>
      </w:r>
      <w:r w:rsidR="00C47E9A">
        <w:rPr>
          <w:szCs w:val="20"/>
        </w:rPr>
        <w:t>For that reason,</w:t>
      </w:r>
      <w:r w:rsidRPr="0084715D">
        <w:rPr>
          <w:szCs w:val="20"/>
        </w:rPr>
        <w:t xml:space="preserve"> this gate has a theoretical</w:t>
      </w:r>
      <w:r w:rsidR="00C47E9A">
        <w:rPr>
          <w:szCs w:val="20"/>
        </w:rPr>
        <w:t xml:space="preserve"> 1/9 </w:t>
      </w:r>
      <w:r w:rsidRPr="0084715D">
        <w:rPr>
          <w:szCs w:val="20"/>
        </w:rPr>
        <w:t xml:space="preserve">success rate under perfect conditions, as </w:t>
      </w:r>
      <w:r w:rsidR="00E96560">
        <w:rPr>
          <w:szCs w:val="20"/>
        </w:rPr>
        <w:t xml:space="preserve">two </w:t>
      </w:r>
      <w:r w:rsidRPr="0084715D">
        <w:rPr>
          <w:szCs w:val="20"/>
        </w:rPr>
        <w:t>qubit</w:t>
      </w:r>
      <w:r w:rsidR="00E96560">
        <w:rPr>
          <w:szCs w:val="20"/>
        </w:rPr>
        <w:t>s</w:t>
      </w:r>
      <w:r w:rsidRPr="0084715D">
        <w:rPr>
          <w:szCs w:val="20"/>
        </w:rPr>
        <w:t xml:space="preserve"> will only be reflected into </w:t>
      </w:r>
      <w:r w:rsidR="00E96560">
        <w:rPr>
          <w:szCs w:val="20"/>
        </w:rPr>
        <w:t xml:space="preserve">both </w:t>
      </w:r>
      <w:r w:rsidRPr="0084715D">
        <w:rPr>
          <w:szCs w:val="20"/>
        </w:rPr>
        <w:t>photodetectors in ⅓ * ⅓ cases.</w:t>
      </w:r>
      <w:r w:rsidR="00E96560">
        <w:rPr>
          <w:szCs w:val="20"/>
        </w:rPr>
        <w:t xml:space="preserve"> </w:t>
      </w:r>
      <w:r w:rsidR="00E96560" w:rsidRPr="00E96560">
        <w:rPr>
          <w:szCs w:val="20"/>
        </w:rPr>
        <w:t>The effect of the quarter-half-quarter waveplate sequence is to implement the equation</w:t>
      </w:r>
    </w:p>
    <w:p w14:paraId="6822E816" w14:textId="77777777" w:rsidR="00ED7F3A" w:rsidRDefault="00ED7F3A" w:rsidP="00E96560">
      <w:pPr>
        <w:rPr>
          <w:szCs w:val="20"/>
        </w:rPr>
      </w:pPr>
    </w:p>
    <w:p w14:paraId="715C4F38" w14:textId="7D580124" w:rsidR="001D5C05" w:rsidRDefault="00ED7F3A" w:rsidP="00E96560">
      <w:pPr>
        <w:rPr>
          <w:szCs w:val="20"/>
        </w:rPr>
      </w:pPr>
      <m:oMath>
        <m:r>
          <w:rPr>
            <w:rFonts w:ascii="Cambria Math" w:hAnsi="Cambria Math"/>
            <w:szCs w:val="20"/>
          </w:rPr>
          <m:t>QWP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3</m:t>
                </m:r>
              </m:sub>
            </m:sSub>
          </m:e>
        </m:d>
        <m:r>
          <w:rPr>
            <w:rFonts w:ascii="Cambria Math" w:hAnsi="Cambria Math"/>
            <w:szCs w:val="20"/>
          </w:rPr>
          <m:t>*HWP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2</m:t>
                </m:r>
              </m:sub>
            </m:sSub>
          </m:e>
        </m:d>
        <m:r>
          <w:rPr>
            <w:rFonts w:ascii="Cambria Math" w:hAnsi="Cambria Math"/>
            <w:szCs w:val="20"/>
          </w:rPr>
          <m:t>*QWP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1</m:t>
                </m:r>
              </m:sub>
            </m:sSub>
          </m:e>
        </m:d>
        <m:r>
          <w:rPr>
            <w:rFonts w:ascii="Cambria Math" w:hAnsi="Cambria Math"/>
            <w:szCs w:val="20"/>
          </w:rPr>
          <m:t>*</m:t>
        </m:r>
        <m:sSub>
          <m:sSubPr>
            <m:ctrlPr>
              <w:rPr>
                <w:rFonts w:ascii="Cambria Math" w:hAnsi="Cambria Math"/>
                <w:i/>
                <w:szCs w:val="20"/>
              </w:rPr>
            </m:ctrlPr>
          </m:sSubPr>
          <m:e>
            <m:d>
              <m:dPr>
                <m:begChr m:val="|"/>
                <m:endChr m:val="⟩"/>
                <m:ctrlPr>
                  <w:rPr>
                    <w:rFonts w:ascii="Cambria Math" w:hAnsi="Cambria Math"/>
                    <w:i/>
                    <w:szCs w:val="20"/>
                  </w:rPr>
                </m:ctrlPr>
              </m:dPr>
              <m:e>
                <m:r>
                  <w:rPr>
                    <w:rFonts w:ascii="Cambria Math" w:hAnsi="Cambria Math"/>
                    <w:szCs w:val="20"/>
                  </w:rPr>
                  <m:t>ψ</m:t>
                </m:r>
              </m:e>
            </m:d>
          </m:e>
          <m:sub>
            <m:r>
              <w:rPr>
                <w:rFonts w:ascii="Cambria Math" w:hAnsi="Cambria Math"/>
                <w:szCs w:val="20"/>
              </w:rPr>
              <m:t>in</m:t>
            </m:r>
          </m:sub>
        </m:sSub>
        <m:r>
          <w:rPr>
            <w:rFonts w:ascii="Cambria Math" w:hAnsi="Cambria Math"/>
            <w:szCs w:val="20"/>
          </w:rPr>
          <m:t>=U</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3</m:t>
                </m:r>
              </m:sub>
            </m:sSub>
          </m:e>
        </m:d>
        <m:r>
          <w:rPr>
            <w:rFonts w:ascii="Cambria Math" w:hAnsi="Cambria Math"/>
            <w:szCs w:val="20"/>
          </w:rPr>
          <m:t>*</m:t>
        </m:r>
        <m:sSub>
          <m:sSubPr>
            <m:ctrlPr>
              <w:rPr>
                <w:rFonts w:ascii="Cambria Math" w:hAnsi="Cambria Math"/>
                <w:i/>
                <w:szCs w:val="20"/>
              </w:rPr>
            </m:ctrlPr>
          </m:sSubPr>
          <m:e>
            <m:d>
              <m:dPr>
                <m:begChr m:val="|"/>
                <m:endChr m:val="⟩"/>
                <m:ctrlPr>
                  <w:rPr>
                    <w:rFonts w:ascii="Cambria Math" w:hAnsi="Cambria Math"/>
                    <w:i/>
                    <w:szCs w:val="20"/>
                  </w:rPr>
                </m:ctrlPr>
              </m:dPr>
              <m:e>
                <m:r>
                  <w:rPr>
                    <w:rFonts w:ascii="Cambria Math" w:hAnsi="Cambria Math"/>
                    <w:szCs w:val="20"/>
                  </w:rPr>
                  <m:t>ψ</m:t>
                </m:r>
              </m:e>
            </m:d>
          </m:e>
          <m:sub>
            <m:r>
              <w:rPr>
                <w:rFonts w:ascii="Cambria Math" w:hAnsi="Cambria Math"/>
                <w:szCs w:val="20"/>
              </w:rPr>
              <m:t>in</m:t>
            </m:r>
          </m:sub>
        </m:sSub>
        <m:r>
          <w:rPr>
            <w:rFonts w:ascii="Cambria Math" w:hAnsi="Cambria Math"/>
            <w:szCs w:val="20"/>
          </w:rPr>
          <m:t>=</m:t>
        </m:r>
        <m:sSub>
          <m:sSubPr>
            <m:ctrlPr>
              <w:rPr>
                <w:rFonts w:ascii="Cambria Math" w:hAnsi="Cambria Math"/>
                <w:i/>
                <w:szCs w:val="20"/>
              </w:rPr>
            </m:ctrlPr>
          </m:sSubPr>
          <m:e>
            <m:d>
              <m:dPr>
                <m:begChr m:val="|"/>
                <m:endChr m:val="⟩"/>
                <m:ctrlPr>
                  <w:rPr>
                    <w:rFonts w:ascii="Cambria Math" w:hAnsi="Cambria Math"/>
                    <w:i/>
                    <w:szCs w:val="20"/>
                  </w:rPr>
                </m:ctrlPr>
              </m:dPr>
              <m:e>
                <m:r>
                  <w:rPr>
                    <w:rFonts w:ascii="Cambria Math" w:hAnsi="Cambria Math"/>
                    <w:szCs w:val="20"/>
                  </w:rPr>
                  <m:t>ψ</m:t>
                </m:r>
              </m:e>
            </m:d>
          </m:e>
          <m:sub>
            <m:r>
              <w:rPr>
                <w:rFonts w:ascii="Cambria Math" w:hAnsi="Cambria Math"/>
                <w:szCs w:val="20"/>
              </w:rPr>
              <m:t>out</m:t>
            </m:r>
          </m:sub>
        </m:sSub>
      </m:oMath>
      <w:r w:rsidR="00390180">
        <w:rPr>
          <w:szCs w:val="20"/>
        </w:rPr>
        <w:t xml:space="preserve"> </w:t>
      </w:r>
    </w:p>
    <w:p w14:paraId="4A97B890" w14:textId="77777777" w:rsidR="001D5C05" w:rsidRPr="00E96560" w:rsidRDefault="001D5C05" w:rsidP="00E96560">
      <w:pPr>
        <w:rPr>
          <w:szCs w:val="20"/>
        </w:rPr>
      </w:pPr>
    </w:p>
    <w:p w14:paraId="2950ADF1" w14:textId="03F6786B" w:rsidR="0084715D" w:rsidRDefault="00ED7F3A" w:rsidP="00585A80">
      <w:pPr>
        <w:rPr>
          <w:szCs w:val="20"/>
        </w:rPr>
      </w:pPr>
      <w:r>
        <w:rPr>
          <w:szCs w:val="20"/>
        </w:rPr>
        <w:t xml:space="preserve">Where the waveplate </w:t>
      </w:r>
      <w:r w:rsidR="00390180">
        <w:rPr>
          <w:szCs w:val="20"/>
        </w:rPr>
        <w:t>Jones Calculus representations</w:t>
      </w:r>
      <w:r>
        <w:rPr>
          <w:szCs w:val="20"/>
        </w:rPr>
        <w:t xml:space="preserve"> are:</w:t>
      </w:r>
    </w:p>
    <w:p w14:paraId="6EA3BA8E" w14:textId="77777777" w:rsidR="001D5C05" w:rsidRDefault="001D5C05" w:rsidP="00585A80">
      <w:pPr>
        <w:rPr>
          <w:szCs w:val="20"/>
        </w:rPr>
      </w:pPr>
    </w:p>
    <w:p w14:paraId="08F7AECE" w14:textId="53895978" w:rsidR="00ED7F3A" w:rsidRPr="00390180" w:rsidRDefault="00ED7F3A" w:rsidP="00585A80">
      <w:pPr>
        <w:rPr>
          <w:szCs w:val="20"/>
        </w:rPr>
      </w:pPr>
      <m:oMathPara>
        <m:oMath>
          <m:r>
            <w:rPr>
              <w:rFonts w:ascii="Cambria Math" w:hAnsi="Cambria Math"/>
              <w:szCs w:val="20"/>
            </w:rPr>
            <m:t>HWP</m:t>
          </m:r>
          <m:d>
            <m:dPr>
              <m:ctrlPr>
                <w:rPr>
                  <w:rFonts w:ascii="Cambria Math" w:hAnsi="Cambria Math"/>
                  <w:i/>
                  <w:szCs w:val="20"/>
                </w:rPr>
              </m:ctrlPr>
            </m:dPr>
            <m:e>
              <m:r>
                <w:rPr>
                  <w:rFonts w:ascii="Cambria Math" w:hAnsi="Cambria Math"/>
                  <w:szCs w:val="20"/>
                </w:rPr>
                <m:t>θ</m:t>
              </m:r>
            </m:e>
          </m:d>
          <m:r>
            <w:rPr>
              <w:rFonts w:ascii="Cambria Math" w:hAnsi="Cambria Math"/>
              <w:szCs w:val="20"/>
            </w:rPr>
            <m:t>=</m:t>
          </m:r>
          <m:d>
            <m:dPr>
              <m:begChr m:val="["/>
              <m:endChr m:val="]"/>
              <m:ctrlPr>
                <w:rPr>
                  <w:rFonts w:ascii="Cambria Math" w:hAnsi="Cambria Math"/>
                  <w:i/>
                  <w:szCs w:val="20"/>
                </w:rPr>
              </m:ctrlPr>
            </m:dPr>
            <m:e>
              <m:m>
                <m:mPr>
                  <m:mcs>
                    <m:mc>
                      <m:mcPr>
                        <m:count m:val="2"/>
                        <m:mcJc m:val="center"/>
                      </m:mcPr>
                    </m:mc>
                  </m:mcs>
                  <m:ctrlPr>
                    <w:rPr>
                      <w:rFonts w:ascii="Cambria Math" w:hAnsi="Cambria Math"/>
                      <w:i/>
                      <w:szCs w:val="20"/>
                    </w:rPr>
                  </m:ctrlPr>
                </m:mPr>
                <m:mr>
                  <m:e>
                    <m:func>
                      <m:funcPr>
                        <m:ctrlPr>
                          <w:rPr>
                            <w:rFonts w:ascii="Cambria Math" w:hAnsi="Cambria Math"/>
                            <w:i/>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2*θ</m:t>
                            </m:r>
                          </m:e>
                        </m:d>
                      </m:e>
                    </m:func>
                  </m:e>
                  <m:e>
                    <m:r>
                      <m:rPr>
                        <m:sty m:val="p"/>
                      </m:rPr>
                      <w:rPr>
                        <w:rFonts w:ascii="Cambria Math" w:hAnsi="Cambria Math"/>
                        <w:szCs w:val="20"/>
                      </w:rPr>
                      <m:t>sin⁡</m:t>
                    </m:r>
                    <m:r>
                      <w:rPr>
                        <w:rFonts w:ascii="Cambria Math" w:hAnsi="Cambria Math"/>
                        <w:szCs w:val="20"/>
                      </w:rPr>
                      <m:t>(2*θ)</m:t>
                    </m:r>
                  </m:e>
                </m:mr>
                <m:mr>
                  <m:e>
                    <m:r>
                      <m:rPr>
                        <m:sty m:val="p"/>
                      </m:rPr>
                      <w:rPr>
                        <w:rFonts w:ascii="Cambria Math" w:hAnsi="Cambria Math"/>
                        <w:szCs w:val="20"/>
                      </w:rPr>
                      <m:t>sin⁡</m:t>
                    </m:r>
                    <m:r>
                      <w:rPr>
                        <w:rFonts w:ascii="Cambria Math" w:hAnsi="Cambria Math"/>
                        <w:szCs w:val="20"/>
                      </w:rPr>
                      <m:t>(2*θ)</m:t>
                    </m:r>
                  </m:e>
                  <m:e>
                    <m:r>
                      <w:rPr>
                        <w:rFonts w:ascii="Cambria Math" w:hAnsi="Cambria Math"/>
                        <w:szCs w:val="20"/>
                      </w:rPr>
                      <m:t>-</m:t>
                    </m:r>
                    <m:r>
                      <m:rPr>
                        <m:sty m:val="p"/>
                      </m:rPr>
                      <w:rPr>
                        <w:rFonts w:ascii="Cambria Math" w:hAnsi="Cambria Math"/>
                        <w:szCs w:val="20"/>
                      </w:rPr>
                      <m:t>cos⁡</m:t>
                    </m:r>
                    <m:r>
                      <w:rPr>
                        <w:rFonts w:ascii="Cambria Math" w:hAnsi="Cambria Math"/>
                        <w:szCs w:val="20"/>
                      </w:rPr>
                      <m:t>(2*θ)</m:t>
                    </m:r>
                  </m:e>
                </m:mr>
              </m:m>
            </m:e>
          </m:d>
          <m:r>
            <w:rPr>
              <w:rFonts w:ascii="Cambria Math" w:hAnsi="Cambria Math"/>
              <w:szCs w:val="20"/>
            </w:rPr>
            <m:t xml:space="preserve"> </m:t>
          </m:r>
        </m:oMath>
      </m:oMathPara>
    </w:p>
    <w:p w14:paraId="6F82FE96" w14:textId="632A73AA" w:rsidR="00390180" w:rsidRPr="001D5C05" w:rsidRDefault="00390180" w:rsidP="00585A80">
      <w:pPr>
        <w:rPr>
          <w:szCs w:val="20"/>
        </w:rPr>
      </w:pPr>
      <m:oMathPara>
        <m:oMath>
          <m:r>
            <w:rPr>
              <w:rFonts w:ascii="Cambria Math" w:hAnsi="Cambria Math"/>
              <w:szCs w:val="20"/>
            </w:rPr>
            <m:t>QWP</m:t>
          </m:r>
          <m:d>
            <m:dPr>
              <m:ctrlPr>
                <w:rPr>
                  <w:rFonts w:ascii="Cambria Math" w:hAnsi="Cambria Math"/>
                  <w:i/>
                  <w:szCs w:val="20"/>
                </w:rPr>
              </m:ctrlPr>
            </m:dPr>
            <m:e>
              <m:r>
                <w:rPr>
                  <w:rFonts w:ascii="Cambria Math" w:hAnsi="Cambria Math"/>
                  <w:szCs w:val="20"/>
                </w:rPr>
                <m:t>θ</m:t>
              </m:r>
            </m:e>
          </m:d>
          <m:r>
            <w:rPr>
              <w:rFonts w:ascii="Cambria Math" w:hAnsi="Cambria Math"/>
              <w:szCs w:val="20"/>
            </w:rPr>
            <m:t>=</m:t>
          </m:r>
          <m:d>
            <m:dPr>
              <m:begChr m:val="["/>
              <m:endChr m:val="]"/>
              <m:ctrlPr>
                <w:rPr>
                  <w:rFonts w:ascii="Cambria Math" w:hAnsi="Cambria Math"/>
                  <w:i/>
                  <w:szCs w:val="20"/>
                </w:rPr>
              </m:ctrlPr>
            </m:dPr>
            <m:e>
              <m:m>
                <m:mPr>
                  <m:mcs>
                    <m:mc>
                      <m:mcPr>
                        <m:count m:val="2"/>
                        <m:mcJc m:val="center"/>
                      </m:mcPr>
                    </m:mc>
                  </m:mcs>
                  <m:ctrlPr>
                    <w:rPr>
                      <w:rFonts w:ascii="Cambria Math" w:hAnsi="Cambria Math"/>
                      <w:i/>
                      <w:szCs w:val="20"/>
                    </w:rPr>
                  </m:ctrlPr>
                </m:mPr>
                <m:mr>
                  <m:e>
                    <m:func>
                      <m:funcPr>
                        <m:ctrlPr>
                          <w:rPr>
                            <w:rFonts w:ascii="Cambria Math" w:hAnsi="Cambria Math"/>
                            <w:i/>
                            <w:szCs w:val="20"/>
                          </w:rPr>
                        </m:ctrlPr>
                      </m:funcPr>
                      <m:fName>
                        <m:sSup>
                          <m:sSupPr>
                            <m:ctrlPr>
                              <w:rPr>
                                <w:rFonts w:ascii="Cambria Math" w:hAnsi="Cambria Math"/>
                                <w:i/>
                                <w:szCs w:val="20"/>
                              </w:rPr>
                            </m:ctrlPr>
                          </m:sSupPr>
                          <m:e>
                            <m:r>
                              <m:rPr>
                                <m:sty m:val="p"/>
                              </m:rPr>
                              <w:rPr>
                                <w:rFonts w:ascii="Cambria Math" w:hAnsi="Cambria Math"/>
                                <w:szCs w:val="20"/>
                              </w:rPr>
                              <m:t>cos</m:t>
                            </m:r>
                            <m:ctrlPr>
                              <w:rPr>
                                <w:rFonts w:ascii="Cambria Math" w:hAnsi="Cambria Math"/>
                                <w:szCs w:val="20"/>
                              </w:rPr>
                            </m:ctrlPr>
                          </m:e>
                          <m:sup>
                            <m:r>
                              <w:rPr>
                                <w:rFonts w:ascii="Cambria Math" w:hAnsi="Cambria Math"/>
                                <w:szCs w:val="20"/>
                              </w:rPr>
                              <m:t>2</m:t>
                            </m:r>
                          </m:sup>
                        </m:sSup>
                      </m:fName>
                      <m:e>
                        <m:r>
                          <w:rPr>
                            <w:rFonts w:ascii="Cambria Math" w:hAnsi="Cambria Math"/>
                            <w:szCs w:val="20"/>
                          </w:rPr>
                          <m:t>θ+i*</m:t>
                        </m:r>
                        <m:func>
                          <m:funcPr>
                            <m:ctrlPr>
                              <w:rPr>
                                <w:rFonts w:ascii="Cambria Math" w:hAnsi="Cambria Math"/>
                                <w:i/>
                                <w:szCs w:val="20"/>
                              </w:rPr>
                            </m:ctrlPr>
                          </m:funcPr>
                          <m:fName>
                            <m:sSup>
                              <m:sSupPr>
                                <m:ctrlPr>
                                  <w:rPr>
                                    <w:rFonts w:ascii="Cambria Math" w:hAnsi="Cambria Math"/>
                                    <w:i/>
                                    <w:szCs w:val="20"/>
                                  </w:rPr>
                                </m:ctrlPr>
                              </m:sSupPr>
                              <m:e>
                                <m:r>
                                  <m:rPr>
                                    <m:sty m:val="p"/>
                                  </m:rPr>
                                  <w:rPr>
                                    <w:rFonts w:ascii="Cambria Math" w:hAnsi="Cambria Math"/>
                                    <w:szCs w:val="20"/>
                                  </w:rPr>
                                  <m:t>sin</m:t>
                                </m:r>
                                <m:ctrlPr>
                                  <w:rPr>
                                    <w:rFonts w:ascii="Cambria Math" w:hAnsi="Cambria Math"/>
                                    <w:szCs w:val="20"/>
                                  </w:rPr>
                                </m:ctrlPr>
                              </m:e>
                              <m:sup>
                                <m:r>
                                  <w:rPr>
                                    <w:rFonts w:ascii="Cambria Math" w:hAnsi="Cambria Math"/>
                                    <w:szCs w:val="20"/>
                                  </w:rPr>
                                  <m:t>2</m:t>
                                </m:r>
                              </m:sup>
                            </m:sSup>
                          </m:fName>
                          <m:e>
                            <m:r>
                              <w:rPr>
                                <w:rFonts w:ascii="Cambria Math" w:hAnsi="Cambria Math"/>
                                <w:szCs w:val="20"/>
                              </w:rPr>
                              <m:t>θ</m:t>
                            </m:r>
                          </m:e>
                        </m:func>
                      </m:e>
                    </m:func>
                  </m:e>
                  <m:e>
                    <m:d>
                      <m:dPr>
                        <m:ctrlPr>
                          <w:rPr>
                            <w:rFonts w:ascii="Cambria Math" w:hAnsi="Cambria Math"/>
                            <w:i/>
                            <w:szCs w:val="20"/>
                          </w:rPr>
                        </m:ctrlPr>
                      </m:dPr>
                      <m:e>
                        <m:r>
                          <w:rPr>
                            <w:rFonts w:ascii="Cambria Math" w:hAnsi="Cambria Math"/>
                            <w:szCs w:val="20"/>
                          </w:rPr>
                          <m:t>1-i</m:t>
                        </m:r>
                      </m:e>
                    </m:d>
                    <m:r>
                      <w:rPr>
                        <w:rFonts w:ascii="Cambria Math" w:hAnsi="Cambria Math"/>
                        <w:szCs w:val="20"/>
                      </w:rPr>
                      <m:t>*</m:t>
                    </m:r>
                    <m:func>
                      <m:funcPr>
                        <m:ctrlPr>
                          <w:rPr>
                            <w:rFonts w:ascii="Cambria Math" w:hAnsi="Cambria Math"/>
                            <w:i/>
                            <w:szCs w:val="20"/>
                          </w:rPr>
                        </m:ctrlPr>
                      </m:funcPr>
                      <m:fName>
                        <m:r>
                          <m:rPr>
                            <m:sty m:val="p"/>
                          </m:rPr>
                          <w:rPr>
                            <w:rFonts w:ascii="Cambria Math" w:hAnsi="Cambria Math"/>
                            <w:szCs w:val="20"/>
                          </w:rPr>
                          <m:t>sin</m:t>
                        </m:r>
                      </m:fName>
                      <m:e>
                        <m:r>
                          <w:rPr>
                            <w:rFonts w:ascii="Cambria Math" w:hAnsi="Cambria Math"/>
                            <w:szCs w:val="20"/>
                          </w:rPr>
                          <m:t>θ</m:t>
                        </m:r>
                      </m:e>
                    </m:func>
                    <m:r>
                      <w:rPr>
                        <w:rFonts w:ascii="Cambria Math" w:hAnsi="Cambria Math"/>
                        <w:szCs w:val="20"/>
                      </w:rPr>
                      <m:t>*</m:t>
                    </m:r>
                    <m:r>
                      <m:rPr>
                        <m:sty m:val="p"/>
                      </m:rPr>
                      <w:rPr>
                        <w:rFonts w:ascii="Cambria Math" w:hAnsi="Cambria Math"/>
                        <w:szCs w:val="20"/>
                      </w:rPr>
                      <m:t>cos⁡</m:t>
                    </m:r>
                    <m:r>
                      <w:rPr>
                        <w:rFonts w:ascii="Cambria Math" w:hAnsi="Cambria Math"/>
                        <w:szCs w:val="20"/>
                      </w:rPr>
                      <m:t>(θ)</m:t>
                    </m:r>
                  </m:e>
                </m:mr>
                <m:mr>
                  <m:e>
                    <m:d>
                      <m:dPr>
                        <m:ctrlPr>
                          <w:rPr>
                            <w:rFonts w:ascii="Cambria Math" w:hAnsi="Cambria Math"/>
                            <w:i/>
                            <w:szCs w:val="20"/>
                          </w:rPr>
                        </m:ctrlPr>
                      </m:dPr>
                      <m:e>
                        <m:r>
                          <w:rPr>
                            <w:rFonts w:ascii="Cambria Math" w:hAnsi="Cambria Math"/>
                            <w:szCs w:val="20"/>
                          </w:rPr>
                          <m:t>1-i</m:t>
                        </m:r>
                      </m:e>
                    </m:d>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sin</m:t>
                        </m:r>
                        <m:ctrlPr>
                          <w:rPr>
                            <w:rFonts w:ascii="Cambria Math" w:hAnsi="Cambria Math"/>
                            <w:i/>
                            <w:szCs w:val="20"/>
                          </w:rPr>
                        </m:ctrlPr>
                      </m:fName>
                      <m:e>
                        <m:d>
                          <m:dPr>
                            <m:ctrlPr>
                              <w:rPr>
                                <w:rFonts w:ascii="Cambria Math" w:hAnsi="Cambria Math"/>
                                <w:i/>
                                <w:szCs w:val="20"/>
                              </w:rPr>
                            </m:ctrlPr>
                          </m:dPr>
                          <m:e>
                            <m:r>
                              <w:rPr>
                                <w:rFonts w:ascii="Cambria Math" w:hAnsi="Cambria Math"/>
                                <w:szCs w:val="20"/>
                              </w:rPr>
                              <m:t>θ</m:t>
                            </m:r>
                          </m:e>
                        </m:d>
                      </m:e>
                    </m:func>
                    <m:r>
                      <w:rPr>
                        <w:rFonts w:ascii="Cambria Math" w:hAnsi="Cambria Math"/>
                        <w:szCs w:val="20"/>
                      </w:rPr>
                      <m:t>*</m:t>
                    </m:r>
                    <m:r>
                      <m:rPr>
                        <m:sty m:val="p"/>
                      </m:rPr>
                      <w:rPr>
                        <w:rFonts w:ascii="Cambria Math" w:hAnsi="Cambria Math"/>
                        <w:szCs w:val="20"/>
                      </w:rPr>
                      <m:t>cos⁡</m:t>
                    </m:r>
                    <m:r>
                      <w:rPr>
                        <w:rFonts w:ascii="Cambria Math" w:hAnsi="Cambria Math"/>
                        <w:szCs w:val="20"/>
                      </w:rPr>
                      <m:t>(θ)</m:t>
                    </m:r>
                  </m:e>
                  <m:e>
                    <m:func>
                      <m:funcPr>
                        <m:ctrlPr>
                          <w:rPr>
                            <w:rFonts w:ascii="Cambria Math" w:hAnsi="Cambria Math"/>
                            <w:i/>
                            <w:szCs w:val="20"/>
                          </w:rPr>
                        </m:ctrlPr>
                      </m:funcPr>
                      <m:fName>
                        <m:sSup>
                          <m:sSupPr>
                            <m:ctrlPr>
                              <w:rPr>
                                <w:rFonts w:ascii="Cambria Math" w:hAnsi="Cambria Math"/>
                                <w:i/>
                                <w:szCs w:val="20"/>
                              </w:rPr>
                            </m:ctrlPr>
                          </m:sSupPr>
                          <m:e>
                            <m:r>
                              <m:rPr>
                                <m:sty m:val="p"/>
                              </m:rPr>
                              <w:rPr>
                                <w:rFonts w:ascii="Cambria Math" w:hAnsi="Cambria Math"/>
                                <w:szCs w:val="20"/>
                              </w:rPr>
                              <m:t>sin</m:t>
                            </m:r>
                            <m:ctrlPr>
                              <w:rPr>
                                <w:rFonts w:ascii="Cambria Math" w:hAnsi="Cambria Math"/>
                                <w:szCs w:val="20"/>
                              </w:rPr>
                            </m:ctrlPr>
                          </m:e>
                          <m:sup>
                            <m:r>
                              <w:rPr>
                                <w:rFonts w:ascii="Cambria Math" w:hAnsi="Cambria Math"/>
                                <w:szCs w:val="20"/>
                              </w:rPr>
                              <m:t>2</m:t>
                            </m:r>
                          </m:sup>
                        </m:sSup>
                      </m:fName>
                      <m:e>
                        <m:r>
                          <w:rPr>
                            <w:rFonts w:ascii="Cambria Math" w:hAnsi="Cambria Math"/>
                            <w:szCs w:val="20"/>
                          </w:rPr>
                          <m:t>θ+i*</m:t>
                        </m:r>
                        <m:func>
                          <m:funcPr>
                            <m:ctrlPr>
                              <w:rPr>
                                <w:rFonts w:ascii="Cambria Math" w:hAnsi="Cambria Math"/>
                                <w:i/>
                                <w:szCs w:val="20"/>
                              </w:rPr>
                            </m:ctrlPr>
                          </m:funcPr>
                          <m:fName>
                            <m:sSup>
                              <m:sSupPr>
                                <m:ctrlPr>
                                  <w:rPr>
                                    <w:rFonts w:ascii="Cambria Math" w:hAnsi="Cambria Math"/>
                                    <w:i/>
                                    <w:szCs w:val="20"/>
                                  </w:rPr>
                                </m:ctrlPr>
                              </m:sSupPr>
                              <m:e>
                                <m:r>
                                  <m:rPr>
                                    <m:sty m:val="p"/>
                                  </m:rPr>
                                  <w:rPr>
                                    <w:rFonts w:ascii="Cambria Math" w:hAnsi="Cambria Math"/>
                                    <w:szCs w:val="20"/>
                                  </w:rPr>
                                  <m:t>cos</m:t>
                                </m:r>
                                <m:ctrlPr>
                                  <w:rPr>
                                    <w:rFonts w:ascii="Cambria Math" w:hAnsi="Cambria Math"/>
                                    <w:szCs w:val="20"/>
                                  </w:rPr>
                                </m:ctrlPr>
                              </m:e>
                              <m:sup>
                                <m:r>
                                  <w:rPr>
                                    <w:rFonts w:ascii="Cambria Math" w:hAnsi="Cambria Math"/>
                                    <w:szCs w:val="20"/>
                                  </w:rPr>
                                  <m:t>2</m:t>
                                </m:r>
                              </m:sup>
                            </m:sSup>
                          </m:fName>
                          <m:e>
                            <m:r>
                              <w:rPr>
                                <w:rFonts w:ascii="Cambria Math" w:hAnsi="Cambria Math"/>
                                <w:szCs w:val="20"/>
                              </w:rPr>
                              <m:t>θ</m:t>
                            </m:r>
                          </m:e>
                        </m:func>
                      </m:e>
                    </m:func>
                  </m:e>
                </m:mr>
              </m:m>
            </m:e>
          </m:d>
        </m:oMath>
      </m:oMathPara>
    </w:p>
    <w:p w14:paraId="0DAF7E1B" w14:textId="77777777" w:rsidR="001D5C05" w:rsidRDefault="001D5C05" w:rsidP="00585A80">
      <w:pPr>
        <w:rPr>
          <w:szCs w:val="20"/>
        </w:rPr>
      </w:pPr>
    </w:p>
    <w:p w14:paraId="21A29B8B" w14:textId="0E65B21E" w:rsidR="001D5C05" w:rsidRPr="001D5C05" w:rsidRDefault="001D5C05" w:rsidP="001D5C05">
      <w:pPr>
        <w:rPr>
          <w:szCs w:val="20"/>
        </w:rPr>
      </w:pPr>
      <w:r w:rsidRPr="001D5C05">
        <w:rPr>
          <w:szCs w:val="20"/>
        </w:rPr>
        <w:t xml:space="preserve">Deviations from the ideal conditions assumed by these setups will lead to </w:t>
      </w:r>
      <w:r w:rsidR="00C47E9A">
        <w:rPr>
          <w:szCs w:val="20"/>
        </w:rPr>
        <w:t>inaccurate</w:t>
      </w:r>
      <w:r w:rsidRPr="001D5C05">
        <w:rPr>
          <w:szCs w:val="20"/>
        </w:rPr>
        <w:t xml:space="preserve"> mathematical operations on the photonic. The deviations this model explores are from refractive index changes because of environmental temperature change, design wavelength and beam </w:t>
      </w:r>
      <w:r w:rsidR="00C47E9A">
        <w:rPr>
          <w:szCs w:val="20"/>
        </w:rPr>
        <w:t>width</w:t>
      </w:r>
      <w:r w:rsidRPr="001D5C05">
        <w:rPr>
          <w:szCs w:val="20"/>
        </w:rPr>
        <w:t xml:space="preserve"> deviations from imperfect laser design specs, and effects of propagation distance changes.</w:t>
      </w:r>
    </w:p>
    <w:p w14:paraId="43B9583F" w14:textId="387B4E44" w:rsidR="00C95990" w:rsidRPr="00C95990" w:rsidRDefault="00585A80" w:rsidP="00C95990">
      <w:pPr>
        <w:pStyle w:val="Heading1"/>
      </w:pPr>
      <w:r w:rsidRPr="007F5B1A">
        <w:t xml:space="preserve">Governing Equations / Numerical Model / Simulation / Methods / </w:t>
      </w:r>
      <w:r w:rsidR="007F5B1A">
        <w:t xml:space="preserve">Use of </w:t>
      </w:r>
      <w:r w:rsidRPr="007F5B1A">
        <w:t>Simulation Apps</w:t>
      </w:r>
    </w:p>
    <w:p w14:paraId="2EC930EF" w14:textId="34ABA15F" w:rsidR="0071630D" w:rsidRPr="0071630D" w:rsidRDefault="0071630D" w:rsidP="0071630D">
      <w:pPr>
        <w:pStyle w:val="Heading2"/>
        <w:rPr>
          <w:szCs w:val="20"/>
        </w:rPr>
      </w:pPr>
      <w:r>
        <w:rPr>
          <w:szCs w:val="20"/>
        </w:rPr>
        <w:t>Geometry</w:t>
      </w:r>
    </w:p>
    <w:p w14:paraId="7766FF9C" w14:textId="32F7D64E" w:rsidR="0071630D" w:rsidRDefault="0071630D" w:rsidP="0071630D">
      <w:pPr>
        <w:rPr>
          <w:szCs w:val="20"/>
        </w:rPr>
      </w:pPr>
      <w:r w:rsidRPr="0071630D">
        <w:rPr>
          <w:szCs w:val="20"/>
        </w:rPr>
        <w:t>As a beam is axisymmetric, we can simplify modeling by building our model in two dimensions instead of three. The geometry of the Polarizing Beamsplitter is obtained from the Polarizing Beamsplitter model app [8]. The input parameters for the Polarizing Beamspli</w:t>
      </w:r>
      <w:r w:rsidR="00FE08B4">
        <w:rPr>
          <w:szCs w:val="20"/>
        </w:rPr>
        <w:t>t</w:t>
      </w:r>
      <w:r w:rsidRPr="0071630D">
        <w:rPr>
          <w:szCs w:val="20"/>
        </w:rPr>
        <w:t xml:space="preserve">ter app were a center wavelength of 900nm, bandwidth of 400nm, and thin film layer count of 7, to match with commercially available PBSs. In commercial PBSs, the thin film layer count would be much higher, but for our simulation purposes 7 is enough to reach realistic reflection and transmission coefficients while keeping model </w:t>
      </w:r>
      <w:r w:rsidR="00C95990">
        <w:rPr>
          <w:szCs w:val="20"/>
        </w:rPr>
        <w:t>mesh requirements</w:t>
      </w:r>
      <w:r w:rsidRPr="0071630D">
        <w:rPr>
          <w:szCs w:val="20"/>
        </w:rPr>
        <w:t xml:space="preserve"> manageable. Air domains are defined as rectangles with the same width/height as the beamsplitters and height/width of ‘air_domain_length’, one of the variables to be swept to control the beam's air domain propagation length. The partial beamsplitter’s thin film is implemented by a transition boundary condition applied to a </w:t>
      </w:r>
      <w:r w:rsidR="00C95990" w:rsidRPr="0071630D">
        <w:rPr>
          <w:szCs w:val="20"/>
        </w:rPr>
        <w:t>1-dimensional</w:t>
      </w:r>
      <w:r w:rsidRPr="0071630D">
        <w:rPr>
          <w:szCs w:val="20"/>
        </w:rPr>
        <w:t xml:space="preserve"> line drawn across beamsplitter square’s vertices. Perfectly Matched Layer domains are defined as rectangles adjacent to air domains with a thickness of 2nm.</w:t>
      </w:r>
    </w:p>
    <w:p w14:paraId="714B4702" w14:textId="54C4670E" w:rsidR="0071630D" w:rsidRDefault="0071630D" w:rsidP="0071630D">
      <w:pPr>
        <w:pStyle w:val="Heading2"/>
        <w:rPr>
          <w:szCs w:val="20"/>
        </w:rPr>
      </w:pPr>
      <w:r>
        <w:rPr>
          <w:szCs w:val="20"/>
        </w:rPr>
        <w:t>Physics Package</w:t>
      </w:r>
    </w:p>
    <w:p w14:paraId="0F9075D9" w14:textId="2B85D064" w:rsidR="0071630D" w:rsidRDefault="0071630D" w:rsidP="0071630D">
      <w:r w:rsidRPr="0071630D">
        <w:t>To simulate wave optics, the choice of package is the Electromagnetic Waves, Beam Envelopes (EWBE) module</w:t>
      </w:r>
      <w:commentRangeStart w:id="1"/>
      <w:r w:rsidRPr="0071630D">
        <w:t>. The more robust Electromagnetic Waves, Frequency Domain (EWFD) package was considered as it would be able to represent multiple beam propagations with greater accuracy, but ultimately it is limited to domain sizes on the scale of micrometers as a result of the sub-wavelength meshing requirements. This makes it incompatible with simulations requiring total domain area on the scale of centimeters, such as this one. The EWBE has significantly less computational requirements while maintaining similarly accurate results, under the condition of the waves propagating with well-defined bi-directionality or uni-directionality, which applies to our case</w:t>
      </w:r>
      <w:commentRangeEnd w:id="1"/>
      <w:r w:rsidR="00592FD9" w:rsidRPr="0071630D">
        <w:rPr>
          <w:rStyle w:val="CommentReference"/>
          <w:sz w:val="20"/>
          <w:szCs w:val="24"/>
        </w:rPr>
        <w:commentReference w:id="1"/>
      </w:r>
      <w:r w:rsidRPr="0071630D">
        <w:t>. However, this means back reflections as a result of light propagating between two domains of differing refractive indices are incorrectly represented. Antireflection coatings are applied on the interfaces of all beamsplitter prisms in order to minimize the effect of back reflections, allowing us to continue usage of the EWBE package.</w:t>
      </w:r>
    </w:p>
    <w:p w14:paraId="3942B8BA" w14:textId="77777777" w:rsidR="0071630D" w:rsidRPr="0071630D" w:rsidRDefault="0071630D" w:rsidP="0071630D"/>
    <w:p w14:paraId="24FCA199" w14:textId="2A78BA71" w:rsidR="0071630D" w:rsidRPr="0071630D" w:rsidRDefault="0071630D" w:rsidP="0071630D">
      <w:pPr>
        <w:rPr>
          <w:b/>
          <w:bCs/>
          <w:szCs w:val="20"/>
        </w:rPr>
      </w:pPr>
      <w:r w:rsidRPr="0071630D">
        <w:rPr>
          <w:b/>
          <w:bCs/>
          <w:szCs w:val="20"/>
        </w:rPr>
        <w:t>Material Assignment</w:t>
      </w:r>
    </w:p>
    <w:p w14:paraId="3A218638" w14:textId="313DE6BA" w:rsidR="008319FE" w:rsidRDefault="008319FE" w:rsidP="00A52B7E">
      <w:pPr>
        <w:rPr>
          <w:szCs w:val="20"/>
        </w:rPr>
      </w:pPr>
    </w:p>
    <w:p w14:paraId="369133EA" w14:textId="77777777" w:rsidR="0071630D" w:rsidRPr="0071630D" w:rsidRDefault="0071630D" w:rsidP="0071630D">
      <w:pPr>
        <w:rPr>
          <w:szCs w:val="20"/>
        </w:rPr>
      </w:pPr>
      <w:r w:rsidRPr="0071630D">
        <w:rPr>
          <w:szCs w:val="20"/>
        </w:rPr>
        <w:t xml:space="preserve">The prisms of the Polarizing Beamsplitter are assigned SF5 glass. The high index thin film layers </w:t>
      </w:r>
      <w:r w:rsidRPr="0071630D">
        <w:rPr>
          <w:szCs w:val="20"/>
        </w:rPr>
        <w:lastRenderedPageBreak/>
        <w:t>are assigned Zinc Sulfide (ZnS). The low index thin film layers are assigned Magnesium Fluoride (MgF2). The silver thin film of the partial beamsplitter is assigned Silver (Ag). The air domains are, obviously, assigned air.</w:t>
      </w:r>
    </w:p>
    <w:p w14:paraId="7B8165A2" w14:textId="77777777" w:rsidR="0071630D" w:rsidRPr="0071630D" w:rsidRDefault="0071630D" w:rsidP="0071630D">
      <w:pPr>
        <w:rPr>
          <w:szCs w:val="20"/>
        </w:rPr>
      </w:pPr>
    </w:p>
    <w:p w14:paraId="4E9CC748" w14:textId="6F1B32F3" w:rsidR="0071630D" w:rsidRDefault="0071630D" w:rsidP="0071630D">
      <w:pPr>
        <w:rPr>
          <w:szCs w:val="20"/>
        </w:rPr>
      </w:pPr>
      <w:r w:rsidRPr="0071630D">
        <w:rPr>
          <w:szCs w:val="20"/>
        </w:rPr>
        <w:t xml:space="preserve">As the careful selection of refractive indices in the polarizing beamsplitter is what ultimately determines PBS efficiency, a change of temperature can lead to a change in refractive indices which lead to reduced polarization separation efficiency. Similarly, the attenuation coefficient of a beamsplitter is heavily dependent on the refractive index of the thin film within it, meaning if the temperature changes the refractive index of that thin film, there will be deviations in attenuation coefficient. In order to model the effects of temperature on the refractive indices of these materials, the refractive indices of all materials are calculated using thermo-optic </w:t>
      </w:r>
      <w:r w:rsidR="00C25633">
        <w:rPr>
          <w:szCs w:val="20"/>
        </w:rPr>
        <w:t>S</w:t>
      </w:r>
      <w:r w:rsidRPr="0071630D">
        <w:rPr>
          <w:szCs w:val="20"/>
        </w:rPr>
        <w:t xml:space="preserve">ellmeier equation, except air, which is highly accurately modeled as n=1 in our conditions. </w:t>
      </w:r>
    </w:p>
    <w:p w14:paraId="66C1F583" w14:textId="77777777" w:rsidR="0071630D" w:rsidRDefault="0071630D" w:rsidP="0071630D">
      <w:pPr>
        <w:rPr>
          <w:szCs w:val="20"/>
        </w:rPr>
      </w:pPr>
    </w:p>
    <w:p w14:paraId="774A2C1B" w14:textId="4271243D" w:rsidR="0071630D" w:rsidRPr="0071630D" w:rsidRDefault="00000000" w:rsidP="0071630D">
      <w:pPr>
        <w:rPr>
          <w:szCs w:val="20"/>
        </w:rPr>
      </w:pPr>
      <m:oMathPara>
        <m:oMath>
          <m:sSup>
            <m:sSupPr>
              <m:ctrlPr>
                <w:rPr>
                  <w:rFonts w:ascii="Cambria Math" w:hAnsi="Cambria Math"/>
                  <w:i/>
                  <w:szCs w:val="20"/>
                </w:rPr>
              </m:ctrlPr>
            </m:sSupPr>
            <m:e>
              <m:r>
                <w:rPr>
                  <w:rFonts w:ascii="Cambria Math" w:hAnsi="Cambria Math"/>
                  <w:szCs w:val="20"/>
                </w:rPr>
                <m:t>n</m:t>
              </m:r>
            </m:e>
            <m:sup>
              <m:r>
                <w:rPr>
                  <w:rFonts w:ascii="Cambria Math" w:hAnsi="Cambria Math"/>
                  <w:szCs w:val="20"/>
                </w:rPr>
                <m:t>2</m:t>
              </m:r>
            </m:sup>
          </m:sSup>
          <m:d>
            <m:dPr>
              <m:ctrlPr>
                <w:rPr>
                  <w:rFonts w:ascii="Cambria Math" w:hAnsi="Cambria Math"/>
                  <w:szCs w:val="20"/>
                </w:rPr>
              </m:ctrlPr>
            </m:dPr>
            <m:e>
              <m:r>
                <w:rPr>
                  <w:rFonts w:ascii="Cambria Math" w:hAnsi="Cambria Math"/>
                  <w:szCs w:val="20"/>
                </w:rPr>
                <m:t>λ,T</m:t>
              </m:r>
            </m:e>
          </m:d>
          <m:r>
            <w:rPr>
              <w:rFonts w:ascii="Cambria Math" w:hAnsi="Cambria Math"/>
              <w:szCs w:val="20"/>
            </w:rPr>
            <m:t>=</m:t>
          </m:r>
          <m:nary>
            <m:naryPr>
              <m:chr m:val="∑"/>
              <m:grow m:val="1"/>
              <m:ctrlPr>
                <w:rPr>
                  <w:rFonts w:ascii="Cambria Math" w:hAnsi="Cambria Math"/>
                  <w:szCs w:val="20"/>
                </w:rPr>
              </m:ctrlPr>
            </m:naryPr>
            <m:sub>
              <m:r>
                <w:rPr>
                  <w:rFonts w:ascii="Cambria Math" w:hAnsi="Cambria Math"/>
                  <w:szCs w:val="20"/>
                </w:rPr>
                <m:t>n=1</m:t>
              </m:r>
            </m:sub>
            <m:sup>
              <m:r>
                <w:rPr>
                  <w:rFonts w:ascii="Cambria Math" w:hAnsi="Cambria Math"/>
                  <w:szCs w:val="20"/>
                </w:rPr>
                <m:t>3</m:t>
              </m:r>
            </m:sup>
            <m:e>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B</m:t>
                      </m:r>
                    </m:e>
                    <m:sub>
                      <m:r>
                        <w:rPr>
                          <w:rFonts w:ascii="Cambria Math" w:hAnsi="Cambria Math"/>
                          <w:szCs w:val="20"/>
                        </w:rPr>
                        <m:t>j</m:t>
                      </m:r>
                    </m:sub>
                  </m:sSub>
                  <m:d>
                    <m:dPr>
                      <m:ctrlPr>
                        <w:rPr>
                          <w:rFonts w:ascii="Cambria Math" w:hAnsi="Cambria Math"/>
                          <w:i/>
                          <w:szCs w:val="20"/>
                        </w:rPr>
                      </m:ctrlPr>
                    </m:dPr>
                    <m:e>
                      <m:r>
                        <w:rPr>
                          <w:rFonts w:ascii="Cambria Math" w:hAnsi="Cambria Math"/>
                          <w:szCs w:val="20"/>
                        </w:rPr>
                        <m:t>T</m:t>
                      </m:r>
                    </m:e>
                  </m:d>
                  <m:sSup>
                    <m:sSupPr>
                      <m:ctrlPr>
                        <w:rPr>
                          <w:rFonts w:ascii="Cambria Math" w:hAnsi="Cambria Math"/>
                          <w:i/>
                          <w:szCs w:val="20"/>
                        </w:rPr>
                      </m:ctrlPr>
                    </m:sSupPr>
                    <m:e>
                      <m:r>
                        <w:rPr>
                          <w:rFonts w:ascii="Cambria Math" w:hAnsi="Cambria Math"/>
                          <w:szCs w:val="20"/>
                        </w:rPr>
                        <m:t>λ</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λ</m:t>
                      </m:r>
                    </m:e>
                    <m:sup>
                      <m:r>
                        <w:rPr>
                          <w:rFonts w:ascii="Cambria Math" w:hAnsi="Cambria Math"/>
                          <w:szCs w:val="20"/>
                        </w:rPr>
                        <m:t>2</m:t>
                      </m:r>
                    </m:sup>
                  </m:sSup>
                  <m:r>
                    <w:rPr>
                      <w:rFonts w:ascii="Cambria Math" w:hAnsi="Cambria Math"/>
                      <w:szCs w:val="20"/>
                    </w:rPr>
                    <m:t>-</m:t>
                  </m:r>
                  <m:sSub>
                    <m:sSubPr>
                      <m:ctrlPr>
                        <w:rPr>
                          <w:rFonts w:ascii="Cambria Math" w:hAnsi="Cambria Math"/>
                          <w:i/>
                          <w:szCs w:val="20"/>
                        </w:rPr>
                      </m:ctrlPr>
                    </m:sSubPr>
                    <m:e>
                      <m:r>
                        <w:rPr>
                          <w:rFonts w:ascii="Cambria Math" w:hAnsi="Cambria Math"/>
                          <w:szCs w:val="20"/>
                        </w:rPr>
                        <m:t>C</m:t>
                      </m:r>
                    </m:e>
                    <m:sub>
                      <m:r>
                        <w:rPr>
                          <w:rFonts w:ascii="Cambria Math" w:hAnsi="Cambria Math"/>
                          <w:szCs w:val="20"/>
                        </w:rPr>
                        <m:t>j</m:t>
                      </m:r>
                    </m:sub>
                  </m:sSub>
                  <m:r>
                    <w:rPr>
                      <w:rFonts w:ascii="Cambria Math" w:hAnsi="Cambria Math"/>
                      <w:szCs w:val="20"/>
                    </w:rPr>
                    <m:t>(T)</m:t>
                  </m:r>
                </m:den>
              </m:f>
            </m:e>
          </m:nary>
        </m:oMath>
      </m:oMathPara>
    </w:p>
    <w:p w14:paraId="38984F4D" w14:textId="77777777" w:rsidR="0071630D" w:rsidRPr="0071630D" w:rsidRDefault="0071630D" w:rsidP="0071630D">
      <w:pPr>
        <w:rPr>
          <w:szCs w:val="20"/>
        </w:rPr>
      </w:pPr>
    </w:p>
    <w:p w14:paraId="31C3B527" w14:textId="4387F3BA" w:rsidR="0071630D" w:rsidRDefault="0071630D" w:rsidP="0071630D">
      <w:pPr>
        <w:rPr>
          <w:szCs w:val="20"/>
        </w:rPr>
      </w:pPr>
      <w:r w:rsidRPr="0071630D">
        <w:rPr>
          <w:szCs w:val="20"/>
        </w:rPr>
        <w:t>The optic</w:t>
      </w:r>
      <w:r w:rsidR="00C25633">
        <w:rPr>
          <w:szCs w:val="20"/>
        </w:rPr>
        <w:t>al</w:t>
      </w:r>
      <w:r w:rsidRPr="0071630D">
        <w:rPr>
          <w:szCs w:val="20"/>
        </w:rPr>
        <w:t xml:space="preserve"> and thermal coefficients are taken from papers which obtained experimental values for the refractive indices of these materials at various wavelengths and temperatures to determine the coefficients [9,10,11,12]</w:t>
      </w:r>
      <w:r>
        <w:rPr>
          <w:szCs w:val="20"/>
        </w:rPr>
        <w:t>.</w:t>
      </w:r>
      <w:r w:rsidR="00C25633">
        <w:rPr>
          <w:szCs w:val="20"/>
        </w:rPr>
        <w:t xml:space="preserve"> </w:t>
      </w:r>
      <w:r w:rsidR="00C25633" w:rsidRPr="00C25633">
        <w:rPr>
          <w:szCs w:val="20"/>
        </w:rPr>
        <w:t xml:space="preserve">Because the silver thin film is significantly thin and must be accounted for by experimentally obtaining values at that specific thickness, values for the thermo-optic Sellmeier equation are difficult to come across. For this reason, the closest experimental data obtainable was a </w:t>
      </w:r>
      <w:r w:rsidR="00C25633">
        <w:rPr>
          <w:szCs w:val="20"/>
        </w:rPr>
        <w:t>D</w:t>
      </w:r>
      <w:r w:rsidR="00C25633" w:rsidRPr="00C25633">
        <w:rPr>
          <w:szCs w:val="20"/>
        </w:rPr>
        <w:t>rude</w:t>
      </w:r>
      <w:r w:rsidR="00287BE7">
        <w:rPr>
          <w:szCs w:val="20"/>
        </w:rPr>
        <w:t xml:space="preserve">-Lorentz </w:t>
      </w:r>
      <w:r w:rsidR="00C25633" w:rsidRPr="00C25633">
        <w:rPr>
          <w:szCs w:val="20"/>
        </w:rPr>
        <w:t xml:space="preserve">Equation for Silver of 34 nanometer thickness, and the refractive index and extinction coefficient for our silver thin film is derived by taking the real and imaginary components of the square root of the </w:t>
      </w:r>
      <w:r w:rsidR="00C25633">
        <w:rPr>
          <w:szCs w:val="20"/>
        </w:rPr>
        <w:t>Drude</w:t>
      </w:r>
      <w:r w:rsidR="00287BE7">
        <w:rPr>
          <w:szCs w:val="20"/>
        </w:rPr>
        <w:t>-Lorentz</w:t>
      </w:r>
      <w:r w:rsidR="00C25633" w:rsidRPr="00C25633">
        <w:rPr>
          <w:szCs w:val="20"/>
        </w:rPr>
        <w:t xml:space="preserve"> equation as follows.</w:t>
      </w:r>
    </w:p>
    <w:p w14:paraId="090EFE31" w14:textId="77777777" w:rsidR="00C25633" w:rsidRDefault="00C25633" w:rsidP="0071630D">
      <w:pPr>
        <w:rPr>
          <w:szCs w:val="20"/>
        </w:rPr>
      </w:pPr>
    </w:p>
    <w:p w14:paraId="063E0A94" w14:textId="2DD983E9" w:rsidR="00C25633" w:rsidRPr="00287BE7" w:rsidRDefault="00287BE7" w:rsidP="0071630D">
      <w:pPr>
        <w:rPr>
          <w:szCs w:val="20"/>
        </w:rPr>
      </w:pPr>
      <m:oMathPara>
        <m:oMath>
          <m:r>
            <w:rPr>
              <w:rFonts w:ascii="Cambria Math" w:hAnsi="Cambria Math"/>
              <w:szCs w:val="20"/>
            </w:rPr>
            <m:t>ϵ</m:t>
          </m:r>
          <m:d>
            <m:dPr>
              <m:ctrlPr>
                <w:rPr>
                  <w:rFonts w:ascii="Cambria Math" w:hAnsi="Cambria Math"/>
                  <w:i/>
                  <w:szCs w:val="20"/>
                </w:rPr>
              </m:ctrlPr>
            </m:dPr>
            <m:e>
              <m:r>
                <w:rPr>
                  <w:rFonts w:ascii="Cambria Math" w:hAnsi="Cambria Math"/>
                  <w:szCs w:val="20"/>
                </w:rPr>
                <m:t>ω</m:t>
              </m:r>
            </m:e>
          </m:d>
          <m:r>
            <w:rPr>
              <w:rFonts w:ascii="Cambria Math" w:hAnsi="Cambria Math"/>
              <w:szCs w:val="20"/>
            </w:rPr>
            <m:t>=</m:t>
          </m:r>
          <m:sSub>
            <m:sSubPr>
              <m:ctrlPr>
                <w:rPr>
                  <w:rFonts w:ascii="Cambria Math" w:hAnsi="Cambria Math"/>
                  <w:i/>
                  <w:szCs w:val="20"/>
                </w:rPr>
              </m:ctrlPr>
            </m:sSubPr>
            <m:e>
              <m:r>
                <w:rPr>
                  <w:rFonts w:ascii="Cambria Math" w:hAnsi="Cambria Math"/>
                  <w:szCs w:val="20"/>
                </w:rPr>
                <m:t>ϵ</m:t>
              </m:r>
            </m:e>
            <m:sub>
              <m:r>
                <w:rPr>
                  <w:rFonts w:ascii="Cambria Math" w:hAnsi="Cambria Math"/>
                  <w:szCs w:val="20"/>
                </w:rPr>
                <m:t>∞</m:t>
              </m:r>
            </m:sub>
          </m:sSub>
          <m:r>
            <w:rPr>
              <w:rFonts w:ascii="Cambria Math" w:hAnsi="Cambria Math"/>
              <w:szCs w:val="20"/>
            </w:rPr>
            <m:t>+</m:t>
          </m:r>
          <m:f>
            <m:fPr>
              <m:ctrlPr>
                <w:rPr>
                  <w:rFonts w:ascii="Cambria Math" w:hAnsi="Cambria Math"/>
                  <w:i/>
                  <w:szCs w:val="20"/>
                </w:rPr>
              </m:ctrlPr>
            </m:fPr>
            <m:num>
              <m:sSubSup>
                <m:sSubSupPr>
                  <m:ctrlPr>
                    <w:rPr>
                      <w:rFonts w:ascii="Cambria Math" w:hAnsi="Cambria Math"/>
                      <w:i/>
                      <w:szCs w:val="20"/>
                    </w:rPr>
                  </m:ctrlPr>
                </m:sSubSupPr>
                <m:e>
                  <m:r>
                    <w:rPr>
                      <w:rFonts w:ascii="Cambria Math" w:hAnsi="Cambria Math"/>
                      <w:szCs w:val="20"/>
                    </w:rPr>
                    <m:t>ω</m:t>
                  </m:r>
                </m:e>
                <m:sub>
                  <m:r>
                    <w:rPr>
                      <w:rFonts w:ascii="Cambria Math" w:hAnsi="Cambria Math"/>
                      <w:szCs w:val="20"/>
                    </w:rPr>
                    <m:t>p</m:t>
                  </m:r>
                </m:sub>
                <m:sup>
                  <m:r>
                    <w:rPr>
                      <w:rFonts w:ascii="Cambria Math" w:hAnsi="Cambria Math"/>
                      <w:szCs w:val="20"/>
                    </w:rPr>
                    <m:t>2</m:t>
                  </m:r>
                </m:sup>
              </m:sSubSup>
            </m:num>
            <m:den>
              <m:sSup>
                <m:sSupPr>
                  <m:ctrlPr>
                    <w:rPr>
                      <w:rFonts w:ascii="Cambria Math" w:hAnsi="Cambria Math"/>
                      <w:i/>
                      <w:szCs w:val="20"/>
                    </w:rPr>
                  </m:ctrlPr>
                </m:sSupPr>
                <m:e>
                  <m:r>
                    <w:rPr>
                      <w:rFonts w:ascii="Cambria Math" w:hAnsi="Cambria Math"/>
                      <w:szCs w:val="20"/>
                    </w:rPr>
                    <m:t>ϵ</m:t>
                  </m:r>
                </m:e>
                <m:sup>
                  <m:r>
                    <w:rPr>
                      <w:rFonts w:ascii="Cambria Math" w:hAnsi="Cambria Math"/>
                      <w:szCs w:val="20"/>
                    </w:rPr>
                    <m:t>2</m:t>
                  </m:r>
                </m:sup>
              </m:sSup>
              <m:r>
                <w:rPr>
                  <w:rFonts w:ascii="Cambria Math" w:hAnsi="Cambria Math"/>
                  <w:szCs w:val="20"/>
                </w:rPr>
                <m:t>+i</m:t>
              </m:r>
              <m:sSub>
                <m:sSubPr>
                  <m:ctrlPr>
                    <w:rPr>
                      <w:rFonts w:ascii="Cambria Math" w:hAnsi="Cambria Math"/>
                      <w:i/>
                      <w:szCs w:val="20"/>
                    </w:rPr>
                  </m:ctrlPr>
                </m:sSubPr>
                <m:e>
                  <m:r>
                    <m:rPr>
                      <m:sty m:val="p"/>
                    </m:rPr>
                    <w:rPr>
                      <w:rFonts w:ascii="Cambria Math" w:hAnsi="Cambria Math"/>
                      <w:szCs w:val="20"/>
                    </w:rPr>
                    <m:t>Γ</m:t>
                  </m:r>
                  <m:ctrlPr>
                    <w:rPr>
                      <w:rFonts w:ascii="Cambria Math" w:hAnsi="Cambria Math"/>
                      <w:szCs w:val="20"/>
                    </w:rPr>
                  </m:ctrlPr>
                </m:e>
                <m:sub>
                  <m:r>
                    <w:rPr>
                      <w:rFonts w:ascii="Cambria Math" w:hAnsi="Cambria Math"/>
                      <w:szCs w:val="20"/>
                    </w:rPr>
                    <m:t>D</m:t>
                  </m:r>
                </m:sub>
              </m:sSub>
              <m:r>
                <w:rPr>
                  <w:rFonts w:ascii="Cambria Math" w:hAnsi="Cambria Math"/>
                  <w:szCs w:val="20"/>
                </w:rPr>
                <m:t>ω</m:t>
              </m:r>
            </m:den>
          </m:f>
          <m:r>
            <w:rPr>
              <w:rFonts w:ascii="Cambria Math" w:hAnsi="Cambria Math"/>
              <w:szCs w:val="20"/>
            </w:rPr>
            <m:t>+</m:t>
          </m:r>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A</m:t>
                  </m:r>
                </m:e>
                <m:sub>
                  <m:r>
                    <w:rPr>
                      <w:rFonts w:ascii="Cambria Math" w:hAnsi="Cambria Math"/>
                      <w:szCs w:val="20"/>
                    </w:rPr>
                    <m:t>1</m:t>
                  </m:r>
                </m:sub>
              </m:sSub>
            </m:num>
            <m:den>
              <m:sSubSup>
                <m:sSubSupPr>
                  <m:ctrlPr>
                    <w:rPr>
                      <w:rFonts w:ascii="Cambria Math" w:hAnsi="Cambria Math"/>
                      <w:i/>
                      <w:szCs w:val="20"/>
                    </w:rPr>
                  </m:ctrlPr>
                </m:sSubSupPr>
                <m:e>
                  <m:r>
                    <w:rPr>
                      <w:rFonts w:ascii="Cambria Math" w:hAnsi="Cambria Math"/>
                      <w:szCs w:val="20"/>
                    </w:rPr>
                    <m:t>E</m:t>
                  </m:r>
                </m:e>
                <m:sub>
                  <m:r>
                    <w:rPr>
                      <w:rFonts w:ascii="Cambria Math" w:hAnsi="Cambria Math"/>
                      <w:szCs w:val="20"/>
                    </w:rPr>
                    <m:t>1</m:t>
                  </m:r>
                </m:sub>
                <m:sup>
                  <m:r>
                    <w:rPr>
                      <w:rFonts w:ascii="Cambria Math" w:hAnsi="Cambria Math"/>
                      <w:szCs w:val="20"/>
                    </w:rPr>
                    <m:t>2</m:t>
                  </m:r>
                </m:sup>
              </m:sSubSup>
              <m:r>
                <w:rPr>
                  <w:rFonts w:ascii="Cambria Math" w:hAnsi="Cambria Math"/>
                  <w:szCs w:val="20"/>
                </w:rPr>
                <m:t>-</m:t>
              </m:r>
              <m:sSup>
                <m:sSupPr>
                  <m:ctrlPr>
                    <w:rPr>
                      <w:rFonts w:ascii="Cambria Math" w:hAnsi="Cambria Math"/>
                      <w:i/>
                      <w:szCs w:val="20"/>
                    </w:rPr>
                  </m:ctrlPr>
                </m:sSupPr>
                <m:e>
                  <m:d>
                    <m:dPr>
                      <m:ctrlPr>
                        <w:rPr>
                          <w:rFonts w:ascii="Cambria Math" w:hAnsi="Cambria Math"/>
                          <w:i/>
                          <w:szCs w:val="20"/>
                        </w:rPr>
                      </m:ctrlPr>
                    </m:dPr>
                    <m:e>
                      <m:r>
                        <w:rPr>
                          <w:rFonts w:ascii="Cambria Math" w:hAnsi="Cambria Math"/>
                          <w:szCs w:val="20"/>
                        </w:rPr>
                        <m:t>ℏω</m:t>
                      </m:r>
                    </m:e>
                  </m:d>
                </m:e>
                <m:sup>
                  <m:r>
                    <w:rPr>
                      <w:rFonts w:ascii="Cambria Math" w:hAnsi="Cambria Math"/>
                      <w:szCs w:val="20"/>
                    </w:rPr>
                    <m:t>2</m:t>
                  </m:r>
                </m:sup>
              </m:sSup>
              <m:r>
                <w:rPr>
                  <w:rFonts w:ascii="Cambria Math" w:hAnsi="Cambria Math"/>
                  <w:szCs w:val="20"/>
                </w:rPr>
                <m:t>-i</m:t>
              </m:r>
              <m:sSub>
                <m:sSubPr>
                  <m:ctrlPr>
                    <w:rPr>
                      <w:rFonts w:ascii="Cambria Math" w:hAnsi="Cambria Math"/>
                      <w:i/>
                      <w:szCs w:val="20"/>
                    </w:rPr>
                  </m:ctrlPr>
                </m:sSubPr>
                <m:e>
                  <m:r>
                    <w:rPr>
                      <w:rFonts w:ascii="Cambria Math" w:hAnsi="Cambria Math"/>
                      <w:szCs w:val="20"/>
                    </w:rPr>
                    <m:t>γ</m:t>
                  </m:r>
                </m:e>
                <m:sub>
                  <m:r>
                    <w:rPr>
                      <w:rFonts w:ascii="Cambria Math" w:hAnsi="Cambria Math"/>
                      <w:szCs w:val="20"/>
                    </w:rPr>
                    <m:t>1</m:t>
                  </m:r>
                </m:sub>
              </m:sSub>
              <m:r>
                <w:rPr>
                  <w:rFonts w:ascii="Cambria Math" w:hAnsi="Cambria Math"/>
                  <w:szCs w:val="20"/>
                </w:rPr>
                <m:t>(ℏω)</m:t>
              </m:r>
            </m:den>
          </m:f>
        </m:oMath>
      </m:oMathPara>
    </w:p>
    <w:p w14:paraId="37D5930C" w14:textId="3F5C5372" w:rsidR="00287BE7" w:rsidRPr="00C95990" w:rsidRDefault="00287BE7" w:rsidP="0071630D">
      <w:pPr>
        <w:rPr>
          <w:szCs w:val="20"/>
        </w:rPr>
      </w:pPr>
      <m:oMathPara>
        <m:oMath>
          <m:r>
            <w:rPr>
              <w:rFonts w:ascii="Cambria Math" w:hAnsi="Cambria Math"/>
              <w:szCs w:val="20"/>
            </w:rPr>
            <m:t>n+ik=Re</m:t>
          </m:r>
          <m:d>
            <m:dPr>
              <m:ctrlPr>
                <w:rPr>
                  <w:rFonts w:ascii="Cambria Math" w:hAnsi="Cambria Math"/>
                  <w:i/>
                  <w:szCs w:val="20"/>
                </w:rPr>
              </m:ctrlPr>
            </m:dPr>
            <m:e>
              <m:r>
                <w:rPr>
                  <w:rFonts w:ascii="Cambria Math" w:hAnsi="Cambria Math"/>
                  <w:szCs w:val="20"/>
                </w:rPr>
                <m:t>ϵ</m:t>
              </m:r>
              <m:d>
                <m:dPr>
                  <m:ctrlPr>
                    <w:rPr>
                      <w:rFonts w:ascii="Cambria Math" w:hAnsi="Cambria Math"/>
                      <w:i/>
                      <w:szCs w:val="20"/>
                    </w:rPr>
                  </m:ctrlPr>
                </m:dPr>
                <m:e>
                  <m:r>
                    <w:rPr>
                      <w:rFonts w:ascii="Cambria Math" w:hAnsi="Cambria Math"/>
                      <w:szCs w:val="20"/>
                    </w:rPr>
                    <m:t>ω</m:t>
                  </m:r>
                </m:e>
              </m:d>
            </m:e>
          </m:d>
          <m:r>
            <w:rPr>
              <w:rFonts w:ascii="Cambria Math" w:hAnsi="Cambria Math"/>
              <w:szCs w:val="20"/>
            </w:rPr>
            <m:t>+i*Im(ϵ</m:t>
          </m:r>
          <m:d>
            <m:dPr>
              <m:ctrlPr>
                <w:rPr>
                  <w:rFonts w:ascii="Cambria Math" w:hAnsi="Cambria Math"/>
                  <w:i/>
                  <w:szCs w:val="20"/>
                </w:rPr>
              </m:ctrlPr>
            </m:dPr>
            <m:e>
              <m:r>
                <w:rPr>
                  <w:rFonts w:ascii="Cambria Math" w:hAnsi="Cambria Math"/>
                  <w:szCs w:val="20"/>
                </w:rPr>
                <m:t>ω</m:t>
              </m:r>
            </m:e>
          </m:d>
          <m:r>
            <w:rPr>
              <w:rFonts w:ascii="Cambria Math" w:hAnsi="Cambria Math"/>
              <w:szCs w:val="20"/>
            </w:rPr>
            <m:t>)</m:t>
          </m:r>
        </m:oMath>
      </m:oMathPara>
    </w:p>
    <w:p w14:paraId="2D38C526" w14:textId="77777777" w:rsidR="00C95990" w:rsidRPr="00287BE7" w:rsidRDefault="00C95990" w:rsidP="0071630D">
      <w:pPr>
        <w:rPr>
          <w:szCs w:val="20"/>
        </w:rPr>
      </w:pPr>
    </w:p>
    <w:p w14:paraId="5225EA2E" w14:textId="193FFEAB" w:rsidR="00287BE7" w:rsidRDefault="00287BE7" w:rsidP="0071630D">
      <w:pPr>
        <w:rPr>
          <w:b/>
          <w:bCs/>
          <w:szCs w:val="20"/>
        </w:rPr>
      </w:pPr>
      <w:r w:rsidRPr="00287BE7">
        <w:rPr>
          <w:b/>
          <w:bCs/>
          <w:szCs w:val="20"/>
        </w:rPr>
        <w:t>Boundary Conditions</w:t>
      </w:r>
    </w:p>
    <w:p w14:paraId="75A463B0" w14:textId="611B664B" w:rsidR="00287BE7" w:rsidRPr="00287BE7" w:rsidRDefault="00287BE7" w:rsidP="00287BE7">
      <w:pPr>
        <w:rPr>
          <w:szCs w:val="20"/>
        </w:rPr>
      </w:pPr>
      <w:r w:rsidRPr="00287BE7">
        <w:rPr>
          <w:szCs w:val="20"/>
        </w:rPr>
        <w:t xml:space="preserve">Gaussian beam sources are implemented using Matched Boundary Conditions, defining gaussian beam parameters in the gaussian beam equation. Photon detection is represented using Matched Boundary Condition for Waves 1 and 2 for the Target and Control qubit. To launch linear 45 </w:t>
      </w:r>
      <w:r w:rsidRPr="00287BE7">
        <w:rPr>
          <w:szCs w:val="20"/>
        </w:rPr>
        <w:t xml:space="preserve">degree polarized light, the Incident Electric Field Envelope input parameters </w:t>
      </w:r>
      <w:r w:rsidR="003B01B4">
        <w:rPr>
          <w:szCs w:val="20"/>
        </w:rPr>
        <w:t>for</w:t>
      </w:r>
      <w:r w:rsidRPr="00287BE7">
        <w:rPr>
          <w:szCs w:val="20"/>
        </w:rPr>
        <w:t xml:space="preserve"> source 1 are:</w:t>
      </w:r>
    </w:p>
    <w:p w14:paraId="3B9C5A76" w14:textId="6B39E802" w:rsidR="00287BE7" w:rsidRPr="003B01B4" w:rsidRDefault="00000000" w:rsidP="0071630D">
      <w:pPr>
        <w:rPr>
          <w:szCs w:val="20"/>
        </w:rPr>
      </w:pPr>
      <m:oMathPara>
        <m:oMath>
          <m:sSub>
            <m:sSubPr>
              <m:ctrlPr>
                <w:rPr>
                  <w:rFonts w:ascii="Cambria Math" w:hAnsi="Cambria Math"/>
                  <w:i/>
                  <w:szCs w:val="20"/>
                </w:rPr>
              </m:ctrlPr>
            </m:sSubPr>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x</m:t>
                  </m:r>
                </m:sub>
              </m:sSub>
            </m:e>
            <m:sub>
              <m:r>
                <w:rPr>
                  <w:rFonts w:ascii="Cambria Math" w:hAnsi="Cambria Math"/>
                  <w:szCs w:val="20"/>
                </w:rPr>
                <m:t>1</m:t>
              </m:r>
            </m:sub>
          </m:sSub>
          <m:r>
            <w:rPr>
              <w:rFonts w:ascii="Cambria Math" w:hAnsi="Cambria Math"/>
              <w:szCs w:val="20"/>
            </w:rPr>
            <m:t>=0</m:t>
          </m:r>
        </m:oMath>
      </m:oMathPara>
    </w:p>
    <w:p w14:paraId="4C6FA885" w14:textId="5AF92966" w:rsidR="003B01B4" w:rsidRPr="003B01B4" w:rsidRDefault="00000000" w:rsidP="0071630D">
      <w:pPr>
        <w:rPr>
          <w:szCs w:val="20"/>
        </w:rPr>
      </w:pPr>
      <m:oMathPara>
        <m:oMath>
          <m:sSub>
            <m:sSubPr>
              <m:ctrlPr>
                <w:rPr>
                  <w:rFonts w:ascii="Cambria Math" w:hAnsi="Cambria Math"/>
                  <w:i/>
                  <w:szCs w:val="20"/>
                </w:rPr>
              </m:ctrlPr>
            </m:sSubPr>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y</m:t>
                  </m:r>
                </m:sub>
              </m:sSub>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E</m:t>
              </m:r>
            </m:e>
            <m:sub>
              <m:sSub>
                <m:sSubPr>
                  <m:ctrlPr>
                    <w:rPr>
                      <w:rFonts w:ascii="Cambria Math" w:hAnsi="Cambria Math"/>
                      <w:i/>
                      <w:szCs w:val="20"/>
                    </w:rPr>
                  </m:ctrlPr>
                </m:sSubPr>
                <m:e>
                  <m:r>
                    <w:rPr>
                      <w:rFonts w:ascii="Cambria Math" w:hAnsi="Cambria Math"/>
                      <w:szCs w:val="20"/>
                    </w:rPr>
                    <m:t>z</m:t>
                  </m:r>
                </m:e>
                <m:sub>
                  <m:r>
                    <w:rPr>
                      <w:rFonts w:ascii="Cambria Math" w:hAnsi="Cambria Math"/>
                      <w:szCs w:val="20"/>
                    </w:rPr>
                    <m:t>1</m:t>
                  </m:r>
                </m:sub>
              </m:sSub>
            </m:sub>
          </m:sSub>
          <m:r>
            <w:rPr>
              <w:rFonts w:ascii="Cambria Math" w:hAnsi="Cambria Math"/>
              <w:szCs w:val="20"/>
            </w:rPr>
            <m:t>=</m:t>
          </m:r>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m:t>
          </m:r>
          <m:sSup>
            <m:sSupPr>
              <m:ctrlPr>
                <w:rPr>
                  <w:rFonts w:ascii="Cambria Math" w:hAnsi="Cambria Math"/>
                  <w:i/>
                  <w:szCs w:val="20"/>
                </w:rPr>
              </m:ctrlPr>
            </m:sSupPr>
            <m:e>
              <m:r>
                <w:rPr>
                  <w:rFonts w:ascii="Cambria Math" w:hAnsi="Cambria Math"/>
                  <w:szCs w:val="20"/>
                </w:rPr>
                <m:t>e</m:t>
              </m:r>
            </m:e>
            <m:sup>
              <m:sSup>
                <m:sSupPr>
                  <m:ctrlPr>
                    <w:rPr>
                      <w:rFonts w:ascii="Cambria Math" w:hAnsi="Cambria Math"/>
                      <w:i/>
                      <w:szCs w:val="20"/>
                    </w:rPr>
                  </m:ctrlPr>
                </m:sSupPr>
                <m:e>
                  <m:d>
                    <m:dPr>
                      <m:ctrlPr>
                        <w:rPr>
                          <w:rFonts w:ascii="Cambria Math" w:hAnsi="Cambria Math"/>
                          <w:i/>
                          <w:szCs w:val="20"/>
                        </w:rPr>
                      </m:ctrlPr>
                    </m:dPr>
                    <m:e>
                      <m:r>
                        <w:rPr>
                          <w:rFonts w:ascii="Cambria Math" w:hAnsi="Cambria Math"/>
                          <w:szCs w:val="20"/>
                        </w:rPr>
                        <m:t>-</m:t>
                      </m:r>
                      <m:f>
                        <m:fPr>
                          <m:ctrlPr>
                            <w:rPr>
                              <w:rFonts w:ascii="Cambria Math" w:hAnsi="Cambria Math"/>
                              <w:i/>
                              <w:szCs w:val="20"/>
                            </w:rPr>
                          </m:ctrlPr>
                        </m:fPr>
                        <m:num>
                          <m:r>
                            <w:rPr>
                              <w:rFonts w:ascii="Cambria Math" w:hAnsi="Cambria Math"/>
                              <w:szCs w:val="20"/>
                            </w:rPr>
                            <m:t>y</m:t>
                          </m:r>
                        </m:num>
                        <m:den>
                          <m:sSub>
                            <m:sSubPr>
                              <m:ctrlPr>
                                <w:rPr>
                                  <w:rFonts w:ascii="Cambria Math" w:hAnsi="Cambria Math"/>
                                  <w:i/>
                                  <w:szCs w:val="20"/>
                                </w:rPr>
                              </m:ctrlPr>
                            </m:sSubPr>
                            <m:e>
                              <m:r>
                                <w:rPr>
                                  <w:rFonts w:ascii="Cambria Math" w:hAnsi="Cambria Math"/>
                                  <w:szCs w:val="20"/>
                                </w:rPr>
                                <m:t>w</m:t>
                              </m:r>
                            </m:e>
                            <m:sub>
                              <m:r>
                                <w:rPr>
                                  <w:rFonts w:ascii="Cambria Math" w:hAnsi="Cambria Math"/>
                                  <w:szCs w:val="20"/>
                                </w:rPr>
                                <m:t>0</m:t>
                              </m:r>
                            </m:sub>
                          </m:sSub>
                        </m:den>
                      </m:f>
                    </m:e>
                  </m:d>
                </m:e>
                <m:sup>
                  <m:r>
                    <w:rPr>
                      <w:rFonts w:ascii="Cambria Math" w:hAnsi="Cambria Math"/>
                      <w:szCs w:val="20"/>
                    </w:rPr>
                    <m:t>2</m:t>
                  </m:r>
                </m:sup>
              </m:sSup>
            </m:sup>
          </m:sSup>
        </m:oMath>
      </m:oMathPara>
    </w:p>
    <w:p w14:paraId="1AED090B" w14:textId="0639239A" w:rsidR="003B01B4" w:rsidRDefault="003B01B4" w:rsidP="0071630D">
      <w:pPr>
        <w:rPr>
          <w:szCs w:val="20"/>
        </w:rPr>
      </w:pPr>
      <w:r>
        <w:rPr>
          <w:szCs w:val="20"/>
        </w:rPr>
        <w:t>For source 2, they are:</w:t>
      </w:r>
    </w:p>
    <w:p w14:paraId="74FDCB0B" w14:textId="60A8DB16" w:rsidR="003B01B4" w:rsidRPr="003B01B4" w:rsidRDefault="00000000" w:rsidP="0071630D">
      <w:pPr>
        <w:rPr>
          <w:szCs w:val="20"/>
        </w:rPr>
      </w:pPr>
      <m:oMathPara>
        <m:oMath>
          <m:sSub>
            <m:sSubPr>
              <m:ctrlPr>
                <w:rPr>
                  <w:rFonts w:ascii="Cambria Math" w:hAnsi="Cambria Math"/>
                  <w:i/>
                  <w:szCs w:val="20"/>
                </w:rPr>
              </m:ctrlPr>
            </m:sSubPr>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x</m:t>
                  </m:r>
                </m:sub>
              </m:sSub>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E</m:t>
              </m:r>
            </m:e>
            <m:sub>
              <m:sSub>
                <m:sSubPr>
                  <m:ctrlPr>
                    <w:rPr>
                      <w:rFonts w:ascii="Cambria Math" w:hAnsi="Cambria Math"/>
                      <w:i/>
                      <w:szCs w:val="20"/>
                    </w:rPr>
                  </m:ctrlPr>
                </m:sSubPr>
                <m:e>
                  <m:r>
                    <w:rPr>
                      <w:rFonts w:ascii="Cambria Math" w:hAnsi="Cambria Math"/>
                      <w:szCs w:val="20"/>
                    </w:rPr>
                    <m:t>z</m:t>
                  </m:r>
                </m:e>
                <m:sub>
                  <m:r>
                    <w:rPr>
                      <w:rFonts w:ascii="Cambria Math" w:hAnsi="Cambria Math"/>
                      <w:szCs w:val="20"/>
                    </w:rPr>
                    <m:t>2</m:t>
                  </m:r>
                </m:sub>
              </m:sSub>
            </m:sub>
          </m:sSub>
          <m:r>
            <w:rPr>
              <w:rFonts w:ascii="Cambria Math" w:hAnsi="Cambria Math"/>
              <w:szCs w:val="20"/>
            </w:rPr>
            <m:t>=</m:t>
          </m:r>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m:t>
              </m:r>
              <m:sSup>
                <m:sSupPr>
                  <m:ctrlPr>
                    <w:rPr>
                      <w:rFonts w:ascii="Cambria Math" w:hAnsi="Cambria Math"/>
                      <w:i/>
                      <w:szCs w:val="20"/>
                    </w:rPr>
                  </m:ctrlPr>
                </m:sSupPr>
                <m:e>
                  <m:d>
                    <m:dPr>
                      <m:ctrlPr>
                        <w:rPr>
                          <w:rFonts w:ascii="Cambria Math" w:hAnsi="Cambria Math"/>
                          <w:i/>
                          <w:szCs w:val="20"/>
                        </w:rPr>
                      </m:ctrlPr>
                    </m:dPr>
                    <m:e>
                      <m:f>
                        <m:fPr>
                          <m:ctrlPr>
                            <w:rPr>
                              <w:rFonts w:ascii="Cambria Math" w:hAnsi="Cambria Math"/>
                              <w:i/>
                              <w:szCs w:val="20"/>
                            </w:rPr>
                          </m:ctrlPr>
                        </m:fPr>
                        <m:num>
                          <m:r>
                            <w:rPr>
                              <w:rFonts w:ascii="Cambria Math" w:hAnsi="Cambria Math"/>
                              <w:szCs w:val="20"/>
                            </w:rPr>
                            <m:t>x-a-adl</m:t>
                          </m:r>
                        </m:num>
                        <m:den>
                          <m:sSub>
                            <m:sSubPr>
                              <m:ctrlPr>
                                <w:rPr>
                                  <w:rFonts w:ascii="Cambria Math" w:hAnsi="Cambria Math"/>
                                  <w:i/>
                                  <w:szCs w:val="20"/>
                                </w:rPr>
                              </m:ctrlPr>
                            </m:sSubPr>
                            <m:e>
                              <m:r>
                                <w:rPr>
                                  <w:rFonts w:ascii="Cambria Math" w:hAnsi="Cambria Math"/>
                                  <w:szCs w:val="20"/>
                                </w:rPr>
                                <m:t>w</m:t>
                              </m:r>
                            </m:e>
                            <m:sub>
                              <m:r>
                                <w:rPr>
                                  <w:rFonts w:ascii="Cambria Math" w:hAnsi="Cambria Math"/>
                                  <w:szCs w:val="20"/>
                                </w:rPr>
                                <m:t>0</m:t>
                              </m:r>
                            </m:sub>
                          </m:sSub>
                        </m:den>
                      </m:f>
                    </m:e>
                  </m:d>
                </m:e>
                <m:sup>
                  <m:r>
                    <w:rPr>
                      <w:rFonts w:ascii="Cambria Math" w:hAnsi="Cambria Math"/>
                      <w:szCs w:val="20"/>
                    </w:rPr>
                    <m:t>2</m:t>
                  </m:r>
                </m:sup>
              </m:sSup>
            </m:sup>
          </m:sSup>
        </m:oMath>
      </m:oMathPara>
    </w:p>
    <w:p w14:paraId="76DBC1D6" w14:textId="3318F24B" w:rsidR="003B01B4" w:rsidRPr="003B01B4" w:rsidRDefault="00000000" w:rsidP="0071630D">
      <w:pPr>
        <w:rPr>
          <w:szCs w:val="20"/>
        </w:rPr>
      </w:pPr>
      <m:oMathPara>
        <m:oMath>
          <m:sSub>
            <m:sSubPr>
              <m:ctrlPr>
                <w:rPr>
                  <w:rFonts w:ascii="Cambria Math" w:hAnsi="Cambria Math"/>
                  <w:i/>
                  <w:szCs w:val="20"/>
                </w:rPr>
              </m:ctrlPr>
            </m:sSubPr>
            <m:e>
              <m:r>
                <w:rPr>
                  <w:rFonts w:ascii="Cambria Math" w:hAnsi="Cambria Math"/>
                  <w:szCs w:val="20"/>
                </w:rPr>
                <m:t>E</m:t>
              </m:r>
            </m:e>
            <m:sub>
              <m:sSub>
                <m:sSubPr>
                  <m:ctrlPr>
                    <w:rPr>
                      <w:rFonts w:ascii="Cambria Math" w:hAnsi="Cambria Math"/>
                      <w:i/>
                      <w:szCs w:val="20"/>
                    </w:rPr>
                  </m:ctrlPr>
                </m:sSubPr>
                <m:e>
                  <m:r>
                    <w:rPr>
                      <w:rFonts w:ascii="Cambria Math" w:hAnsi="Cambria Math"/>
                      <w:szCs w:val="20"/>
                    </w:rPr>
                    <m:t>y</m:t>
                  </m:r>
                </m:e>
                <m:sub>
                  <m:r>
                    <w:rPr>
                      <w:rFonts w:ascii="Cambria Math" w:hAnsi="Cambria Math"/>
                      <w:szCs w:val="20"/>
                    </w:rPr>
                    <m:t>2</m:t>
                  </m:r>
                </m:sub>
              </m:sSub>
            </m:sub>
          </m:sSub>
          <m:r>
            <w:rPr>
              <w:rFonts w:ascii="Cambria Math" w:hAnsi="Cambria Math"/>
              <w:szCs w:val="20"/>
            </w:rPr>
            <m:t>=0</m:t>
          </m:r>
        </m:oMath>
      </m:oMathPara>
    </w:p>
    <w:p w14:paraId="29BACBC3" w14:textId="2F157957" w:rsidR="003B01B4" w:rsidRPr="003B01B4" w:rsidRDefault="003B01B4" w:rsidP="003B01B4">
      <w:pPr>
        <w:rPr>
          <w:szCs w:val="20"/>
        </w:rPr>
      </w:pPr>
      <w:r>
        <w:rPr>
          <w:szCs w:val="20"/>
        </w:rPr>
        <w:t xml:space="preserve">X and Y are cartesian co-ordinates that increase as the beam propagate. </w:t>
      </w:r>
      <w:r w:rsidR="00C95990">
        <w:rPr>
          <w:szCs w:val="20"/>
        </w:rPr>
        <w:t>‘</w:t>
      </w:r>
      <w:r>
        <w:rPr>
          <w:szCs w:val="20"/>
        </w:rPr>
        <w:t>a</w:t>
      </w:r>
      <w:r w:rsidR="00C95990">
        <w:rPr>
          <w:szCs w:val="20"/>
        </w:rPr>
        <w:t>’</w:t>
      </w:r>
      <w:r>
        <w:rPr>
          <w:szCs w:val="20"/>
        </w:rPr>
        <w:t xml:space="preserve"> is the variable name for the length of the beamsplitter edges. </w:t>
      </w:r>
      <w:r w:rsidR="00C95990">
        <w:rPr>
          <w:szCs w:val="20"/>
        </w:rPr>
        <w:t>‘a</w:t>
      </w:r>
      <w:r>
        <w:rPr>
          <w:szCs w:val="20"/>
        </w:rPr>
        <w:t>dl</w:t>
      </w:r>
      <w:r w:rsidR="00C95990">
        <w:rPr>
          <w:szCs w:val="20"/>
        </w:rPr>
        <w:t>’</w:t>
      </w:r>
      <w:r>
        <w:rPr>
          <w:szCs w:val="20"/>
        </w:rPr>
        <w:t xml:space="preserve"> is the parameter swept variable for the Air Domain Length. These co ordinate offsets are added to the exponential term to account for the physical co ordinates of the beam sources such that the strength is maximum at the source.</w:t>
      </w:r>
    </w:p>
    <w:p w14:paraId="7E27CD2E" w14:textId="54BF21A9" w:rsidR="003B01B4" w:rsidRDefault="003B01B4" w:rsidP="003B01B4">
      <w:pPr>
        <w:rPr>
          <w:szCs w:val="20"/>
        </w:rPr>
      </w:pPr>
      <w:r w:rsidRPr="003B01B4">
        <w:rPr>
          <w:szCs w:val="20"/>
        </w:rPr>
        <w:t>When propagating within air, edges where scattered light may reach need to be defined as infinitely continuous domains such that light does not inaccurately reflect back into the system at the physical edges of the air domain geometry. In order to do this, a combination of Perfectly Matched Layers (PMLs) and Scattering Boundary Conditions (SBCs) are used. While PMLs are much more efficient at dissipating light, it requires a physical domain to perfectly line up with the boundary it is covering. This becomes problematic in cross shaped regions in our model, where it is impossible to have two rectangles cover a cross region without intersection, which would lead to model inaccuracies. Therefore, as many PMLs were defined as possible without intersections between any two, and any remaining regions were sufficiently modeled using SBCs. To represent photodetectors, Matched Boundary Conditions (MBCs) were used with their input parameters set to the first and second wave respectively of the qubit it was associated with. To represent the partially reflecting beamsplitter’s silver thin film, a Transition Boundary Condition (TBC) is assigned to a line cutting through a square domain. The thickness of the thin film is 7 nm. To represent antireflection coatings, a TBC is assigned between any interface where the refractive index changes. The refractive index of the TBC and its thickness are defined as follows to implement antireflection coating:</w:t>
      </w:r>
    </w:p>
    <w:p w14:paraId="6871A18F" w14:textId="77777777" w:rsidR="003B01B4" w:rsidRPr="003B01B4" w:rsidRDefault="003B01B4" w:rsidP="003B01B4">
      <w:pPr>
        <w:rPr>
          <w:szCs w:val="20"/>
        </w:rPr>
      </w:pPr>
    </w:p>
    <w:p w14:paraId="42724D1D" w14:textId="54066FF4" w:rsidR="003B01B4" w:rsidRPr="00AC7EC9" w:rsidRDefault="002C4EE0" w:rsidP="0071630D">
      <w:pPr>
        <w:rPr>
          <w:szCs w:val="20"/>
        </w:rPr>
      </w:pPr>
      <m:oMathPara>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antireflection</m:t>
              </m:r>
            </m:sub>
          </m:sSub>
          <m:r>
            <w:rPr>
              <w:rFonts w:ascii="Cambria Math" w:hAnsi="Cambria Math"/>
              <w:szCs w:val="20"/>
            </w:rPr>
            <m:t>=</m:t>
          </m:r>
          <m:rad>
            <m:radPr>
              <m:degHide m:val="1"/>
              <m:ctrlPr>
                <w:rPr>
                  <w:rFonts w:ascii="Cambria Math" w:hAnsi="Cambria Math"/>
                  <w:i/>
                  <w:szCs w:val="20"/>
                </w:rPr>
              </m:ctrlPr>
            </m:radPr>
            <m:deg/>
            <m:e>
              <m:sSub>
                <m:sSubPr>
                  <m:ctrlPr>
                    <w:rPr>
                      <w:rFonts w:ascii="Cambria Math" w:hAnsi="Cambria Math"/>
                      <w:i/>
                      <w:szCs w:val="20"/>
                    </w:rPr>
                  </m:ctrlPr>
                </m:sSubPr>
                <m:e>
                  <m:r>
                    <w:rPr>
                      <w:rFonts w:ascii="Cambria Math" w:hAnsi="Cambria Math"/>
                      <w:szCs w:val="20"/>
                    </w:rPr>
                    <m:t>n</m:t>
                  </m:r>
                </m:e>
                <m:sub>
                  <m:r>
                    <w:rPr>
                      <w:rFonts w:ascii="Cambria Math" w:hAnsi="Cambria Math"/>
                      <w:szCs w:val="20"/>
                    </w:rPr>
                    <m:t>air</m:t>
                  </m:r>
                </m:sub>
              </m:sSub>
            </m:e>
          </m:rad>
        </m:oMath>
      </m:oMathPara>
    </w:p>
    <w:p w14:paraId="05675393" w14:textId="6D0FCFED" w:rsidR="00AC7EC9" w:rsidRPr="00BB7202" w:rsidRDefault="00AC7EC9" w:rsidP="0071630D">
      <w:pPr>
        <w:rPr>
          <w:szCs w:val="20"/>
        </w:rPr>
      </w:pPr>
      <m:oMathPara>
        <m:oMath>
          <m:sSub>
            <m:sSubPr>
              <m:ctrlPr>
                <w:rPr>
                  <w:rFonts w:ascii="Cambria Math" w:hAnsi="Cambria Math"/>
                  <w:i/>
                  <w:szCs w:val="20"/>
                </w:rPr>
              </m:ctrlPr>
            </m:sSubPr>
            <m:e>
              <m:r>
                <w:rPr>
                  <w:rFonts w:ascii="Cambria Math" w:hAnsi="Cambria Math"/>
                  <w:szCs w:val="20"/>
                </w:rPr>
                <m:t>d</m:t>
              </m:r>
            </m:e>
            <m:sub>
              <m:r>
                <w:rPr>
                  <w:rFonts w:ascii="Cambria Math" w:hAnsi="Cambria Math"/>
                  <w:szCs w:val="20"/>
                </w:rPr>
                <m:t>antireflection</m:t>
              </m:r>
            </m:sub>
          </m:sSub>
          <m:r>
            <w:rPr>
              <w:rFonts w:ascii="Cambria Math" w:hAnsi="Cambria Math"/>
              <w:szCs w:val="20"/>
            </w:rPr>
            <m:t>=</m:t>
          </m:r>
          <m:f>
            <m:fPr>
              <m:ctrlPr>
                <w:rPr>
                  <w:rFonts w:ascii="Cambria Math" w:hAnsi="Cambria Math"/>
                  <w:i/>
                  <w:szCs w:val="20"/>
                </w:rPr>
              </m:ctrlPr>
            </m:fPr>
            <m:num>
              <m:r>
                <w:rPr>
                  <w:rFonts w:ascii="Cambria Math" w:hAnsi="Cambria Math"/>
                  <w:szCs w:val="20"/>
                </w:rPr>
                <m:t>800nm</m:t>
              </m:r>
            </m:num>
            <m:den>
              <m:r>
                <w:rPr>
                  <w:rFonts w:ascii="Cambria Math" w:hAnsi="Cambria Math"/>
                  <w:szCs w:val="20"/>
                </w:rPr>
                <m:t>4*</m:t>
              </m:r>
              <m:sSub>
                <m:sSubPr>
                  <m:ctrlPr>
                    <w:rPr>
                      <w:rFonts w:ascii="Cambria Math" w:hAnsi="Cambria Math"/>
                      <w:i/>
                      <w:szCs w:val="20"/>
                    </w:rPr>
                  </m:ctrlPr>
                </m:sSubPr>
                <m:e>
                  <m:r>
                    <w:rPr>
                      <w:rFonts w:ascii="Cambria Math" w:hAnsi="Cambria Math"/>
                      <w:szCs w:val="20"/>
                    </w:rPr>
                    <m:t>n</m:t>
                  </m:r>
                </m:e>
                <m:sub>
                  <m:r>
                    <w:rPr>
                      <w:rFonts w:ascii="Cambria Math" w:hAnsi="Cambria Math"/>
                      <w:szCs w:val="20"/>
                    </w:rPr>
                    <m:t>antireflection</m:t>
                  </m:r>
                </m:sub>
              </m:sSub>
            </m:den>
          </m:f>
        </m:oMath>
      </m:oMathPara>
    </w:p>
    <w:p w14:paraId="3524F23D" w14:textId="77777777" w:rsidR="00BB7202" w:rsidRDefault="00BB7202" w:rsidP="0071630D">
      <w:pPr>
        <w:rPr>
          <w:szCs w:val="20"/>
        </w:rPr>
      </w:pPr>
    </w:p>
    <w:p w14:paraId="4C26C388" w14:textId="742B1DD9" w:rsidR="00BB7202" w:rsidRDefault="00BB7202" w:rsidP="0071630D">
      <w:pPr>
        <w:rPr>
          <w:szCs w:val="20"/>
        </w:rPr>
      </w:pPr>
      <w:r>
        <w:rPr>
          <w:szCs w:val="20"/>
        </w:rPr>
        <w:t>800 nanometers is chosen as the design wavelength of the system’s simple one layer antireflection coating.</w:t>
      </w:r>
    </w:p>
    <w:p w14:paraId="2D64194B" w14:textId="77777777" w:rsidR="00BB7202" w:rsidRPr="00AC7EC9" w:rsidRDefault="00BB7202" w:rsidP="0071630D">
      <w:pPr>
        <w:rPr>
          <w:szCs w:val="20"/>
        </w:rPr>
      </w:pPr>
    </w:p>
    <w:p w14:paraId="129DCCBA" w14:textId="13825FF2" w:rsidR="00AC7EC9" w:rsidRDefault="00AC7EC9" w:rsidP="0071630D">
      <w:pPr>
        <w:rPr>
          <w:b/>
          <w:bCs/>
          <w:szCs w:val="20"/>
        </w:rPr>
      </w:pPr>
      <w:r w:rsidRPr="00AC7EC9">
        <w:rPr>
          <w:b/>
          <w:bCs/>
          <w:szCs w:val="20"/>
        </w:rPr>
        <w:lastRenderedPageBreak/>
        <w:t>Mesh</w:t>
      </w:r>
    </w:p>
    <w:p w14:paraId="31A4F04C" w14:textId="7D900443" w:rsidR="00AC7EC9" w:rsidRDefault="00AC7EC9" w:rsidP="0071630D">
      <w:pPr>
        <w:rPr>
          <w:szCs w:val="20"/>
        </w:rPr>
      </w:pPr>
      <w:r w:rsidRPr="00AC7EC9">
        <w:rPr>
          <w:szCs w:val="20"/>
        </w:rPr>
        <w:t>The mesh for all rectangular regions is defined by a Mapped mesh in order to use rectangular mesh elements. Triangular prisms are defined by the Free Triangular mesh.</w:t>
      </w:r>
      <w:r>
        <w:rPr>
          <w:szCs w:val="20"/>
        </w:rPr>
        <w:t xml:space="preserve"> Maximum element size is one quarter the beam width, minimum element size is 2.65E-5 mm from the default configuration for fine mesh.</w:t>
      </w:r>
      <w:r w:rsidRPr="00AC7EC9">
        <w:rPr>
          <w:rFonts w:ascii="Arial" w:hAnsi="Arial" w:cs="Arial"/>
          <w:color w:val="000000"/>
          <w:sz w:val="22"/>
          <w:szCs w:val="22"/>
        </w:rPr>
        <w:t xml:space="preserve"> </w:t>
      </w:r>
      <w:r w:rsidRPr="00AC7EC9">
        <w:rPr>
          <w:szCs w:val="20"/>
        </w:rPr>
        <w:t>For the Perfectly Matched Layers, we utilize the Mapped mesh’s distribution feature to ensure that the PMLs contain 5 mesh elements of depth for efficient beam dissipation.</w:t>
      </w:r>
    </w:p>
    <w:p w14:paraId="14D74F53" w14:textId="77777777" w:rsidR="00C95990" w:rsidRDefault="00C95990" w:rsidP="0071630D">
      <w:pPr>
        <w:rPr>
          <w:szCs w:val="20"/>
        </w:rPr>
      </w:pPr>
    </w:p>
    <w:p w14:paraId="0B0FF487" w14:textId="41722C0D" w:rsidR="00BB7202" w:rsidRDefault="00BB7202" w:rsidP="0071630D">
      <w:pPr>
        <w:rPr>
          <w:szCs w:val="20"/>
        </w:rPr>
      </w:pPr>
      <w:r>
        <w:rPr>
          <w:rFonts w:ascii="Arial" w:hAnsi="Arial" w:cs="Arial"/>
          <w:noProof/>
          <w:color w:val="000000"/>
          <w:sz w:val="22"/>
          <w:szCs w:val="22"/>
        </w:rPr>
        <w:drawing>
          <wp:inline distT="0" distB="0" distL="0" distR="0" wp14:anchorId="37A3EC16" wp14:editId="1AA1D132">
            <wp:extent cx="2655570" cy="2039620"/>
            <wp:effectExtent l="0" t="0" r="0" b="0"/>
            <wp:docPr id="12314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5570" cy="2039620"/>
                    </a:xfrm>
                    <a:prstGeom prst="rect">
                      <a:avLst/>
                    </a:prstGeom>
                    <a:noFill/>
                    <a:ln>
                      <a:noFill/>
                    </a:ln>
                  </pic:spPr>
                </pic:pic>
              </a:graphicData>
            </a:graphic>
          </wp:inline>
        </w:drawing>
      </w:r>
    </w:p>
    <w:p w14:paraId="2DE3990C" w14:textId="5A7A5FA9" w:rsidR="00BB7202" w:rsidRDefault="00BB7202" w:rsidP="00BB7202">
      <w:pPr>
        <w:pStyle w:val="Caption"/>
      </w:pPr>
      <w:r>
        <w:t xml:space="preserve">Figure </w:t>
      </w:r>
      <w:r>
        <w:t>2</w:t>
      </w:r>
      <w:r>
        <w:t xml:space="preserve">. The </w:t>
      </w:r>
      <w:r>
        <w:t>annotated COMSOL</w:t>
      </w:r>
      <w:r>
        <w:t xml:space="preserve"> setup of a CZ gate on two qubits and universal gateset on a third.</w:t>
      </w:r>
    </w:p>
    <w:p w14:paraId="618E4E10" w14:textId="4C302035" w:rsidR="00BB7202" w:rsidRPr="00BB7202" w:rsidRDefault="00BB7202" w:rsidP="00BB7202">
      <w:pPr>
        <w:rPr>
          <w:b/>
          <w:bCs/>
        </w:rPr>
      </w:pPr>
      <w:r w:rsidRPr="00BB7202">
        <w:rPr>
          <w:b/>
          <w:bCs/>
        </w:rPr>
        <w:t>Parameter Sweep</w:t>
      </w:r>
    </w:p>
    <w:p w14:paraId="41010B34" w14:textId="5B8AD0AF" w:rsidR="00BB7202" w:rsidRDefault="00BB7202" w:rsidP="00BB7202">
      <w:r w:rsidRPr="00BB7202">
        <w:t>The following table details the variables being swept and their sweep range</w:t>
      </w:r>
      <w:r>
        <w:t>. The first entry in a range is the minimum value, the second is increment, third is maximum value.</w:t>
      </w:r>
    </w:p>
    <w:p w14:paraId="54963E2C" w14:textId="77777777" w:rsidR="00BB7202" w:rsidRPr="00BB7202" w:rsidRDefault="00BB7202" w:rsidP="00BB7202"/>
    <w:tbl>
      <w:tblPr>
        <w:tblStyle w:val="TableGrid"/>
        <w:tblW w:w="0" w:type="auto"/>
        <w:tblLook w:val="04A0" w:firstRow="1" w:lastRow="0" w:firstColumn="1" w:lastColumn="0" w:noHBand="0" w:noVBand="1"/>
      </w:tblPr>
      <w:tblGrid>
        <w:gridCol w:w="1742"/>
        <w:gridCol w:w="1066"/>
        <w:gridCol w:w="1364"/>
      </w:tblGrid>
      <w:tr w:rsidR="00BB7202" w14:paraId="4DD02F0E" w14:textId="77777777" w:rsidTr="00BB7202">
        <w:tc>
          <w:tcPr>
            <w:tcW w:w="1795" w:type="dxa"/>
          </w:tcPr>
          <w:p w14:paraId="7DF352BD" w14:textId="005FC1FE" w:rsidR="00BB7202" w:rsidRDefault="00BB7202" w:rsidP="00BB7202">
            <w:r>
              <w:t>Variable Name</w:t>
            </w:r>
          </w:p>
        </w:tc>
        <w:tc>
          <w:tcPr>
            <w:tcW w:w="986" w:type="dxa"/>
          </w:tcPr>
          <w:p w14:paraId="7ABA1A50" w14:textId="068FDB6E" w:rsidR="00BB7202" w:rsidRDefault="00BB7202" w:rsidP="00BB7202">
            <w:r>
              <w:t>Range</w:t>
            </w:r>
          </w:p>
        </w:tc>
        <w:tc>
          <w:tcPr>
            <w:tcW w:w="1391" w:type="dxa"/>
          </w:tcPr>
          <w:p w14:paraId="5090606E" w14:textId="417FE818" w:rsidR="00BB7202" w:rsidRDefault="00BB7202" w:rsidP="00BB7202">
            <w:r>
              <w:t>Units</w:t>
            </w:r>
          </w:p>
        </w:tc>
      </w:tr>
      <w:tr w:rsidR="00BB7202" w14:paraId="4C86DE6B" w14:textId="77777777" w:rsidTr="00BB7202">
        <w:tc>
          <w:tcPr>
            <w:tcW w:w="1795" w:type="dxa"/>
          </w:tcPr>
          <w:p w14:paraId="490B148A" w14:textId="7CF2932F" w:rsidR="00BB7202" w:rsidRDefault="00BB7202" w:rsidP="00BB7202">
            <w:r>
              <w:t>Wavelength</w:t>
            </w:r>
          </w:p>
        </w:tc>
        <w:tc>
          <w:tcPr>
            <w:tcW w:w="986" w:type="dxa"/>
          </w:tcPr>
          <w:p w14:paraId="491FE081" w14:textId="6DCC8A7C" w:rsidR="00BB7202" w:rsidRDefault="00FE08B4" w:rsidP="00BB7202">
            <w:r>
              <w:t>790,5,805</w:t>
            </w:r>
          </w:p>
        </w:tc>
        <w:tc>
          <w:tcPr>
            <w:tcW w:w="1391" w:type="dxa"/>
          </w:tcPr>
          <w:p w14:paraId="66F47DB1" w14:textId="3BB264AE" w:rsidR="00BB7202" w:rsidRDefault="00BB7202" w:rsidP="00BB7202">
            <w:r>
              <w:t>Nanometer</w:t>
            </w:r>
          </w:p>
        </w:tc>
      </w:tr>
      <w:tr w:rsidR="00BB7202" w14:paraId="463DCDC1" w14:textId="77777777" w:rsidTr="00BB7202">
        <w:tc>
          <w:tcPr>
            <w:tcW w:w="1795" w:type="dxa"/>
          </w:tcPr>
          <w:p w14:paraId="6D0F9705" w14:textId="4169371F" w:rsidR="00BB7202" w:rsidRDefault="00BB7202" w:rsidP="00BB7202">
            <w:r>
              <w:t>Temperature</w:t>
            </w:r>
          </w:p>
        </w:tc>
        <w:tc>
          <w:tcPr>
            <w:tcW w:w="986" w:type="dxa"/>
          </w:tcPr>
          <w:p w14:paraId="0A218717" w14:textId="7976858E" w:rsidR="00BB7202" w:rsidRDefault="00FE08B4" w:rsidP="00BB7202">
            <w:r>
              <w:t>285,5,300</w:t>
            </w:r>
          </w:p>
        </w:tc>
        <w:tc>
          <w:tcPr>
            <w:tcW w:w="1391" w:type="dxa"/>
          </w:tcPr>
          <w:p w14:paraId="434842F7" w14:textId="4DF1DB21" w:rsidR="00BB7202" w:rsidRDefault="00BB7202" w:rsidP="00BB7202">
            <w:r>
              <w:t>Kelvin</w:t>
            </w:r>
          </w:p>
        </w:tc>
      </w:tr>
      <w:tr w:rsidR="00BB7202" w14:paraId="617ED58E" w14:textId="77777777" w:rsidTr="00BB7202">
        <w:tc>
          <w:tcPr>
            <w:tcW w:w="1795" w:type="dxa"/>
          </w:tcPr>
          <w:p w14:paraId="4C0B3EA7" w14:textId="2F1343F8" w:rsidR="00BB7202" w:rsidRDefault="00BB7202" w:rsidP="00BB7202">
            <w:r>
              <w:t xml:space="preserve">Beam </w:t>
            </w:r>
            <w:r w:rsidR="00C95990">
              <w:t>Waist</w:t>
            </w:r>
          </w:p>
        </w:tc>
        <w:tc>
          <w:tcPr>
            <w:tcW w:w="986" w:type="dxa"/>
          </w:tcPr>
          <w:p w14:paraId="666F68D4" w14:textId="5380F4E5" w:rsidR="00BB7202" w:rsidRDefault="00301232" w:rsidP="00BB7202">
            <w:r>
              <w:t>0.9,1.8,2.7</w:t>
            </w:r>
          </w:p>
        </w:tc>
        <w:tc>
          <w:tcPr>
            <w:tcW w:w="1391" w:type="dxa"/>
          </w:tcPr>
          <w:p w14:paraId="5B1576E3" w14:textId="0A452B7B" w:rsidR="00BB7202" w:rsidRDefault="00BB7202" w:rsidP="00BB7202">
            <w:r>
              <w:t>Meter</w:t>
            </w:r>
          </w:p>
        </w:tc>
      </w:tr>
      <w:tr w:rsidR="00BB7202" w14:paraId="710AEFBA" w14:textId="77777777" w:rsidTr="00BB7202">
        <w:tc>
          <w:tcPr>
            <w:tcW w:w="1795" w:type="dxa"/>
          </w:tcPr>
          <w:p w14:paraId="59D3826C" w14:textId="4FE01991" w:rsidR="00BB7202" w:rsidRDefault="00BB7202" w:rsidP="00BB7202">
            <w:r>
              <w:t>Air Domain Length</w:t>
            </w:r>
          </w:p>
        </w:tc>
        <w:tc>
          <w:tcPr>
            <w:tcW w:w="986" w:type="dxa"/>
          </w:tcPr>
          <w:p w14:paraId="223F6146" w14:textId="633ACE96" w:rsidR="00BB7202" w:rsidRDefault="00FE08B4" w:rsidP="00BB7202">
            <w:r>
              <w:t>25,25,75</w:t>
            </w:r>
          </w:p>
        </w:tc>
        <w:tc>
          <w:tcPr>
            <w:tcW w:w="1391" w:type="dxa"/>
          </w:tcPr>
          <w:p w14:paraId="74836D74" w14:textId="68250903" w:rsidR="00BB7202" w:rsidRDefault="00C95990" w:rsidP="00BB7202">
            <w:r>
              <w:t>Millimeter</w:t>
            </w:r>
          </w:p>
        </w:tc>
      </w:tr>
    </w:tbl>
    <w:p w14:paraId="3F450AE8" w14:textId="77777777" w:rsidR="00BB7202" w:rsidRPr="00AC7EC9" w:rsidRDefault="00BB7202" w:rsidP="0071630D">
      <w:pPr>
        <w:rPr>
          <w:szCs w:val="20"/>
        </w:rPr>
      </w:pPr>
    </w:p>
    <w:p w14:paraId="3CFD1EB7" w14:textId="020A3EFA" w:rsidR="00585A80" w:rsidRPr="007F5B1A" w:rsidRDefault="00585A80" w:rsidP="00585A80">
      <w:pPr>
        <w:pStyle w:val="Heading1"/>
        <w:rPr>
          <w:b w:val="0"/>
        </w:rPr>
      </w:pPr>
      <w:r w:rsidRPr="007F5B1A">
        <w:t xml:space="preserve">Simulation Results / Discussion </w:t>
      </w:r>
    </w:p>
    <w:p w14:paraId="16DE9904" w14:textId="56C048D0" w:rsidR="00507FC7" w:rsidRDefault="00F50B79" w:rsidP="00507FC7">
      <w:pPr>
        <w:keepNext/>
        <w:rPr>
          <w:szCs w:val="20"/>
        </w:rPr>
      </w:pPr>
      <w:r w:rsidRPr="00F50B79">
        <w:rPr>
          <w:szCs w:val="20"/>
        </w:rPr>
        <w:t xml:space="preserve">Integration operations (IntOps) are used to measure the power of light reaching a domain boundary. IntOps are calculated for the two power sources, two beamsplitter attenuation boundaries, and two control gate measurement boundaries. With these six quantities, we are able to calculate the attenuation coefficient for each beamsplitter, the proportion of light that makes it to the single photon detectors, and the proportion of light that is accounted for, meaning the sum of all detection sources and dumps divided by the total launched power. These are the metrics by which performance of the system is quantified. These values are </w:t>
      </w:r>
      <w:r w:rsidRPr="00F50B79">
        <w:rPr>
          <w:szCs w:val="20"/>
        </w:rPr>
        <w:t>calculated for each of the parameter sweep configurations, and plotted in the following figures.</w:t>
      </w:r>
    </w:p>
    <w:p w14:paraId="4FE72A2F" w14:textId="32638079" w:rsidR="00301232" w:rsidRDefault="007D7035" w:rsidP="00507FC7">
      <w:pPr>
        <w:keepNext/>
        <w:rPr>
          <w:noProof/>
        </w:rPr>
      </w:pPr>
      <w:r w:rsidRPr="007D7035">
        <w:rPr>
          <w:noProof/>
        </w:rPr>
        <w:drawing>
          <wp:inline distT="0" distB="0" distL="0" distR="0" wp14:anchorId="2E446B50" wp14:editId="3672E173">
            <wp:extent cx="2655570" cy="1946275"/>
            <wp:effectExtent l="0" t="0" r="0" b="0"/>
            <wp:docPr id="149863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2297" name=""/>
                    <pic:cNvPicPr/>
                  </pic:nvPicPr>
                  <pic:blipFill>
                    <a:blip r:embed="rId16"/>
                    <a:stretch>
                      <a:fillRect/>
                    </a:stretch>
                  </pic:blipFill>
                  <pic:spPr>
                    <a:xfrm>
                      <a:off x="0" y="0"/>
                      <a:ext cx="2655570" cy="1946275"/>
                    </a:xfrm>
                    <a:prstGeom prst="rect">
                      <a:avLst/>
                    </a:prstGeom>
                  </pic:spPr>
                </pic:pic>
              </a:graphicData>
            </a:graphic>
          </wp:inline>
        </w:drawing>
      </w:r>
      <w:r w:rsidR="00301232" w:rsidRPr="00301232">
        <w:rPr>
          <w:noProof/>
        </w:rPr>
        <w:t xml:space="preserve">  </w:t>
      </w:r>
    </w:p>
    <w:p w14:paraId="07A313EF" w14:textId="7C458B27" w:rsidR="00CE0B6A" w:rsidRDefault="00CE0B6A" w:rsidP="00CE0B6A">
      <w:pPr>
        <w:pStyle w:val="Caption"/>
      </w:pPr>
      <w:r>
        <w:t xml:space="preserve">Figure </w:t>
      </w:r>
      <w:r>
        <w:t>3</w:t>
      </w:r>
      <w:r>
        <w:t xml:space="preserve">. </w:t>
      </w:r>
      <w:r w:rsidR="00363309">
        <w:t>Heatmap depicting proportion of reflected light from top left beamsplitter. Target value = 1/3</w:t>
      </w:r>
      <w:r>
        <w:t>.</w:t>
      </w:r>
    </w:p>
    <w:p w14:paraId="5BBC265A" w14:textId="4FBD2E79" w:rsidR="007D7035" w:rsidRPr="007D7035" w:rsidRDefault="007D7035" w:rsidP="007D7035">
      <w:r w:rsidRPr="007D7035">
        <w:drawing>
          <wp:inline distT="0" distB="0" distL="0" distR="0" wp14:anchorId="27ACAE5A" wp14:editId="0D16592C">
            <wp:extent cx="2655570" cy="1946275"/>
            <wp:effectExtent l="0" t="0" r="0" b="0"/>
            <wp:docPr id="161990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8068" name=""/>
                    <pic:cNvPicPr/>
                  </pic:nvPicPr>
                  <pic:blipFill>
                    <a:blip r:embed="rId17"/>
                    <a:stretch>
                      <a:fillRect/>
                    </a:stretch>
                  </pic:blipFill>
                  <pic:spPr>
                    <a:xfrm>
                      <a:off x="0" y="0"/>
                      <a:ext cx="2655570" cy="1946275"/>
                    </a:xfrm>
                    <a:prstGeom prst="rect">
                      <a:avLst/>
                    </a:prstGeom>
                  </pic:spPr>
                </pic:pic>
              </a:graphicData>
            </a:graphic>
          </wp:inline>
        </w:drawing>
      </w:r>
    </w:p>
    <w:p w14:paraId="31619907" w14:textId="6C2786AC" w:rsidR="00363309" w:rsidRDefault="00363309" w:rsidP="00363309">
      <w:pPr>
        <w:pStyle w:val="Caption"/>
      </w:pPr>
      <w:r>
        <w:t xml:space="preserve">Figure </w:t>
      </w:r>
      <w:r>
        <w:t>4</w:t>
      </w:r>
      <w:r>
        <w:t xml:space="preserve">. Heatmap depicting proportion of reflected light from </w:t>
      </w:r>
      <w:r>
        <w:t>bottom</w:t>
      </w:r>
      <w:r>
        <w:t xml:space="preserve"> </w:t>
      </w:r>
      <w:r>
        <w:t>right</w:t>
      </w:r>
      <w:r>
        <w:t xml:space="preserve"> beamsplitter. Target value = 1/3.</w:t>
      </w:r>
    </w:p>
    <w:p w14:paraId="7B27A4AD" w14:textId="642AEF3C" w:rsidR="007D7035" w:rsidRPr="007D7035" w:rsidRDefault="007D7035" w:rsidP="007D7035">
      <w:r w:rsidRPr="007D7035">
        <w:drawing>
          <wp:inline distT="0" distB="0" distL="0" distR="0" wp14:anchorId="5E28A9F6" wp14:editId="388347C0">
            <wp:extent cx="2655570" cy="1946275"/>
            <wp:effectExtent l="0" t="0" r="0" b="0"/>
            <wp:docPr id="114350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07510" name=""/>
                    <pic:cNvPicPr/>
                  </pic:nvPicPr>
                  <pic:blipFill>
                    <a:blip r:embed="rId18"/>
                    <a:stretch>
                      <a:fillRect/>
                    </a:stretch>
                  </pic:blipFill>
                  <pic:spPr>
                    <a:xfrm>
                      <a:off x="0" y="0"/>
                      <a:ext cx="2655570" cy="1946275"/>
                    </a:xfrm>
                    <a:prstGeom prst="rect">
                      <a:avLst/>
                    </a:prstGeom>
                  </pic:spPr>
                </pic:pic>
              </a:graphicData>
            </a:graphic>
          </wp:inline>
        </w:drawing>
      </w:r>
    </w:p>
    <w:p w14:paraId="48FC9F46" w14:textId="6CDF3707" w:rsidR="00363309" w:rsidRDefault="00363309" w:rsidP="00363309">
      <w:pPr>
        <w:pStyle w:val="Caption"/>
      </w:pPr>
      <w:r>
        <w:t xml:space="preserve">Figure </w:t>
      </w:r>
      <w:r>
        <w:t>5</w:t>
      </w:r>
      <w:r>
        <w:t xml:space="preserve">. Heatmap depicting proportion </w:t>
      </w:r>
      <w:r>
        <w:t>Power measured at output relative to Power input. Target value = 1</w:t>
      </w:r>
      <w:r>
        <w:t>.</w:t>
      </w:r>
    </w:p>
    <w:p w14:paraId="5CA066C4" w14:textId="7E5C4B10" w:rsidR="00585A80" w:rsidRPr="007F5B1A" w:rsidRDefault="00585A80" w:rsidP="00585A80">
      <w:pPr>
        <w:pStyle w:val="Heading1"/>
        <w:rPr>
          <w:b w:val="0"/>
        </w:rPr>
      </w:pPr>
      <w:r w:rsidRPr="007F5B1A">
        <w:t>Conclusions</w:t>
      </w:r>
      <w:r w:rsidR="00C05F93">
        <w:t xml:space="preserve"> and Future Work</w:t>
      </w:r>
    </w:p>
    <w:p w14:paraId="4EE4327C" w14:textId="25B0D0E3" w:rsidR="00C05F93" w:rsidRPr="00C05F93" w:rsidRDefault="00C05F93" w:rsidP="00C05F93">
      <w:pPr>
        <w:rPr>
          <w:szCs w:val="20"/>
        </w:rPr>
      </w:pPr>
      <w:r w:rsidRPr="00C05F93">
        <w:rPr>
          <w:szCs w:val="20"/>
        </w:rPr>
        <w:t xml:space="preserve">Our results help visualize the gradient of performance changes of the LOQC as each parameter is changed by a small amount. This sheds light on the incredible sensitivity of even small scale LOQC’s to the configuration of experimental parameters, quantifying the effect an error may </w:t>
      </w:r>
      <w:r w:rsidRPr="00C05F93">
        <w:rPr>
          <w:szCs w:val="20"/>
        </w:rPr>
        <w:lastRenderedPageBreak/>
        <w:t xml:space="preserve">have on performance. </w:t>
      </w:r>
      <w:r w:rsidR="00C95990">
        <w:rPr>
          <w:szCs w:val="20"/>
        </w:rPr>
        <w:t>The results</w:t>
      </w:r>
      <w:r w:rsidRPr="00C05F93">
        <w:rPr>
          <w:szCs w:val="20"/>
        </w:rPr>
        <w:t xml:space="preserve"> could be of use when given certain measurements characterizing a LOQC’s performance using the metrics we defined to determine which set of parameters could potentially be used by your system rather than its presumed ideal parameters.</w:t>
      </w:r>
    </w:p>
    <w:p w14:paraId="23719717" w14:textId="77777777" w:rsidR="00C05F93" w:rsidRPr="00C05F93" w:rsidRDefault="00C05F93" w:rsidP="00C05F93">
      <w:pPr>
        <w:rPr>
          <w:szCs w:val="20"/>
        </w:rPr>
      </w:pPr>
    </w:p>
    <w:p w14:paraId="57BE113D" w14:textId="4C342F65" w:rsidR="00C05F93" w:rsidRPr="00C05F93" w:rsidRDefault="00C05F93" w:rsidP="00C05F93">
      <w:pPr>
        <w:rPr>
          <w:szCs w:val="20"/>
        </w:rPr>
      </w:pPr>
      <w:r w:rsidRPr="00C05F93">
        <w:rPr>
          <w:szCs w:val="20"/>
        </w:rPr>
        <w:t xml:space="preserve">Future work could include an analysis of larger scale quantum operations within a more compact Silicon Photonics chip, on the order of tens of gate operations per qubit. This would provide insight to more practically applicable circuits that may be found more commonly in industry as optical quantum computing moves towards foundry manufacturing for the bulk production of chiplets. The sourcing of more accurate general thermo-optic Sellmeier equations would also be of interest, although most </w:t>
      </w:r>
      <w:r w:rsidR="00C25633" w:rsidRPr="00C05F93">
        <w:rPr>
          <w:szCs w:val="20"/>
        </w:rPr>
        <w:t>Sellmeier</w:t>
      </w:r>
      <w:r w:rsidRPr="00C05F93">
        <w:rPr>
          <w:szCs w:val="20"/>
        </w:rPr>
        <w:t xml:space="preserve"> equations for thin film cases need to be individually characterized on account of non-</w:t>
      </w:r>
      <w:r w:rsidR="00C25633" w:rsidRPr="00C05F93">
        <w:rPr>
          <w:szCs w:val="20"/>
        </w:rPr>
        <w:t>negligible</w:t>
      </w:r>
      <w:r w:rsidRPr="00C05F93">
        <w:rPr>
          <w:szCs w:val="20"/>
        </w:rPr>
        <w:t xml:space="preserve"> case-by-case imperfections within thin films. More effective modeling of photon propagation and specifically the Hong-Ou-Mandel effect could be implemented with </w:t>
      </w:r>
      <w:r>
        <w:rPr>
          <w:szCs w:val="20"/>
        </w:rPr>
        <w:t xml:space="preserve">the </w:t>
      </w:r>
      <w:r w:rsidRPr="00C05F93">
        <w:rPr>
          <w:szCs w:val="20"/>
        </w:rPr>
        <w:t xml:space="preserve">ODE </w:t>
      </w:r>
      <w:r>
        <w:rPr>
          <w:szCs w:val="20"/>
        </w:rPr>
        <w:t>solver</w:t>
      </w:r>
      <w:r w:rsidRPr="00C05F93">
        <w:rPr>
          <w:szCs w:val="20"/>
        </w:rPr>
        <w:t xml:space="preserve"> rather than approximating a statistically large amount of photons using Gaussian beams.</w:t>
      </w:r>
    </w:p>
    <w:p w14:paraId="10936338" w14:textId="31A840BB" w:rsidR="00585A80" w:rsidRPr="00170C0F" w:rsidRDefault="00585A80" w:rsidP="00585A80">
      <w:pPr>
        <w:rPr>
          <w:szCs w:val="20"/>
        </w:rPr>
      </w:pPr>
    </w:p>
    <w:sdt>
      <w:sdtPr>
        <w:rPr>
          <w:rFonts w:eastAsiaTheme="minorHAnsi" w:cstheme="minorBidi"/>
          <w:b w:val="0"/>
          <w:sz w:val="20"/>
          <w:szCs w:val="22"/>
        </w:rPr>
        <w:id w:val="-672875856"/>
        <w:docPartObj>
          <w:docPartGallery w:val="Bibliographies"/>
          <w:docPartUnique/>
        </w:docPartObj>
      </w:sdtPr>
      <w:sdtEndPr>
        <w:rPr>
          <w:rFonts w:eastAsia="Times New Roman" w:cs="Times New Roman"/>
          <w:szCs w:val="24"/>
        </w:rPr>
      </w:sdtEndPr>
      <w:sdtContent>
        <w:p w14:paraId="0152120C" w14:textId="77777777" w:rsidR="00B44FD4" w:rsidRPr="007F5B1A" w:rsidRDefault="00B44FD4">
          <w:pPr>
            <w:pStyle w:val="Heading1"/>
            <w:rPr>
              <w:b w:val="0"/>
            </w:rPr>
          </w:pPr>
          <w:r w:rsidRPr="007F5B1A">
            <w:t>References</w:t>
          </w:r>
        </w:p>
        <w:sdt>
          <w:sdtPr>
            <w:id w:val="-573587230"/>
            <w:bibliography/>
          </w:sdtPr>
          <w:sdtContent>
            <w:p w14:paraId="4C9762C5" w14:textId="77777777" w:rsidR="001F6838" w:rsidRDefault="00B44FD4" w:rsidP="00AC7D79">
              <w:pPr>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3773"/>
              </w:tblGrid>
              <w:tr w:rsidR="001F6838" w14:paraId="6139CF8F" w14:textId="77777777" w:rsidTr="001F6838">
                <w:trPr>
                  <w:divId w:val="691810070"/>
                  <w:tblCellSpacing w:w="15" w:type="dxa"/>
                </w:trPr>
                <w:tc>
                  <w:tcPr>
                    <w:tcW w:w="435" w:type="pct"/>
                    <w:hideMark/>
                  </w:tcPr>
                  <w:p w14:paraId="620D0578" w14:textId="0AAA915D" w:rsidR="001F6838" w:rsidRDefault="001F6838" w:rsidP="001F6838">
                    <w:pPr>
                      <w:pStyle w:val="Bibliography"/>
                      <w:rPr>
                        <w:sz w:val="24"/>
                      </w:rPr>
                    </w:pPr>
                    <w:r>
                      <w:t xml:space="preserve">[1] </w:t>
                    </w:r>
                  </w:p>
                </w:tc>
                <w:tc>
                  <w:tcPr>
                    <w:tcW w:w="0" w:type="auto"/>
                    <w:hideMark/>
                  </w:tcPr>
                  <w:p w14:paraId="2897C3A8" w14:textId="7A3BD003" w:rsidR="001F6838" w:rsidRDefault="00B958A8" w:rsidP="001F6838">
                    <w:pPr>
                      <w:pStyle w:val="Bibliography"/>
                    </w:pPr>
                    <w:r w:rsidRPr="00B958A8">
                      <w:t xml:space="preserve">P. W. Shor, “Polynomial-Time Algorithms for Prime Factorization and Discrete Logarithms on a Quantum Computer”, </w:t>
                    </w:r>
                    <w:r w:rsidRPr="00B958A8">
                      <w:rPr>
                        <w:i/>
                        <w:iCs/>
                      </w:rPr>
                      <w:t>arXiv preprint</w:t>
                    </w:r>
                    <w:r w:rsidRPr="00B958A8">
                      <w:t>, quant-ph/9508027, 1995.</w:t>
                    </w:r>
                  </w:p>
                </w:tc>
              </w:tr>
              <w:tr w:rsidR="00B958A8" w14:paraId="7902440A" w14:textId="77777777" w:rsidTr="001F6838">
                <w:trPr>
                  <w:divId w:val="691810070"/>
                  <w:tblCellSpacing w:w="15" w:type="dxa"/>
                </w:trPr>
                <w:tc>
                  <w:tcPr>
                    <w:tcW w:w="435" w:type="pct"/>
                  </w:tcPr>
                  <w:p w14:paraId="1829BACD" w14:textId="14C75534" w:rsidR="00B958A8" w:rsidRDefault="00B958A8" w:rsidP="001F6838">
                    <w:pPr>
                      <w:pStyle w:val="Bibliography"/>
                    </w:pPr>
                    <w:r>
                      <w:t>[2]</w:t>
                    </w:r>
                  </w:p>
                </w:tc>
                <w:tc>
                  <w:tcPr>
                    <w:tcW w:w="0" w:type="auto"/>
                  </w:tcPr>
                  <w:p w14:paraId="13EFFE7A" w14:textId="5F619D0E" w:rsidR="00B958A8" w:rsidRDefault="00B958A8" w:rsidP="001F6838">
                    <w:pPr>
                      <w:pStyle w:val="Bibliography"/>
                    </w:pPr>
                    <w:r w:rsidRPr="00B958A8">
                      <w:t>Y. Cao</w:t>
                    </w:r>
                    <w:r>
                      <w:t xml:space="preserve"> et al.</w:t>
                    </w:r>
                    <w:r w:rsidRPr="00B958A8">
                      <w:t xml:space="preserve">, “Potential of quantum computing for drug discovery”, </w:t>
                    </w:r>
                    <w:r w:rsidRPr="00B958A8">
                      <w:rPr>
                        <w:i/>
                        <w:iCs/>
                      </w:rPr>
                      <w:t>IBM Journal of Research and Development</w:t>
                    </w:r>
                    <w:r w:rsidRPr="00B958A8">
                      <w:t>, vol. 62, no. 6, pp. 6:1–6:20, 2018.</w:t>
                    </w:r>
                  </w:p>
                </w:tc>
              </w:tr>
              <w:tr w:rsidR="001F6838" w14:paraId="4E81F23B" w14:textId="77777777" w:rsidTr="001F6838">
                <w:trPr>
                  <w:divId w:val="691810070"/>
                  <w:tblCellSpacing w:w="15" w:type="dxa"/>
                </w:trPr>
                <w:tc>
                  <w:tcPr>
                    <w:tcW w:w="435" w:type="pct"/>
                    <w:hideMark/>
                  </w:tcPr>
                  <w:p w14:paraId="01DC7E64" w14:textId="3F6DC7C0" w:rsidR="001F6838" w:rsidRDefault="001F6838" w:rsidP="001F6838">
                    <w:pPr>
                      <w:pStyle w:val="Bibliography"/>
                    </w:pPr>
                    <w:r>
                      <w:t>[</w:t>
                    </w:r>
                    <w:r w:rsidR="00B958A8">
                      <w:t>3</w:t>
                    </w:r>
                    <w:r>
                      <w:t xml:space="preserve">] </w:t>
                    </w:r>
                  </w:p>
                </w:tc>
                <w:tc>
                  <w:tcPr>
                    <w:tcW w:w="0" w:type="auto"/>
                    <w:hideMark/>
                  </w:tcPr>
                  <w:p w14:paraId="02E962DA" w14:textId="2E67EE55" w:rsidR="001F6838" w:rsidRDefault="00B958A8" w:rsidP="001F6838">
                    <w:pPr>
                      <w:pStyle w:val="Bibliography"/>
                    </w:pPr>
                    <w:r w:rsidRPr="00B958A8">
                      <w:t xml:space="preserve">K. Mitarai </w:t>
                    </w:r>
                    <w:r>
                      <w:t>et al.</w:t>
                    </w:r>
                    <w:r w:rsidRPr="00B958A8">
                      <w:t xml:space="preserve">, “Quantum circuit learning”, </w:t>
                    </w:r>
                    <w:r w:rsidRPr="00B958A8">
                      <w:rPr>
                        <w:i/>
                        <w:iCs/>
                      </w:rPr>
                      <w:t>Physical Review A</w:t>
                    </w:r>
                    <w:r w:rsidRPr="00B958A8">
                      <w:t>, vol. 98, article 032309, 2018.</w:t>
                    </w:r>
                    <w:r w:rsidR="001F6838">
                      <w:t xml:space="preserve"> </w:t>
                    </w:r>
                  </w:p>
                </w:tc>
              </w:tr>
              <w:tr w:rsidR="00B958A8" w14:paraId="62712B2C" w14:textId="77777777" w:rsidTr="001F6838">
                <w:trPr>
                  <w:divId w:val="691810070"/>
                  <w:tblCellSpacing w:w="15" w:type="dxa"/>
                </w:trPr>
                <w:tc>
                  <w:tcPr>
                    <w:tcW w:w="435" w:type="pct"/>
                  </w:tcPr>
                  <w:p w14:paraId="689E2A0D" w14:textId="70A9803A" w:rsidR="00B958A8" w:rsidRDefault="00B958A8" w:rsidP="001F6838">
                    <w:pPr>
                      <w:pStyle w:val="Bibliography"/>
                    </w:pPr>
                    <w:r>
                      <w:t>[4]</w:t>
                    </w:r>
                  </w:p>
                </w:tc>
                <w:tc>
                  <w:tcPr>
                    <w:tcW w:w="0" w:type="auto"/>
                  </w:tcPr>
                  <w:p w14:paraId="16C0184E" w14:textId="5D6DC57E" w:rsidR="00B958A8" w:rsidRPr="00B958A8" w:rsidRDefault="00B958A8" w:rsidP="001F6838">
                    <w:pPr>
                      <w:pStyle w:val="Bibliography"/>
                    </w:pPr>
                    <w:r w:rsidRPr="00B958A8">
                      <w:t xml:space="preserve">D. P. DiVincenzo, “The Physical Implementation of Quantum Computation”, </w:t>
                    </w:r>
                    <w:r w:rsidRPr="00B958A8">
                      <w:rPr>
                        <w:i/>
                        <w:iCs/>
                      </w:rPr>
                      <w:t>Fortschritte der Physik</w:t>
                    </w:r>
                    <w:r w:rsidRPr="00B958A8">
                      <w:t>, vol. 48, pp. 771–783, 2000.</w:t>
                    </w:r>
                  </w:p>
                </w:tc>
              </w:tr>
              <w:tr w:rsidR="00B958A8" w14:paraId="0B2159FC" w14:textId="77777777" w:rsidTr="001F6838">
                <w:trPr>
                  <w:divId w:val="691810070"/>
                  <w:tblCellSpacing w:w="15" w:type="dxa"/>
                </w:trPr>
                <w:tc>
                  <w:tcPr>
                    <w:tcW w:w="435" w:type="pct"/>
                  </w:tcPr>
                  <w:p w14:paraId="7C83FF4C" w14:textId="62A1040C" w:rsidR="00B958A8" w:rsidRDefault="00B958A8" w:rsidP="001F6838">
                    <w:pPr>
                      <w:pStyle w:val="Bibliography"/>
                    </w:pPr>
                    <w:r>
                      <w:t>[5]</w:t>
                    </w:r>
                  </w:p>
                </w:tc>
                <w:tc>
                  <w:tcPr>
                    <w:tcW w:w="0" w:type="auto"/>
                  </w:tcPr>
                  <w:p w14:paraId="6EE610D9" w14:textId="4DBCE5F7" w:rsidR="00B958A8" w:rsidRPr="00B958A8" w:rsidRDefault="00B958A8" w:rsidP="001F6838">
                    <w:pPr>
                      <w:pStyle w:val="Bibliography"/>
                    </w:pPr>
                    <w:r w:rsidRPr="00B958A8">
                      <w:t>E. Knill</w:t>
                    </w:r>
                    <w:r>
                      <w:t xml:space="preserve"> et al.</w:t>
                    </w:r>
                    <w:r w:rsidRPr="00B958A8">
                      <w:t xml:space="preserve">, “A scheme for efficient quantum computation with linear optics”, </w:t>
                    </w:r>
                    <w:r w:rsidRPr="00B958A8">
                      <w:rPr>
                        <w:i/>
                        <w:iCs/>
                      </w:rPr>
                      <w:t>Nature</w:t>
                    </w:r>
                    <w:r w:rsidRPr="00B958A8">
                      <w:t>, vol. 409, pp. 46–52, 2001.</w:t>
                    </w:r>
                  </w:p>
                </w:tc>
              </w:tr>
              <w:tr w:rsidR="0036412F" w14:paraId="4F9704EC" w14:textId="77777777" w:rsidTr="001F6838">
                <w:trPr>
                  <w:divId w:val="691810070"/>
                  <w:tblCellSpacing w:w="15" w:type="dxa"/>
                </w:trPr>
                <w:tc>
                  <w:tcPr>
                    <w:tcW w:w="435" w:type="pct"/>
                  </w:tcPr>
                  <w:p w14:paraId="05B086FF" w14:textId="3ABCBC3D" w:rsidR="0036412F" w:rsidRDefault="0036412F" w:rsidP="0036412F">
                    <w:pPr>
                      <w:pStyle w:val="Bibliography"/>
                    </w:pPr>
                    <w:r>
                      <w:t>[6]</w:t>
                    </w:r>
                  </w:p>
                </w:tc>
                <w:tc>
                  <w:tcPr>
                    <w:tcW w:w="0" w:type="auto"/>
                  </w:tcPr>
                  <w:p w14:paraId="6037968A" w14:textId="4DB6F6A9" w:rsidR="0036412F" w:rsidRDefault="0036412F" w:rsidP="0036412F">
                    <w:pPr>
                      <w:pStyle w:val="Bibliography"/>
                    </w:pPr>
                    <w:r w:rsidRPr="001F6838">
                      <w:t>N. K. Langford</w:t>
                    </w:r>
                    <w:r>
                      <w:t xml:space="preserve"> et al.</w:t>
                    </w:r>
                    <w:r w:rsidRPr="001F6838">
                      <w:t xml:space="preserve">, “Demonstration of a simple entangling optical gate and its use in Bell-state analysis”, </w:t>
                    </w:r>
                    <w:r w:rsidRPr="001F6838">
                      <w:rPr>
                        <w:i/>
                        <w:iCs/>
                      </w:rPr>
                      <w:t>Physical Review Letters</w:t>
                    </w:r>
                    <w:r w:rsidRPr="001F6838">
                      <w:t>, vol. 95, article 210504, 2005.</w:t>
                    </w:r>
                  </w:p>
                </w:tc>
              </w:tr>
              <w:tr w:rsidR="0036412F" w14:paraId="0449A790" w14:textId="77777777" w:rsidTr="001F6838">
                <w:trPr>
                  <w:divId w:val="691810070"/>
                  <w:tblCellSpacing w:w="15" w:type="dxa"/>
                </w:trPr>
                <w:tc>
                  <w:tcPr>
                    <w:tcW w:w="435" w:type="pct"/>
                  </w:tcPr>
                  <w:p w14:paraId="15068C97" w14:textId="6FED45D5" w:rsidR="0036412F" w:rsidRDefault="0036412F" w:rsidP="0036412F">
                    <w:pPr>
                      <w:pStyle w:val="Bibliography"/>
                    </w:pPr>
                    <w:r>
                      <w:t>[7]</w:t>
                    </w:r>
                  </w:p>
                </w:tc>
                <w:tc>
                  <w:tcPr>
                    <w:tcW w:w="0" w:type="auto"/>
                  </w:tcPr>
                  <w:p w14:paraId="374C46EC" w14:textId="2C0FC6E4" w:rsidR="0036412F" w:rsidRPr="001F6838" w:rsidRDefault="0036412F" w:rsidP="0036412F">
                    <w:pPr>
                      <w:pStyle w:val="Bibliography"/>
                    </w:pPr>
                    <w:r w:rsidRPr="001F6838">
                      <w:t xml:space="preserve">H. F. Hofmann and S. Takeuchi, “Quantum phase gate for photonic qubits using only </w:t>
                    </w:r>
                    <w:r w:rsidRPr="001F6838">
                      <w:t xml:space="preserve">beam splitters and post-selection”, </w:t>
                    </w:r>
                    <w:r w:rsidRPr="001F6838">
                      <w:rPr>
                        <w:i/>
                        <w:iCs/>
                      </w:rPr>
                      <w:t>Physical Review A</w:t>
                    </w:r>
                    <w:r w:rsidRPr="001F6838">
                      <w:t>, vol. 66, article 024308, 2002.</w:t>
                    </w:r>
                  </w:p>
                </w:tc>
              </w:tr>
              <w:tr w:rsidR="0036412F" w14:paraId="0E11D8E6" w14:textId="77777777" w:rsidTr="001F6838">
                <w:trPr>
                  <w:divId w:val="691810070"/>
                  <w:tblCellSpacing w:w="15" w:type="dxa"/>
                </w:trPr>
                <w:tc>
                  <w:tcPr>
                    <w:tcW w:w="435" w:type="pct"/>
                  </w:tcPr>
                  <w:p w14:paraId="6CBA3846" w14:textId="0BD75A9A" w:rsidR="0036412F" w:rsidRDefault="0036412F" w:rsidP="0036412F">
                    <w:pPr>
                      <w:pStyle w:val="Bibliography"/>
                    </w:pPr>
                    <w:r>
                      <w:t>[8]</w:t>
                    </w:r>
                  </w:p>
                </w:tc>
                <w:tc>
                  <w:tcPr>
                    <w:tcW w:w="0" w:type="auto"/>
                  </w:tcPr>
                  <w:p w14:paraId="3F0DC380" w14:textId="5994ABC2" w:rsidR="0036412F" w:rsidRPr="001F6838" w:rsidRDefault="0036412F" w:rsidP="0036412F">
                    <w:pPr>
                      <w:pStyle w:val="Bibliography"/>
                    </w:pPr>
                    <w:r w:rsidRPr="001F6838">
                      <w:t xml:space="preserve">COMSOL AB, “Polarizing Beam Splitter”, in </w:t>
                    </w:r>
                    <w:r w:rsidRPr="001F6838">
                      <w:rPr>
                        <w:i/>
                        <w:iCs/>
                      </w:rPr>
                      <w:t>COMSOL Multiphysics Application Library, Wave Optics Module</w:t>
                    </w:r>
                    <w:r w:rsidRPr="001F6838">
                      <w:t>, Application ID: 31041.</w:t>
                    </w:r>
                  </w:p>
                </w:tc>
              </w:tr>
              <w:tr w:rsidR="0036412F" w14:paraId="78A7EFBF" w14:textId="77777777" w:rsidTr="001F6838">
                <w:trPr>
                  <w:divId w:val="691810070"/>
                  <w:tblCellSpacing w:w="15" w:type="dxa"/>
                </w:trPr>
                <w:tc>
                  <w:tcPr>
                    <w:tcW w:w="435" w:type="pct"/>
                  </w:tcPr>
                  <w:p w14:paraId="43C1AD11" w14:textId="0F7B74F7" w:rsidR="0036412F" w:rsidRDefault="0036412F" w:rsidP="0036412F">
                    <w:pPr>
                      <w:pStyle w:val="Bibliography"/>
                    </w:pPr>
                    <w:r>
                      <w:t>[</w:t>
                    </w:r>
                    <w:r w:rsidR="005B7304">
                      <w:t>9</w:t>
                    </w:r>
                    <w:r>
                      <w:t>]</w:t>
                    </w:r>
                  </w:p>
                </w:tc>
                <w:tc>
                  <w:tcPr>
                    <w:tcW w:w="0" w:type="auto"/>
                  </w:tcPr>
                  <w:p w14:paraId="78192B88" w14:textId="1ED0C0B3" w:rsidR="0036412F" w:rsidRPr="001F6838" w:rsidRDefault="0036412F" w:rsidP="0036412F">
                    <w:pPr>
                      <w:pStyle w:val="Bibliography"/>
                    </w:pPr>
                    <w:r w:rsidRPr="001F6838">
                      <w:t xml:space="preserve">SCHOTT AG, “SF5”, in </w:t>
                    </w:r>
                    <w:r w:rsidRPr="001F6838">
                      <w:rPr>
                        <w:i/>
                        <w:iCs/>
                      </w:rPr>
                      <w:t>Optical Glass—Datasheet Collection</w:t>
                    </w:r>
                    <w:r w:rsidRPr="001F6838">
                      <w:t>.</w:t>
                    </w:r>
                  </w:p>
                </w:tc>
              </w:tr>
              <w:tr w:rsidR="0036412F" w14:paraId="40897FF8" w14:textId="77777777" w:rsidTr="001F6838">
                <w:trPr>
                  <w:divId w:val="691810070"/>
                  <w:tblCellSpacing w:w="15" w:type="dxa"/>
                </w:trPr>
                <w:tc>
                  <w:tcPr>
                    <w:tcW w:w="435" w:type="pct"/>
                  </w:tcPr>
                  <w:p w14:paraId="6FADDE36" w14:textId="367B8AF1" w:rsidR="0036412F" w:rsidRDefault="0036412F" w:rsidP="0036412F">
                    <w:pPr>
                      <w:pStyle w:val="Bibliography"/>
                    </w:pPr>
                    <w:r>
                      <w:t>[1</w:t>
                    </w:r>
                    <w:r w:rsidR="005B7304">
                      <w:t>0</w:t>
                    </w:r>
                    <w:r>
                      <w:t>]</w:t>
                    </w:r>
                  </w:p>
                </w:tc>
                <w:tc>
                  <w:tcPr>
                    <w:tcW w:w="0" w:type="auto"/>
                  </w:tcPr>
                  <w:p w14:paraId="7C32B653" w14:textId="6767A11F" w:rsidR="0036412F" w:rsidRPr="001F6838" w:rsidRDefault="0036412F" w:rsidP="0036412F">
                    <w:pPr>
                      <w:pStyle w:val="Bibliography"/>
                    </w:pPr>
                    <w:r w:rsidRPr="001F6838">
                      <w:t>D. Leviton and B. Frey, “Temperature-dependent refractive index of Cleartran® ZnS to cryogenic temperatures”.</w:t>
                    </w:r>
                  </w:p>
                </w:tc>
              </w:tr>
              <w:tr w:rsidR="0036412F" w14:paraId="578E0CD0" w14:textId="77777777" w:rsidTr="001F6838">
                <w:trPr>
                  <w:divId w:val="691810070"/>
                  <w:tblCellSpacing w:w="15" w:type="dxa"/>
                </w:trPr>
                <w:tc>
                  <w:tcPr>
                    <w:tcW w:w="435" w:type="pct"/>
                  </w:tcPr>
                  <w:p w14:paraId="775289FC" w14:textId="3384D696" w:rsidR="0036412F" w:rsidRDefault="0036412F" w:rsidP="0036412F">
                    <w:pPr>
                      <w:pStyle w:val="Bibliography"/>
                    </w:pPr>
                    <w:r>
                      <w:t>[1</w:t>
                    </w:r>
                    <w:r w:rsidR="005B7304">
                      <w:t>1</w:t>
                    </w:r>
                    <w:r>
                      <w:t>]</w:t>
                    </w:r>
                  </w:p>
                </w:tc>
                <w:tc>
                  <w:tcPr>
                    <w:tcW w:w="0" w:type="auto"/>
                  </w:tcPr>
                  <w:p w14:paraId="34846E73" w14:textId="64DD0456" w:rsidR="0036412F" w:rsidRPr="001F6838" w:rsidRDefault="0036412F" w:rsidP="0036412F">
                    <w:pPr>
                      <w:pStyle w:val="Bibliography"/>
                    </w:pPr>
                    <w:r w:rsidRPr="001F6838">
                      <w:t xml:space="preserve">W. J. Tropf, “Temperature-dependent refractive index models for BaF₂, CaF₂, MgF₂, SrF₂, LiF, NaF, KCl, ZnS, and ZnSe”, </w:t>
                    </w:r>
                    <w:r w:rsidRPr="001F6838">
                      <w:rPr>
                        <w:i/>
                        <w:iCs/>
                      </w:rPr>
                      <w:t>Optical Engineering</w:t>
                    </w:r>
                    <w:r w:rsidRPr="001F6838">
                      <w:t>, vol. 34, no. 5, pp. 1369–1373, 1995.</w:t>
                    </w:r>
                  </w:p>
                </w:tc>
              </w:tr>
              <w:tr w:rsidR="0036412F" w14:paraId="1FD7C3E3" w14:textId="77777777" w:rsidTr="001F6838">
                <w:trPr>
                  <w:divId w:val="691810070"/>
                  <w:tblCellSpacing w:w="15" w:type="dxa"/>
                </w:trPr>
                <w:tc>
                  <w:tcPr>
                    <w:tcW w:w="435" w:type="pct"/>
                  </w:tcPr>
                  <w:p w14:paraId="45A6070D" w14:textId="62D3EE04" w:rsidR="0036412F" w:rsidRDefault="0036412F" w:rsidP="0036412F">
                    <w:pPr>
                      <w:pStyle w:val="Bibliography"/>
                    </w:pPr>
                    <w:r>
                      <w:t>[1</w:t>
                    </w:r>
                    <w:r w:rsidR="005B7304">
                      <w:t>2</w:t>
                    </w:r>
                    <w:r>
                      <w:t>]</w:t>
                    </w:r>
                  </w:p>
                </w:tc>
                <w:tc>
                  <w:tcPr>
                    <w:tcW w:w="0" w:type="auto"/>
                  </w:tcPr>
                  <w:p w14:paraId="0D69686D" w14:textId="6B3BD0C7" w:rsidR="0036412F" w:rsidRPr="001F6838" w:rsidRDefault="0036412F" w:rsidP="0036412F">
                    <w:pPr>
                      <w:pStyle w:val="Bibliography"/>
                    </w:pPr>
                    <w:r w:rsidRPr="001F6838">
                      <w:t>H. Reddy</w:t>
                    </w:r>
                    <w:r>
                      <w:t xml:space="preserve"> et al.</w:t>
                    </w:r>
                    <w:r w:rsidRPr="001F6838">
                      <w:t xml:space="preserve">, “Temperature-Dependent Optical Properties of Single Crystalline and Polycrystalline Silver Thin Films”, </w:t>
                    </w:r>
                    <w:r w:rsidRPr="001F6838">
                      <w:rPr>
                        <w:i/>
                        <w:iCs/>
                      </w:rPr>
                      <w:t>ACS Photonics</w:t>
                    </w:r>
                    <w:r w:rsidRPr="001F6838">
                      <w:t>, vol. 4, no. 5, pp. 1083–1091, 2017.</w:t>
                    </w:r>
                  </w:p>
                </w:tc>
              </w:tr>
            </w:tbl>
            <w:p w14:paraId="154319E3" w14:textId="0304469D" w:rsidR="00B44FD4" w:rsidRDefault="00B44FD4" w:rsidP="00AC7D79">
              <w:r>
                <w:rPr>
                  <w:b/>
                  <w:bCs/>
                  <w:noProof/>
                </w:rPr>
                <w:fldChar w:fldCharType="end"/>
              </w:r>
            </w:p>
          </w:sdtContent>
        </w:sdt>
      </w:sdtContent>
    </w:sdt>
    <w:p w14:paraId="2913506C" w14:textId="061550E3" w:rsidR="00B44FD4" w:rsidRPr="007F5B1A" w:rsidRDefault="00ED17BE" w:rsidP="00B44FD4">
      <w:pPr>
        <w:pStyle w:val="Heading1"/>
        <w:rPr>
          <w:b w:val="0"/>
        </w:rPr>
      </w:pPr>
      <w:r>
        <w:t>Acknowledgements</w:t>
      </w:r>
    </w:p>
    <w:p w14:paraId="6500F5C8" w14:textId="3C779BBB" w:rsidR="00B44FD4" w:rsidRPr="00170C0F" w:rsidRDefault="00BB7202" w:rsidP="00B44FD4">
      <w:pPr>
        <w:rPr>
          <w:szCs w:val="20"/>
        </w:rPr>
      </w:pPr>
      <w:r>
        <w:rPr>
          <w:szCs w:val="20"/>
        </w:rPr>
        <w:t>COMSOL Access was provided by the Georgia Tech College of Engineering Virtual Machines. Funding for attending COMSOL proceedings were provided by the Georgia Tech President’s Undergraduate Research Award, Student Government Association, and school of Electrical and Computer Engineering.</w:t>
      </w:r>
    </w:p>
    <w:sectPr w:rsidR="00B44FD4" w:rsidRPr="00170C0F" w:rsidSect="005705B6">
      <w:type w:val="continuous"/>
      <w:pgSz w:w="11906" w:h="16838"/>
      <w:pgMar w:top="1417" w:right="1417" w:bottom="1134" w:left="1417" w:header="397" w:footer="283"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iwari, Aadittya" w:date="2026-10-13T01:39:00Z" w:initials="AT">
    <w:p w14:paraId="590FF033" w14:textId="77777777" w:rsidR="00C47E9A" w:rsidRDefault="00C47E9A" w:rsidP="00C47E9A">
      <w:pPr>
        <w:pStyle w:val="CommentText"/>
      </w:pPr>
      <w:r>
        <w:rPr>
          <w:rStyle w:val="CommentReference"/>
        </w:rPr>
        <w:annotationRef/>
      </w:r>
      <w:r>
        <w:t>First thing to cut if you need space</w:t>
      </w:r>
    </w:p>
  </w:comment>
  <w:comment w:id="1" w:author="Tiwari, Aadittya" w:date="2026-10-13T01:49:00Z" w:initials="AT">
    <w:p w14:paraId="68E54999" w14:textId="77777777" w:rsidR="00C95990" w:rsidRDefault="00C95990" w:rsidP="00C95990">
      <w:pPr>
        <w:pStyle w:val="CommentText"/>
      </w:pPr>
      <w:r>
        <w:rPr>
          <w:rStyle w:val="CommentReference"/>
        </w:rPr>
        <w:annotationRef/>
      </w:r>
      <w:r>
        <w:t>Could also be axed, would have to rewrite following part a bit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FF033" w15:done="0"/>
  <w15:commentEx w15:paraId="68E549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B2027" w16cex:dateUtc="2026-10-13T05:39:00Z"/>
  <w16cex:commentExtensible w16cex:durableId="3C0A54FF" w16cex:dateUtc="2026-10-13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FF033" w16cid:durableId="057B2027"/>
  <w16cid:commentId w16cid:paraId="68E54999" w16cid:durableId="3C0A54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36D7" w14:textId="77777777" w:rsidR="005A6C79" w:rsidRDefault="005A6C79" w:rsidP="00B44FD4">
      <w:r>
        <w:separator/>
      </w:r>
    </w:p>
  </w:endnote>
  <w:endnote w:type="continuationSeparator" w:id="0">
    <w:p w14:paraId="5A82C58E" w14:textId="77777777" w:rsidR="005A6C79" w:rsidRDefault="005A6C79" w:rsidP="00B44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908686"/>
      <w:docPartObj>
        <w:docPartGallery w:val="Page Numbers (Bottom of Page)"/>
        <w:docPartUnique/>
      </w:docPartObj>
    </w:sdtPr>
    <w:sdtContent>
      <w:p w14:paraId="6E3F1A25" w14:textId="77777777" w:rsidR="005705B6" w:rsidRDefault="005705B6">
        <w:pPr>
          <w:pStyle w:val="Footer"/>
          <w:jc w:val="center"/>
        </w:pPr>
        <w:r>
          <w:fldChar w:fldCharType="begin"/>
        </w:r>
        <w:r>
          <w:instrText>PAGE   \* MERGEFORMAT</w:instrText>
        </w:r>
        <w:r>
          <w:fldChar w:fldCharType="separate"/>
        </w:r>
        <w:r>
          <w:rPr>
            <w:lang w:val="de-DE"/>
          </w:rPr>
          <w:t>2</w:t>
        </w:r>
        <w:r>
          <w:fldChar w:fldCharType="end"/>
        </w:r>
      </w:p>
    </w:sdtContent>
  </w:sdt>
  <w:p w14:paraId="05DAFE8C" w14:textId="77777777" w:rsidR="005705B6" w:rsidRDefault="005705B6">
    <w:pPr>
      <w:pStyle w:val="Footer"/>
    </w:pPr>
  </w:p>
  <w:p w14:paraId="4009C039" w14:textId="77777777" w:rsidR="00F56EA6" w:rsidRDefault="00F56EA6"/>
  <w:p w14:paraId="0CD3905D" w14:textId="77777777" w:rsidR="00F56EA6" w:rsidRDefault="00F56E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1235" w14:textId="77777777" w:rsidR="005A6C79" w:rsidRDefault="005A6C79" w:rsidP="00B44FD4">
      <w:r>
        <w:separator/>
      </w:r>
    </w:p>
  </w:footnote>
  <w:footnote w:type="continuationSeparator" w:id="0">
    <w:p w14:paraId="03FBE8E2" w14:textId="77777777" w:rsidR="005A6C79" w:rsidRDefault="005A6C79" w:rsidP="00B44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C8D3" w14:textId="51A3B49C" w:rsidR="00A162AA" w:rsidRDefault="001279F2" w:rsidP="00A162AA">
    <w:pPr>
      <w:pStyle w:val="NormalWeb"/>
    </w:pPr>
    <w:r>
      <w:rPr>
        <w:noProof/>
      </w:rPr>
      <w:drawing>
        <wp:inline distT="0" distB="0" distL="0" distR="0" wp14:anchorId="105495AC" wp14:editId="1663DA65">
          <wp:extent cx="1507250" cy="634999"/>
          <wp:effectExtent l="0" t="0" r="4445" b="0"/>
          <wp:docPr id="38298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0723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07250" cy="634999"/>
                  </a:xfrm>
                  <a:prstGeom prst="rect">
                    <a:avLst/>
                  </a:prstGeom>
                </pic:spPr>
              </pic:pic>
            </a:graphicData>
          </a:graphic>
        </wp:inline>
      </w:drawing>
    </w:r>
  </w:p>
  <w:p w14:paraId="3FDF7B4B" w14:textId="6022BF79" w:rsidR="00B9318B" w:rsidRDefault="00B9318B">
    <w:pPr>
      <w:pStyle w:val="Header"/>
    </w:pPr>
  </w:p>
  <w:p w14:paraId="5F8847A5" w14:textId="77777777" w:rsidR="00F56EA6" w:rsidRDefault="00F56EA6"/>
  <w:p w14:paraId="1C65018C" w14:textId="77777777" w:rsidR="00F56EA6" w:rsidRDefault="00F56E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7B01"/>
    <w:multiLevelType w:val="multilevel"/>
    <w:tmpl w:val="61C0A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1B2C01"/>
    <w:multiLevelType w:val="hybridMultilevel"/>
    <w:tmpl w:val="C7D60836"/>
    <w:lvl w:ilvl="0" w:tplc="9A78976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7649DB"/>
    <w:multiLevelType w:val="hybridMultilevel"/>
    <w:tmpl w:val="0D40BFB2"/>
    <w:lvl w:ilvl="0" w:tplc="65ECA6D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4750D"/>
    <w:multiLevelType w:val="multilevel"/>
    <w:tmpl w:val="68CC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108E7"/>
    <w:multiLevelType w:val="multilevel"/>
    <w:tmpl w:val="6420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B75E7A"/>
    <w:multiLevelType w:val="hybridMultilevel"/>
    <w:tmpl w:val="5956C09E"/>
    <w:lvl w:ilvl="0" w:tplc="04090001">
      <w:start w:val="9"/>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665187">
    <w:abstractNumId w:val="5"/>
  </w:num>
  <w:num w:numId="2" w16cid:durableId="55050252">
    <w:abstractNumId w:val="1"/>
  </w:num>
  <w:num w:numId="3" w16cid:durableId="691497407">
    <w:abstractNumId w:val="2"/>
  </w:num>
  <w:num w:numId="4" w16cid:durableId="1430587996">
    <w:abstractNumId w:val="0"/>
  </w:num>
  <w:num w:numId="5" w16cid:durableId="1981301844">
    <w:abstractNumId w:val="4"/>
  </w:num>
  <w:num w:numId="6" w16cid:durableId="11887136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wari, Aadittya">
    <w15:presenceInfo w15:providerId="AD" w15:userId="S::atiwari306@gatech.edu::3147fb92-b8b7-4a53-8267-3ea93b32f1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BD"/>
    <w:rsid w:val="00005A5C"/>
    <w:rsid w:val="00010CCC"/>
    <w:rsid w:val="00021786"/>
    <w:rsid w:val="00034785"/>
    <w:rsid w:val="000718F7"/>
    <w:rsid w:val="000741A0"/>
    <w:rsid w:val="000827B6"/>
    <w:rsid w:val="0008311D"/>
    <w:rsid w:val="00087EB1"/>
    <w:rsid w:val="00093B46"/>
    <w:rsid w:val="00096AF2"/>
    <w:rsid w:val="000B299D"/>
    <w:rsid w:val="000B7113"/>
    <w:rsid w:val="000F00D4"/>
    <w:rsid w:val="00112C83"/>
    <w:rsid w:val="001279F2"/>
    <w:rsid w:val="00142A95"/>
    <w:rsid w:val="001460F0"/>
    <w:rsid w:val="00156C71"/>
    <w:rsid w:val="001659FD"/>
    <w:rsid w:val="00170C0F"/>
    <w:rsid w:val="00184CA7"/>
    <w:rsid w:val="00195651"/>
    <w:rsid w:val="001A5CFC"/>
    <w:rsid w:val="001C0A28"/>
    <w:rsid w:val="001D5C05"/>
    <w:rsid w:val="001F3117"/>
    <w:rsid w:val="001F6838"/>
    <w:rsid w:val="00237FD7"/>
    <w:rsid w:val="00246992"/>
    <w:rsid w:val="00287BE7"/>
    <w:rsid w:val="002C46F9"/>
    <w:rsid w:val="002C4EE0"/>
    <w:rsid w:val="002E3B63"/>
    <w:rsid w:val="00301232"/>
    <w:rsid w:val="003052EF"/>
    <w:rsid w:val="0034321C"/>
    <w:rsid w:val="00356E78"/>
    <w:rsid w:val="00361401"/>
    <w:rsid w:val="00363309"/>
    <w:rsid w:val="0036412F"/>
    <w:rsid w:val="00387CF6"/>
    <w:rsid w:val="00390180"/>
    <w:rsid w:val="003B01B4"/>
    <w:rsid w:val="003E3FF2"/>
    <w:rsid w:val="003F0134"/>
    <w:rsid w:val="00432287"/>
    <w:rsid w:val="004D179C"/>
    <w:rsid w:val="004F3062"/>
    <w:rsid w:val="004F4D60"/>
    <w:rsid w:val="00507FC7"/>
    <w:rsid w:val="00514109"/>
    <w:rsid w:val="0053477F"/>
    <w:rsid w:val="005425B8"/>
    <w:rsid w:val="00546EDE"/>
    <w:rsid w:val="005705B6"/>
    <w:rsid w:val="00585A80"/>
    <w:rsid w:val="00592FD9"/>
    <w:rsid w:val="005A6C79"/>
    <w:rsid w:val="005B7304"/>
    <w:rsid w:val="005E2E3B"/>
    <w:rsid w:val="00636E09"/>
    <w:rsid w:val="006673DE"/>
    <w:rsid w:val="00675FF7"/>
    <w:rsid w:val="00682E0B"/>
    <w:rsid w:val="006A3094"/>
    <w:rsid w:val="006A7EE2"/>
    <w:rsid w:val="006B55EB"/>
    <w:rsid w:val="006C1692"/>
    <w:rsid w:val="006C1D09"/>
    <w:rsid w:val="006D1419"/>
    <w:rsid w:val="0071630D"/>
    <w:rsid w:val="00717EA5"/>
    <w:rsid w:val="00726937"/>
    <w:rsid w:val="007409A5"/>
    <w:rsid w:val="00750686"/>
    <w:rsid w:val="007A5F12"/>
    <w:rsid w:val="007B2489"/>
    <w:rsid w:val="007C4BA3"/>
    <w:rsid w:val="007C6E67"/>
    <w:rsid w:val="007D7035"/>
    <w:rsid w:val="007E3D0B"/>
    <w:rsid w:val="007E5202"/>
    <w:rsid w:val="007F5B1A"/>
    <w:rsid w:val="008319FE"/>
    <w:rsid w:val="0084715D"/>
    <w:rsid w:val="0088643A"/>
    <w:rsid w:val="008A0DA6"/>
    <w:rsid w:val="008D4A06"/>
    <w:rsid w:val="009640A0"/>
    <w:rsid w:val="0098763F"/>
    <w:rsid w:val="00991E0A"/>
    <w:rsid w:val="009F53BD"/>
    <w:rsid w:val="00A01CF6"/>
    <w:rsid w:val="00A06A31"/>
    <w:rsid w:val="00A162AA"/>
    <w:rsid w:val="00A52B7E"/>
    <w:rsid w:val="00A836DC"/>
    <w:rsid w:val="00A83710"/>
    <w:rsid w:val="00A93860"/>
    <w:rsid w:val="00AB451F"/>
    <w:rsid w:val="00AC7D79"/>
    <w:rsid w:val="00AC7EC9"/>
    <w:rsid w:val="00AF3874"/>
    <w:rsid w:val="00B170F0"/>
    <w:rsid w:val="00B44FD4"/>
    <w:rsid w:val="00B51663"/>
    <w:rsid w:val="00B624BC"/>
    <w:rsid w:val="00B66CC9"/>
    <w:rsid w:val="00B9318B"/>
    <w:rsid w:val="00B958A8"/>
    <w:rsid w:val="00B96B5A"/>
    <w:rsid w:val="00BB7202"/>
    <w:rsid w:val="00BC42AC"/>
    <w:rsid w:val="00BD2118"/>
    <w:rsid w:val="00C05F93"/>
    <w:rsid w:val="00C140F0"/>
    <w:rsid w:val="00C17D3C"/>
    <w:rsid w:val="00C25633"/>
    <w:rsid w:val="00C47E9A"/>
    <w:rsid w:val="00C66953"/>
    <w:rsid w:val="00C6791D"/>
    <w:rsid w:val="00C900DF"/>
    <w:rsid w:val="00C90E89"/>
    <w:rsid w:val="00C95990"/>
    <w:rsid w:val="00CA2204"/>
    <w:rsid w:val="00CB5BAC"/>
    <w:rsid w:val="00CD12BE"/>
    <w:rsid w:val="00CE0B6A"/>
    <w:rsid w:val="00CE5822"/>
    <w:rsid w:val="00D01038"/>
    <w:rsid w:val="00D07B8C"/>
    <w:rsid w:val="00D13C0A"/>
    <w:rsid w:val="00D17F27"/>
    <w:rsid w:val="00D30203"/>
    <w:rsid w:val="00D822E2"/>
    <w:rsid w:val="00D82FBC"/>
    <w:rsid w:val="00DA0FC0"/>
    <w:rsid w:val="00DE600B"/>
    <w:rsid w:val="00E00E01"/>
    <w:rsid w:val="00E01DC5"/>
    <w:rsid w:val="00E06F32"/>
    <w:rsid w:val="00E105A5"/>
    <w:rsid w:val="00E1060A"/>
    <w:rsid w:val="00E210BE"/>
    <w:rsid w:val="00E423B3"/>
    <w:rsid w:val="00E72ED8"/>
    <w:rsid w:val="00E91E8A"/>
    <w:rsid w:val="00E96560"/>
    <w:rsid w:val="00EC0D21"/>
    <w:rsid w:val="00EC333A"/>
    <w:rsid w:val="00ED17BE"/>
    <w:rsid w:val="00ED7F3A"/>
    <w:rsid w:val="00EE3407"/>
    <w:rsid w:val="00EF67E1"/>
    <w:rsid w:val="00F42B19"/>
    <w:rsid w:val="00F42D37"/>
    <w:rsid w:val="00F44F63"/>
    <w:rsid w:val="00F50B79"/>
    <w:rsid w:val="00F52169"/>
    <w:rsid w:val="00F56EA6"/>
    <w:rsid w:val="00F61E9F"/>
    <w:rsid w:val="00F646FB"/>
    <w:rsid w:val="00F83B09"/>
    <w:rsid w:val="00FB50A8"/>
    <w:rsid w:val="00FC4C76"/>
    <w:rsid w:val="00FE08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4221E"/>
  <w15:chartTrackingRefBased/>
  <w15:docId w15:val="{24069D1B-1DF2-4225-8101-480A8E19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2E3B63"/>
    <w:pPr>
      <w:spacing w:after="0" w:line="240" w:lineRule="auto"/>
    </w:pPr>
    <w:rPr>
      <w:rFonts w:ascii="Times New Roman" w:eastAsia="Times New Roman" w:hAnsi="Times New Roman" w:cs="Times New Roman"/>
      <w:sz w:val="20"/>
      <w:szCs w:val="24"/>
    </w:rPr>
  </w:style>
  <w:style w:type="paragraph" w:styleId="Heading1">
    <w:name w:val="heading 1"/>
    <w:aliases w:val="Section"/>
    <w:basedOn w:val="Normal"/>
    <w:next w:val="Normal"/>
    <w:link w:val="Heading1Char"/>
    <w:uiPriority w:val="9"/>
    <w:qFormat/>
    <w:rsid w:val="002E3B63"/>
    <w:pPr>
      <w:keepNext/>
      <w:keepLines/>
      <w:spacing w:before="240"/>
      <w:outlineLvl w:val="0"/>
    </w:pPr>
    <w:rPr>
      <w:rFonts w:eastAsiaTheme="majorEastAsia" w:cstheme="majorBidi"/>
      <w:b/>
      <w:sz w:val="22"/>
      <w:szCs w:val="32"/>
    </w:rPr>
  </w:style>
  <w:style w:type="paragraph" w:styleId="Heading2">
    <w:name w:val="heading 2"/>
    <w:aliases w:val="Subsection"/>
    <w:basedOn w:val="Normal"/>
    <w:next w:val="Normal"/>
    <w:link w:val="Heading2Char"/>
    <w:uiPriority w:val="9"/>
    <w:unhideWhenUsed/>
    <w:qFormat/>
    <w:rsid w:val="002E3B63"/>
    <w:pPr>
      <w:keepNext/>
      <w:keepLines/>
      <w:spacing w:before="4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Paper Title"/>
    <w:basedOn w:val="Heading1"/>
    <w:next w:val="Normal"/>
    <w:link w:val="TitleChar"/>
    <w:uiPriority w:val="10"/>
    <w:qFormat/>
    <w:rsid w:val="00507FC7"/>
    <w:pPr>
      <w:spacing w:before="480" w:after="240"/>
      <w:contextualSpacing/>
    </w:pPr>
    <w:rPr>
      <w:spacing w:val="-10"/>
      <w:kern w:val="28"/>
      <w:sz w:val="32"/>
      <w:szCs w:val="56"/>
    </w:rPr>
  </w:style>
  <w:style w:type="character" w:customStyle="1" w:styleId="TitleChar">
    <w:name w:val="Title Char"/>
    <w:aliases w:val="Paper Title Char"/>
    <w:basedOn w:val="DefaultParagraphFont"/>
    <w:link w:val="Title"/>
    <w:uiPriority w:val="10"/>
    <w:rsid w:val="00507FC7"/>
    <w:rPr>
      <w:rFonts w:ascii="Times New Roman" w:eastAsiaTheme="majorEastAsia" w:hAnsi="Times New Roman" w:cstheme="majorBidi"/>
      <w:spacing w:val="-10"/>
      <w:kern w:val="28"/>
      <w:sz w:val="32"/>
      <w:szCs w:val="56"/>
    </w:rPr>
  </w:style>
  <w:style w:type="character" w:customStyle="1" w:styleId="Heading1Char">
    <w:name w:val="Heading 1 Char"/>
    <w:aliases w:val="Section Char"/>
    <w:basedOn w:val="DefaultParagraphFont"/>
    <w:link w:val="Heading1"/>
    <w:uiPriority w:val="9"/>
    <w:rsid w:val="002E3B63"/>
    <w:rPr>
      <w:rFonts w:ascii="Times New Roman" w:eastAsiaTheme="majorEastAsia" w:hAnsi="Times New Roman" w:cstheme="majorBidi"/>
      <w:b/>
      <w:szCs w:val="32"/>
    </w:rPr>
  </w:style>
  <w:style w:type="paragraph" w:styleId="NoSpacing">
    <w:name w:val="No Spacing"/>
    <w:uiPriority w:val="1"/>
    <w:rsid w:val="00585A80"/>
    <w:pPr>
      <w:spacing w:after="0" w:line="240" w:lineRule="auto"/>
    </w:pPr>
    <w:rPr>
      <w:rFonts w:ascii="Times New Roman" w:hAnsi="Times New Roman"/>
    </w:rPr>
  </w:style>
  <w:style w:type="character" w:customStyle="1" w:styleId="Heading2Char">
    <w:name w:val="Heading 2 Char"/>
    <w:aliases w:val="Subsection Char"/>
    <w:basedOn w:val="DefaultParagraphFont"/>
    <w:link w:val="Heading2"/>
    <w:uiPriority w:val="9"/>
    <w:rsid w:val="002E3B63"/>
    <w:rPr>
      <w:rFonts w:ascii="Times New Roman" w:eastAsiaTheme="majorEastAsia" w:hAnsi="Times New Roman" w:cstheme="majorBidi"/>
      <w:b/>
      <w:sz w:val="20"/>
      <w:szCs w:val="26"/>
    </w:rPr>
  </w:style>
  <w:style w:type="paragraph" w:styleId="Subtitle">
    <w:name w:val="Subtitle"/>
    <w:basedOn w:val="Normal"/>
    <w:next w:val="Normal"/>
    <w:link w:val="SubtitleChar"/>
    <w:uiPriority w:val="11"/>
    <w:rsid w:val="00585A80"/>
    <w:pPr>
      <w:numPr>
        <w:ilvl w:val="1"/>
      </w:numPr>
    </w:pPr>
    <w:rPr>
      <w:rFonts w:eastAsiaTheme="minorEastAsia"/>
      <w:color w:val="7E807E" w:themeColor="text1" w:themeTint="A5"/>
      <w:spacing w:val="15"/>
    </w:rPr>
  </w:style>
  <w:style w:type="character" w:customStyle="1" w:styleId="SubtitleChar">
    <w:name w:val="Subtitle Char"/>
    <w:basedOn w:val="DefaultParagraphFont"/>
    <w:link w:val="Subtitle"/>
    <w:uiPriority w:val="11"/>
    <w:rsid w:val="00585A80"/>
    <w:rPr>
      <w:rFonts w:ascii="Times New Roman" w:eastAsiaTheme="minorEastAsia" w:hAnsi="Times New Roman"/>
      <w:color w:val="7E807E" w:themeColor="text1" w:themeTint="A5"/>
      <w:spacing w:val="15"/>
    </w:rPr>
  </w:style>
  <w:style w:type="character" w:styleId="SubtleEmphasis">
    <w:name w:val="Subtle Emphasis"/>
    <w:basedOn w:val="DefaultParagraphFont"/>
    <w:uiPriority w:val="19"/>
    <w:rsid w:val="00585A80"/>
    <w:rPr>
      <w:i/>
      <w:iCs/>
      <w:color w:val="6A6B6A" w:themeColor="text1" w:themeTint="BF"/>
    </w:rPr>
  </w:style>
  <w:style w:type="character" w:styleId="Emphasis">
    <w:name w:val="Emphasis"/>
    <w:basedOn w:val="DefaultParagraphFont"/>
    <w:uiPriority w:val="20"/>
    <w:qFormat/>
    <w:rsid w:val="00585A80"/>
    <w:rPr>
      <w:i/>
      <w:iCs/>
    </w:rPr>
  </w:style>
  <w:style w:type="character" w:styleId="IntenseEmphasis">
    <w:name w:val="Intense Emphasis"/>
    <w:basedOn w:val="DefaultParagraphFont"/>
    <w:uiPriority w:val="21"/>
    <w:qFormat/>
    <w:rsid w:val="005425B8"/>
    <w:rPr>
      <w:i/>
      <w:iCs/>
      <w:color w:val="auto"/>
    </w:rPr>
  </w:style>
  <w:style w:type="character" w:styleId="Strong">
    <w:name w:val="Strong"/>
    <w:basedOn w:val="DefaultParagraphFont"/>
    <w:uiPriority w:val="22"/>
    <w:qFormat/>
    <w:rsid w:val="00585A80"/>
    <w:rPr>
      <w:b/>
      <w:bCs/>
    </w:rPr>
  </w:style>
  <w:style w:type="paragraph" w:styleId="Quote">
    <w:name w:val="Quote"/>
    <w:basedOn w:val="Normal"/>
    <w:next w:val="Normal"/>
    <w:link w:val="QuoteChar"/>
    <w:uiPriority w:val="29"/>
    <w:qFormat/>
    <w:rsid w:val="00585A80"/>
    <w:pPr>
      <w:spacing w:before="200"/>
      <w:ind w:left="864" w:right="864"/>
      <w:jc w:val="center"/>
    </w:pPr>
    <w:rPr>
      <w:i/>
      <w:iCs/>
      <w:color w:val="6A6B6A" w:themeColor="text1" w:themeTint="BF"/>
    </w:rPr>
  </w:style>
  <w:style w:type="character" w:customStyle="1" w:styleId="QuoteChar">
    <w:name w:val="Quote Char"/>
    <w:basedOn w:val="DefaultParagraphFont"/>
    <w:link w:val="Quote"/>
    <w:uiPriority w:val="29"/>
    <w:rsid w:val="00585A80"/>
    <w:rPr>
      <w:rFonts w:ascii="Times New Roman" w:hAnsi="Times New Roman"/>
      <w:i/>
      <w:iCs/>
      <w:color w:val="6A6B6A" w:themeColor="text1" w:themeTint="BF"/>
    </w:rPr>
  </w:style>
  <w:style w:type="paragraph" w:styleId="IntenseQuote">
    <w:name w:val="Intense Quote"/>
    <w:basedOn w:val="Normal"/>
    <w:next w:val="Normal"/>
    <w:link w:val="IntenseQuoteChar"/>
    <w:uiPriority w:val="30"/>
    <w:rsid w:val="00585A80"/>
    <w:pPr>
      <w:pBdr>
        <w:top w:val="single" w:sz="4" w:space="10" w:color="1B4D81" w:themeColor="accent1"/>
        <w:bottom w:val="single" w:sz="4" w:space="10" w:color="1B4D81" w:themeColor="accent1"/>
      </w:pBdr>
      <w:spacing w:before="360" w:after="360"/>
      <w:ind w:left="864" w:right="864"/>
      <w:jc w:val="center"/>
    </w:pPr>
    <w:rPr>
      <w:i/>
      <w:iCs/>
      <w:color w:val="1B4D81" w:themeColor="accent1"/>
    </w:rPr>
  </w:style>
  <w:style w:type="character" w:customStyle="1" w:styleId="IntenseQuoteChar">
    <w:name w:val="Intense Quote Char"/>
    <w:basedOn w:val="DefaultParagraphFont"/>
    <w:link w:val="IntenseQuote"/>
    <w:uiPriority w:val="30"/>
    <w:rsid w:val="00585A80"/>
    <w:rPr>
      <w:rFonts w:ascii="Times New Roman" w:hAnsi="Times New Roman"/>
      <w:i/>
      <w:iCs/>
      <w:color w:val="1B4D81" w:themeColor="accent1"/>
    </w:rPr>
  </w:style>
  <w:style w:type="character" w:styleId="SubtleReference">
    <w:name w:val="Subtle Reference"/>
    <w:basedOn w:val="DefaultParagraphFont"/>
    <w:uiPriority w:val="31"/>
    <w:rsid w:val="00585A80"/>
    <w:rPr>
      <w:smallCaps/>
      <w:color w:val="7E807E" w:themeColor="text1" w:themeTint="A5"/>
    </w:rPr>
  </w:style>
  <w:style w:type="paragraph" w:customStyle="1" w:styleId="BodyText1">
    <w:name w:val="Body Text1"/>
    <w:basedOn w:val="Normal"/>
    <w:link w:val="BodytextChar"/>
    <w:rsid w:val="00585A80"/>
    <w:pPr>
      <w:jc w:val="both"/>
    </w:pPr>
    <w:rPr>
      <w:szCs w:val="20"/>
    </w:rPr>
  </w:style>
  <w:style w:type="character" w:customStyle="1" w:styleId="BodytextChar">
    <w:name w:val="Body text Char"/>
    <w:link w:val="BodyText1"/>
    <w:rsid w:val="00585A80"/>
    <w:rPr>
      <w:rFonts w:ascii="Times New Roman" w:eastAsia="Times New Roman" w:hAnsi="Times New Roman" w:cs="Times New Roman"/>
      <w:sz w:val="20"/>
      <w:szCs w:val="20"/>
    </w:rPr>
  </w:style>
  <w:style w:type="paragraph" w:customStyle="1" w:styleId="Figurenumber">
    <w:name w:val="Figure number"/>
    <w:basedOn w:val="BodyText1"/>
    <w:link w:val="FigurenumberCharChar"/>
    <w:rsid w:val="00585A80"/>
    <w:rPr>
      <w:b/>
      <w:bCs/>
      <w:sz w:val="18"/>
    </w:rPr>
  </w:style>
  <w:style w:type="character" w:customStyle="1" w:styleId="FigurenumberCharChar">
    <w:name w:val="Figure number Char Char"/>
    <w:link w:val="Figurenumber"/>
    <w:rsid w:val="00585A80"/>
    <w:rPr>
      <w:rFonts w:ascii="Times New Roman" w:eastAsia="Times New Roman" w:hAnsi="Times New Roman" w:cs="Times New Roman"/>
      <w:b/>
      <w:bCs/>
      <w:sz w:val="18"/>
      <w:szCs w:val="20"/>
    </w:rPr>
  </w:style>
  <w:style w:type="paragraph" w:styleId="Caption">
    <w:name w:val="caption"/>
    <w:basedOn w:val="Normal"/>
    <w:next w:val="Normal"/>
    <w:uiPriority w:val="35"/>
    <w:unhideWhenUsed/>
    <w:qFormat/>
    <w:rsid w:val="00B44FD4"/>
    <w:pPr>
      <w:spacing w:after="200"/>
    </w:pPr>
    <w:rPr>
      <w:i/>
      <w:iCs/>
      <w:color w:val="12192D" w:themeColor="text2"/>
      <w:sz w:val="18"/>
      <w:szCs w:val="18"/>
    </w:rPr>
  </w:style>
  <w:style w:type="table" w:styleId="TableGrid">
    <w:name w:val="Table Grid"/>
    <w:basedOn w:val="TableNormal"/>
    <w:uiPriority w:val="39"/>
    <w:rsid w:val="00B4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4FD4"/>
    <w:pPr>
      <w:tabs>
        <w:tab w:val="center" w:pos="4536"/>
        <w:tab w:val="right" w:pos="9072"/>
      </w:tabs>
    </w:pPr>
  </w:style>
  <w:style w:type="character" w:customStyle="1" w:styleId="HeaderChar">
    <w:name w:val="Header Char"/>
    <w:basedOn w:val="DefaultParagraphFont"/>
    <w:link w:val="Header"/>
    <w:uiPriority w:val="99"/>
    <w:rsid w:val="00B44FD4"/>
    <w:rPr>
      <w:rFonts w:ascii="Times New Roman" w:hAnsi="Times New Roman"/>
    </w:rPr>
  </w:style>
  <w:style w:type="paragraph" w:styleId="Footer">
    <w:name w:val="footer"/>
    <w:basedOn w:val="Normal"/>
    <w:link w:val="FooterChar"/>
    <w:uiPriority w:val="99"/>
    <w:unhideWhenUsed/>
    <w:rsid w:val="00B44FD4"/>
    <w:pPr>
      <w:tabs>
        <w:tab w:val="center" w:pos="4536"/>
        <w:tab w:val="right" w:pos="9072"/>
      </w:tabs>
    </w:pPr>
  </w:style>
  <w:style w:type="character" w:customStyle="1" w:styleId="FooterChar">
    <w:name w:val="Footer Char"/>
    <w:basedOn w:val="DefaultParagraphFont"/>
    <w:link w:val="Footer"/>
    <w:uiPriority w:val="99"/>
    <w:rsid w:val="00B44FD4"/>
    <w:rPr>
      <w:rFonts w:ascii="Times New Roman" w:hAnsi="Times New Roman"/>
    </w:rPr>
  </w:style>
  <w:style w:type="paragraph" w:customStyle="1" w:styleId="AuthorInformation">
    <w:name w:val="Author Information"/>
    <w:basedOn w:val="Normal"/>
    <w:qFormat/>
    <w:rsid w:val="001659FD"/>
    <w:rPr>
      <w:sz w:val="22"/>
    </w:rPr>
  </w:style>
  <w:style w:type="paragraph" w:customStyle="1" w:styleId="Authorcontact">
    <w:name w:val="Author contact"/>
    <w:basedOn w:val="Normal"/>
    <w:qFormat/>
    <w:rsid w:val="001659FD"/>
  </w:style>
  <w:style w:type="paragraph" w:styleId="Bibliography">
    <w:name w:val="Bibliography"/>
    <w:basedOn w:val="Normal"/>
    <w:next w:val="Normal"/>
    <w:autoRedefine/>
    <w:uiPriority w:val="37"/>
    <w:unhideWhenUsed/>
    <w:rsid w:val="001F6838"/>
    <w:rPr>
      <w:noProof/>
    </w:rPr>
  </w:style>
  <w:style w:type="character" w:styleId="IntenseReference">
    <w:name w:val="Intense Reference"/>
    <w:basedOn w:val="DefaultParagraphFont"/>
    <w:uiPriority w:val="32"/>
    <w:qFormat/>
    <w:rsid w:val="005425B8"/>
    <w:rPr>
      <w:b/>
      <w:bCs/>
      <w:smallCaps/>
      <w:color w:val="auto"/>
      <w:spacing w:val="5"/>
    </w:rPr>
  </w:style>
  <w:style w:type="character" w:styleId="CommentReference">
    <w:name w:val="annotation reference"/>
    <w:basedOn w:val="DefaultParagraphFont"/>
    <w:uiPriority w:val="99"/>
    <w:semiHidden/>
    <w:unhideWhenUsed/>
    <w:rsid w:val="007F5B1A"/>
    <w:rPr>
      <w:sz w:val="16"/>
      <w:szCs w:val="16"/>
    </w:rPr>
  </w:style>
  <w:style w:type="paragraph" w:styleId="CommentText">
    <w:name w:val="annotation text"/>
    <w:basedOn w:val="Normal"/>
    <w:link w:val="CommentTextChar"/>
    <w:uiPriority w:val="99"/>
    <w:unhideWhenUsed/>
    <w:rsid w:val="007F5B1A"/>
    <w:rPr>
      <w:szCs w:val="20"/>
    </w:rPr>
  </w:style>
  <w:style w:type="character" w:customStyle="1" w:styleId="CommentTextChar">
    <w:name w:val="Comment Text Char"/>
    <w:basedOn w:val="DefaultParagraphFont"/>
    <w:link w:val="CommentText"/>
    <w:uiPriority w:val="99"/>
    <w:rsid w:val="007F5B1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F5B1A"/>
    <w:rPr>
      <w:b/>
      <w:bCs/>
    </w:rPr>
  </w:style>
  <w:style w:type="character" w:customStyle="1" w:styleId="CommentSubjectChar">
    <w:name w:val="Comment Subject Char"/>
    <w:basedOn w:val="CommentTextChar"/>
    <w:link w:val="CommentSubject"/>
    <w:uiPriority w:val="99"/>
    <w:semiHidden/>
    <w:rsid w:val="007F5B1A"/>
    <w:rPr>
      <w:rFonts w:ascii="Times New Roman" w:hAnsi="Times New Roman"/>
      <w:b/>
      <w:bCs/>
      <w:sz w:val="20"/>
      <w:szCs w:val="20"/>
    </w:rPr>
  </w:style>
  <w:style w:type="paragraph" w:styleId="BalloonText">
    <w:name w:val="Balloon Text"/>
    <w:basedOn w:val="Normal"/>
    <w:link w:val="BalloonTextChar"/>
    <w:uiPriority w:val="99"/>
    <w:semiHidden/>
    <w:unhideWhenUsed/>
    <w:rsid w:val="007F5B1A"/>
    <w:rPr>
      <w:sz w:val="18"/>
      <w:szCs w:val="18"/>
    </w:rPr>
  </w:style>
  <w:style w:type="character" w:customStyle="1" w:styleId="BalloonTextChar">
    <w:name w:val="Balloon Text Char"/>
    <w:basedOn w:val="DefaultParagraphFont"/>
    <w:link w:val="BalloonText"/>
    <w:uiPriority w:val="99"/>
    <w:semiHidden/>
    <w:rsid w:val="007F5B1A"/>
    <w:rPr>
      <w:rFonts w:ascii="Times New Roman" w:hAnsi="Times New Roman" w:cs="Times New Roman"/>
      <w:sz w:val="18"/>
      <w:szCs w:val="18"/>
    </w:rPr>
  </w:style>
  <w:style w:type="paragraph" w:styleId="ListParagraph">
    <w:name w:val="List Paragraph"/>
    <w:basedOn w:val="Normal"/>
    <w:uiPriority w:val="34"/>
    <w:qFormat/>
    <w:rsid w:val="00F83B09"/>
    <w:pPr>
      <w:ind w:left="720"/>
      <w:contextualSpacing/>
    </w:pPr>
  </w:style>
  <w:style w:type="character" w:styleId="Hyperlink">
    <w:name w:val="Hyperlink"/>
    <w:basedOn w:val="DefaultParagraphFont"/>
    <w:uiPriority w:val="99"/>
    <w:unhideWhenUsed/>
    <w:rsid w:val="00F83B09"/>
    <w:rPr>
      <w:color w:val="3B80B6" w:themeColor="hyperlink"/>
      <w:u w:val="single"/>
    </w:rPr>
  </w:style>
  <w:style w:type="character" w:styleId="UnresolvedMention">
    <w:name w:val="Unresolved Mention"/>
    <w:basedOn w:val="DefaultParagraphFont"/>
    <w:uiPriority w:val="99"/>
    <w:semiHidden/>
    <w:unhideWhenUsed/>
    <w:rsid w:val="00F83B09"/>
    <w:rPr>
      <w:color w:val="605E5C"/>
      <w:shd w:val="clear" w:color="auto" w:fill="E1DFDD"/>
    </w:rPr>
  </w:style>
  <w:style w:type="character" w:styleId="FollowedHyperlink">
    <w:name w:val="FollowedHyperlink"/>
    <w:basedOn w:val="DefaultParagraphFont"/>
    <w:uiPriority w:val="99"/>
    <w:semiHidden/>
    <w:unhideWhenUsed/>
    <w:rsid w:val="00B96B5A"/>
    <w:rPr>
      <w:color w:val="1A4D83" w:themeColor="followedHyperlink"/>
      <w:u w:val="single"/>
    </w:rPr>
  </w:style>
  <w:style w:type="paragraph" w:styleId="Revision">
    <w:name w:val="Revision"/>
    <w:hidden/>
    <w:uiPriority w:val="99"/>
    <w:semiHidden/>
    <w:rsid w:val="00F42B19"/>
    <w:pPr>
      <w:spacing w:after="0" w:line="240" w:lineRule="auto"/>
    </w:pPr>
    <w:rPr>
      <w:rFonts w:ascii="Times New Roman" w:eastAsia="Times New Roman" w:hAnsi="Times New Roman" w:cs="Times New Roman"/>
      <w:sz w:val="20"/>
      <w:szCs w:val="24"/>
    </w:rPr>
  </w:style>
  <w:style w:type="paragraph" w:styleId="NormalWeb">
    <w:name w:val="Normal (Web)"/>
    <w:basedOn w:val="Normal"/>
    <w:uiPriority w:val="99"/>
    <w:semiHidden/>
    <w:unhideWhenUsed/>
    <w:rsid w:val="00A162AA"/>
    <w:pPr>
      <w:spacing w:before="100" w:beforeAutospacing="1" w:after="100" w:afterAutospacing="1"/>
    </w:pPr>
    <w:rPr>
      <w:sz w:val="24"/>
    </w:rPr>
  </w:style>
  <w:style w:type="character" w:styleId="PlaceholderText">
    <w:name w:val="Placeholder Text"/>
    <w:basedOn w:val="DefaultParagraphFont"/>
    <w:uiPriority w:val="99"/>
    <w:semiHidden/>
    <w:rsid w:val="008471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609">
      <w:bodyDiv w:val="1"/>
      <w:marLeft w:val="0"/>
      <w:marRight w:val="0"/>
      <w:marTop w:val="0"/>
      <w:marBottom w:val="0"/>
      <w:divBdr>
        <w:top w:val="none" w:sz="0" w:space="0" w:color="auto"/>
        <w:left w:val="none" w:sz="0" w:space="0" w:color="auto"/>
        <w:bottom w:val="none" w:sz="0" w:space="0" w:color="auto"/>
        <w:right w:val="none" w:sz="0" w:space="0" w:color="auto"/>
      </w:divBdr>
    </w:div>
    <w:div w:id="24983978">
      <w:bodyDiv w:val="1"/>
      <w:marLeft w:val="0"/>
      <w:marRight w:val="0"/>
      <w:marTop w:val="0"/>
      <w:marBottom w:val="0"/>
      <w:divBdr>
        <w:top w:val="none" w:sz="0" w:space="0" w:color="auto"/>
        <w:left w:val="none" w:sz="0" w:space="0" w:color="auto"/>
        <w:bottom w:val="none" w:sz="0" w:space="0" w:color="auto"/>
        <w:right w:val="none" w:sz="0" w:space="0" w:color="auto"/>
      </w:divBdr>
    </w:div>
    <w:div w:id="28457192">
      <w:bodyDiv w:val="1"/>
      <w:marLeft w:val="0"/>
      <w:marRight w:val="0"/>
      <w:marTop w:val="0"/>
      <w:marBottom w:val="0"/>
      <w:divBdr>
        <w:top w:val="none" w:sz="0" w:space="0" w:color="auto"/>
        <w:left w:val="none" w:sz="0" w:space="0" w:color="auto"/>
        <w:bottom w:val="none" w:sz="0" w:space="0" w:color="auto"/>
        <w:right w:val="none" w:sz="0" w:space="0" w:color="auto"/>
      </w:divBdr>
    </w:div>
    <w:div w:id="94326755">
      <w:bodyDiv w:val="1"/>
      <w:marLeft w:val="0"/>
      <w:marRight w:val="0"/>
      <w:marTop w:val="0"/>
      <w:marBottom w:val="0"/>
      <w:divBdr>
        <w:top w:val="none" w:sz="0" w:space="0" w:color="auto"/>
        <w:left w:val="none" w:sz="0" w:space="0" w:color="auto"/>
        <w:bottom w:val="none" w:sz="0" w:space="0" w:color="auto"/>
        <w:right w:val="none" w:sz="0" w:space="0" w:color="auto"/>
      </w:divBdr>
    </w:div>
    <w:div w:id="103043301">
      <w:bodyDiv w:val="1"/>
      <w:marLeft w:val="0"/>
      <w:marRight w:val="0"/>
      <w:marTop w:val="0"/>
      <w:marBottom w:val="0"/>
      <w:divBdr>
        <w:top w:val="none" w:sz="0" w:space="0" w:color="auto"/>
        <w:left w:val="none" w:sz="0" w:space="0" w:color="auto"/>
        <w:bottom w:val="none" w:sz="0" w:space="0" w:color="auto"/>
        <w:right w:val="none" w:sz="0" w:space="0" w:color="auto"/>
      </w:divBdr>
    </w:div>
    <w:div w:id="125049293">
      <w:bodyDiv w:val="1"/>
      <w:marLeft w:val="0"/>
      <w:marRight w:val="0"/>
      <w:marTop w:val="0"/>
      <w:marBottom w:val="0"/>
      <w:divBdr>
        <w:top w:val="none" w:sz="0" w:space="0" w:color="auto"/>
        <w:left w:val="none" w:sz="0" w:space="0" w:color="auto"/>
        <w:bottom w:val="none" w:sz="0" w:space="0" w:color="auto"/>
        <w:right w:val="none" w:sz="0" w:space="0" w:color="auto"/>
      </w:divBdr>
    </w:div>
    <w:div w:id="151216829">
      <w:bodyDiv w:val="1"/>
      <w:marLeft w:val="0"/>
      <w:marRight w:val="0"/>
      <w:marTop w:val="0"/>
      <w:marBottom w:val="0"/>
      <w:divBdr>
        <w:top w:val="none" w:sz="0" w:space="0" w:color="auto"/>
        <w:left w:val="none" w:sz="0" w:space="0" w:color="auto"/>
        <w:bottom w:val="none" w:sz="0" w:space="0" w:color="auto"/>
        <w:right w:val="none" w:sz="0" w:space="0" w:color="auto"/>
      </w:divBdr>
    </w:div>
    <w:div w:id="162402442">
      <w:bodyDiv w:val="1"/>
      <w:marLeft w:val="0"/>
      <w:marRight w:val="0"/>
      <w:marTop w:val="0"/>
      <w:marBottom w:val="0"/>
      <w:divBdr>
        <w:top w:val="none" w:sz="0" w:space="0" w:color="auto"/>
        <w:left w:val="none" w:sz="0" w:space="0" w:color="auto"/>
        <w:bottom w:val="none" w:sz="0" w:space="0" w:color="auto"/>
        <w:right w:val="none" w:sz="0" w:space="0" w:color="auto"/>
      </w:divBdr>
    </w:div>
    <w:div w:id="246497981">
      <w:bodyDiv w:val="1"/>
      <w:marLeft w:val="0"/>
      <w:marRight w:val="0"/>
      <w:marTop w:val="0"/>
      <w:marBottom w:val="0"/>
      <w:divBdr>
        <w:top w:val="none" w:sz="0" w:space="0" w:color="auto"/>
        <w:left w:val="none" w:sz="0" w:space="0" w:color="auto"/>
        <w:bottom w:val="none" w:sz="0" w:space="0" w:color="auto"/>
        <w:right w:val="none" w:sz="0" w:space="0" w:color="auto"/>
      </w:divBdr>
    </w:div>
    <w:div w:id="251738640">
      <w:bodyDiv w:val="1"/>
      <w:marLeft w:val="0"/>
      <w:marRight w:val="0"/>
      <w:marTop w:val="0"/>
      <w:marBottom w:val="0"/>
      <w:divBdr>
        <w:top w:val="none" w:sz="0" w:space="0" w:color="auto"/>
        <w:left w:val="none" w:sz="0" w:space="0" w:color="auto"/>
        <w:bottom w:val="none" w:sz="0" w:space="0" w:color="auto"/>
        <w:right w:val="none" w:sz="0" w:space="0" w:color="auto"/>
      </w:divBdr>
    </w:div>
    <w:div w:id="260797213">
      <w:bodyDiv w:val="1"/>
      <w:marLeft w:val="0"/>
      <w:marRight w:val="0"/>
      <w:marTop w:val="0"/>
      <w:marBottom w:val="0"/>
      <w:divBdr>
        <w:top w:val="none" w:sz="0" w:space="0" w:color="auto"/>
        <w:left w:val="none" w:sz="0" w:space="0" w:color="auto"/>
        <w:bottom w:val="none" w:sz="0" w:space="0" w:color="auto"/>
        <w:right w:val="none" w:sz="0" w:space="0" w:color="auto"/>
      </w:divBdr>
    </w:div>
    <w:div w:id="299773960">
      <w:bodyDiv w:val="1"/>
      <w:marLeft w:val="0"/>
      <w:marRight w:val="0"/>
      <w:marTop w:val="0"/>
      <w:marBottom w:val="0"/>
      <w:divBdr>
        <w:top w:val="none" w:sz="0" w:space="0" w:color="auto"/>
        <w:left w:val="none" w:sz="0" w:space="0" w:color="auto"/>
        <w:bottom w:val="none" w:sz="0" w:space="0" w:color="auto"/>
        <w:right w:val="none" w:sz="0" w:space="0" w:color="auto"/>
      </w:divBdr>
    </w:div>
    <w:div w:id="307590394">
      <w:bodyDiv w:val="1"/>
      <w:marLeft w:val="0"/>
      <w:marRight w:val="0"/>
      <w:marTop w:val="0"/>
      <w:marBottom w:val="0"/>
      <w:divBdr>
        <w:top w:val="none" w:sz="0" w:space="0" w:color="auto"/>
        <w:left w:val="none" w:sz="0" w:space="0" w:color="auto"/>
        <w:bottom w:val="none" w:sz="0" w:space="0" w:color="auto"/>
        <w:right w:val="none" w:sz="0" w:space="0" w:color="auto"/>
      </w:divBdr>
    </w:div>
    <w:div w:id="307827445">
      <w:bodyDiv w:val="1"/>
      <w:marLeft w:val="0"/>
      <w:marRight w:val="0"/>
      <w:marTop w:val="0"/>
      <w:marBottom w:val="0"/>
      <w:divBdr>
        <w:top w:val="none" w:sz="0" w:space="0" w:color="auto"/>
        <w:left w:val="none" w:sz="0" w:space="0" w:color="auto"/>
        <w:bottom w:val="none" w:sz="0" w:space="0" w:color="auto"/>
        <w:right w:val="none" w:sz="0" w:space="0" w:color="auto"/>
      </w:divBdr>
    </w:div>
    <w:div w:id="314989411">
      <w:bodyDiv w:val="1"/>
      <w:marLeft w:val="0"/>
      <w:marRight w:val="0"/>
      <w:marTop w:val="0"/>
      <w:marBottom w:val="0"/>
      <w:divBdr>
        <w:top w:val="none" w:sz="0" w:space="0" w:color="auto"/>
        <w:left w:val="none" w:sz="0" w:space="0" w:color="auto"/>
        <w:bottom w:val="none" w:sz="0" w:space="0" w:color="auto"/>
        <w:right w:val="none" w:sz="0" w:space="0" w:color="auto"/>
      </w:divBdr>
    </w:div>
    <w:div w:id="450904190">
      <w:bodyDiv w:val="1"/>
      <w:marLeft w:val="0"/>
      <w:marRight w:val="0"/>
      <w:marTop w:val="0"/>
      <w:marBottom w:val="0"/>
      <w:divBdr>
        <w:top w:val="none" w:sz="0" w:space="0" w:color="auto"/>
        <w:left w:val="none" w:sz="0" w:space="0" w:color="auto"/>
        <w:bottom w:val="none" w:sz="0" w:space="0" w:color="auto"/>
        <w:right w:val="none" w:sz="0" w:space="0" w:color="auto"/>
      </w:divBdr>
    </w:div>
    <w:div w:id="484013056">
      <w:bodyDiv w:val="1"/>
      <w:marLeft w:val="0"/>
      <w:marRight w:val="0"/>
      <w:marTop w:val="0"/>
      <w:marBottom w:val="0"/>
      <w:divBdr>
        <w:top w:val="none" w:sz="0" w:space="0" w:color="auto"/>
        <w:left w:val="none" w:sz="0" w:space="0" w:color="auto"/>
        <w:bottom w:val="none" w:sz="0" w:space="0" w:color="auto"/>
        <w:right w:val="none" w:sz="0" w:space="0" w:color="auto"/>
      </w:divBdr>
    </w:div>
    <w:div w:id="486290252">
      <w:bodyDiv w:val="1"/>
      <w:marLeft w:val="0"/>
      <w:marRight w:val="0"/>
      <w:marTop w:val="0"/>
      <w:marBottom w:val="0"/>
      <w:divBdr>
        <w:top w:val="none" w:sz="0" w:space="0" w:color="auto"/>
        <w:left w:val="none" w:sz="0" w:space="0" w:color="auto"/>
        <w:bottom w:val="none" w:sz="0" w:space="0" w:color="auto"/>
        <w:right w:val="none" w:sz="0" w:space="0" w:color="auto"/>
      </w:divBdr>
    </w:div>
    <w:div w:id="495801728">
      <w:bodyDiv w:val="1"/>
      <w:marLeft w:val="0"/>
      <w:marRight w:val="0"/>
      <w:marTop w:val="0"/>
      <w:marBottom w:val="0"/>
      <w:divBdr>
        <w:top w:val="none" w:sz="0" w:space="0" w:color="auto"/>
        <w:left w:val="none" w:sz="0" w:space="0" w:color="auto"/>
        <w:bottom w:val="none" w:sz="0" w:space="0" w:color="auto"/>
        <w:right w:val="none" w:sz="0" w:space="0" w:color="auto"/>
      </w:divBdr>
    </w:div>
    <w:div w:id="504169585">
      <w:bodyDiv w:val="1"/>
      <w:marLeft w:val="0"/>
      <w:marRight w:val="0"/>
      <w:marTop w:val="0"/>
      <w:marBottom w:val="0"/>
      <w:divBdr>
        <w:top w:val="none" w:sz="0" w:space="0" w:color="auto"/>
        <w:left w:val="none" w:sz="0" w:space="0" w:color="auto"/>
        <w:bottom w:val="none" w:sz="0" w:space="0" w:color="auto"/>
        <w:right w:val="none" w:sz="0" w:space="0" w:color="auto"/>
      </w:divBdr>
    </w:div>
    <w:div w:id="531386539">
      <w:bodyDiv w:val="1"/>
      <w:marLeft w:val="0"/>
      <w:marRight w:val="0"/>
      <w:marTop w:val="0"/>
      <w:marBottom w:val="0"/>
      <w:divBdr>
        <w:top w:val="none" w:sz="0" w:space="0" w:color="auto"/>
        <w:left w:val="none" w:sz="0" w:space="0" w:color="auto"/>
        <w:bottom w:val="none" w:sz="0" w:space="0" w:color="auto"/>
        <w:right w:val="none" w:sz="0" w:space="0" w:color="auto"/>
      </w:divBdr>
    </w:div>
    <w:div w:id="573660288">
      <w:bodyDiv w:val="1"/>
      <w:marLeft w:val="0"/>
      <w:marRight w:val="0"/>
      <w:marTop w:val="0"/>
      <w:marBottom w:val="0"/>
      <w:divBdr>
        <w:top w:val="none" w:sz="0" w:space="0" w:color="auto"/>
        <w:left w:val="none" w:sz="0" w:space="0" w:color="auto"/>
        <w:bottom w:val="none" w:sz="0" w:space="0" w:color="auto"/>
        <w:right w:val="none" w:sz="0" w:space="0" w:color="auto"/>
      </w:divBdr>
    </w:div>
    <w:div w:id="599023820">
      <w:bodyDiv w:val="1"/>
      <w:marLeft w:val="0"/>
      <w:marRight w:val="0"/>
      <w:marTop w:val="0"/>
      <w:marBottom w:val="0"/>
      <w:divBdr>
        <w:top w:val="none" w:sz="0" w:space="0" w:color="auto"/>
        <w:left w:val="none" w:sz="0" w:space="0" w:color="auto"/>
        <w:bottom w:val="none" w:sz="0" w:space="0" w:color="auto"/>
        <w:right w:val="none" w:sz="0" w:space="0" w:color="auto"/>
      </w:divBdr>
    </w:div>
    <w:div w:id="642388893">
      <w:bodyDiv w:val="1"/>
      <w:marLeft w:val="0"/>
      <w:marRight w:val="0"/>
      <w:marTop w:val="0"/>
      <w:marBottom w:val="0"/>
      <w:divBdr>
        <w:top w:val="none" w:sz="0" w:space="0" w:color="auto"/>
        <w:left w:val="none" w:sz="0" w:space="0" w:color="auto"/>
        <w:bottom w:val="none" w:sz="0" w:space="0" w:color="auto"/>
        <w:right w:val="none" w:sz="0" w:space="0" w:color="auto"/>
      </w:divBdr>
    </w:div>
    <w:div w:id="669868200">
      <w:bodyDiv w:val="1"/>
      <w:marLeft w:val="0"/>
      <w:marRight w:val="0"/>
      <w:marTop w:val="0"/>
      <w:marBottom w:val="0"/>
      <w:divBdr>
        <w:top w:val="none" w:sz="0" w:space="0" w:color="auto"/>
        <w:left w:val="none" w:sz="0" w:space="0" w:color="auto"/>
        <w:bottom w:val="none" w:sz="0" w:space="0" w:color="auto"/>
        <w:right w:val="none" w:sz="0" w:space="0" w:color="auto"/>
      </w:divBdr>
    </w:div>
    <w:div w:id="684208620">
      <w:bodyDiv w:val="1"/>
      <w:marLeft w:val="0"/>
      <w:marRight w:val="0"/>
      <w:marTop w:val="0"/>
      <w:marBottom w:val="0"/>
      <w:divBdr>
        <w:top w:val="none" w:sz="0" w:space="0" w:color="auto"/>
        <w:left w:val="none" w:sz="0" w:space="0" w:color="auto"/>
        <w:bottom w:val="none" w:sz="0" w:space="0" w:color="auto"/>
        <w:right w:val="none" w:sz="0" w:space="0" w:color="auto"/>
      </w:divBdr>
    </w:div>
    <w:div w:id="691810070">
      <w:bodyDiv w:val="1"/>
      <w:marLeft w:val="0"/>
      <w:marRight w:val="0"/>
      <w:marTop w:val="0"/>
      <w:marBottom w:val="0"/>
      <w:divBdr>
        <w:top w:val="none" w:sz="0" w:space="0" w:color="auto"/>
        <w:left w:val="none" w:sz="0" w:space="0" w:color="auto"/>
        <w:bottom w:val="none" w:sz="0" w:space="0" w:color="auto"/>
        <w:right w:val="none" w:sz="0" w:space="0" w:color="auto"/>
      </w:divBdr>
    </w:div>
    <w:div w:id="700711611">
      <w:bodyDiv w:val="1"/>
      <w:marLeft w:val="0"/>
      <w:marRight w:val="0"/>
      <w:marTop w:val="0"/>
      <w:marBottom w:val="0"/>
      <w:divBdr>
        <w:top w:val="none" w:sz="0" w:space="0" w:color="auto"/>
        <w:left w:val="none" w:sz="0" w:space="0" w:color="auto"/>
        <w:bottom w:val="none" w:sz="0" w:space="0" w:color="auto"/>
        <w:right w:val="none" w:sz="0" w:space="0" w:color="auto"/>
      </w:divBdr>
    </w:div>
    <w:div w:id="703677782">
      <w:bodyDiv w:val="1"/>
      <w:marLeft w:val="0"/>
      <w:marRight w:val="0"/>
      <w:marTop w:val="0"/>
      <w:marBottom w:val="0"/>
      <w:divBdr>
        <w:top w:val="none" w:sz="0" w:space="0" w:color="auto"/>
        <w:left w:val="none" w:sz="0" w:space="0" w:color="auto"/>
        <w:bottom w:val="none" w:sz="0" w:space="0" w:color="auto"/>
        <w:right w:val="none" w:sz="0" w:space="0" w:color="auto"/>
      </w:divBdr>
    </w:div>
    <w:div w:id="713425418">
      <w:bodyDiv w:val="1"/>
      <w:marLeft w:val="0"/>
      <w:marRight w:val="0"/>
      <w:marTop w:val="0"/>
      <w:marBottom w:val="0"/>
      <w:divBdr>
        <w:top w:val="none" w:sz="0" w:space="0" w:color="auto"/>
        <w:left w:val="none" w:sz="0" w:space="0" w:color="auto"/>
        <w:bottom w:val="none" w:sz="0" w:space="0" w:color="auto"/>
        <w:right w:val="none" w:sz="0" w:space="0" w:color="auto"/>
      </w:divBdr>
    </w:div>
    <w:div w:id="735318061">
      <w:bodyDiv w:val="1"/>
      <w:marLeft w:val="0"/>
      <w:marRight w:val="0"/>
      <w:marTop w:val="0"/>
      <w:marBottom w:val="0"/>
      <w:divBdr>
        <w:top w:val="none" w:sz="0" w:space="0" w:color="auto"/>
        <w:left w:val="none" w:sz="0" w:space="0" w:color="auto"/>
        <w:bottom w:val="none" w:sz="0" w:space="0" w:color="auto"/>
        <w:right w:val="none" w:sz="0" w:space="0" w:color="auto"/>
      </w:divBdr>
    </w:div>
    <w:div w:id="776216389">
      <w:bodyDiv w:val="1"/>
      <w:marLeft w:val="0"/>
      <w:marRight w:val="0"/>
      <w:marTop w:val="0"/>
      <w:marBottom w:val="0"/>
      <w:divBdr>
        <w:top w:val="none" w:sz="0" w:space="0" w:color="auto"/>
        <w:left w:val="none" w:sz="0" w:space="0" w:color="auto"/>
        <w:bottom w:val="none" w:sz="0" w:space="0" w:color="auto"/>
        <w:right w:val="none" w:sz="0" w:space="0" w:color="auto"/>
      </w:divBdr>
    </w:div>
    <w:div w:id="790827078">
      <w:bodyDiv w:val="1"/>
      <w:marLeft w:val="0"/>
      <w:marRight w:val="0"/>
      <w:marTop w:val="0"/>
      <w:marBottom w:val="0"/>
      <w:divBdr>
        <w:top w:val="none" w:sz="0" w:space="0" w:color="auto"/>
        <w:left w:val="none" w:sz="0" w:space="0" w:color="auto"/>
        <w:bottom w:val="none" w:sz="0" w:space="0" w:color="auto"/>
        <w:right w:val="none" w:sz="0" w:space="0" w:color="auto"/>
      </w:divBdr>
    </w:div>
    <w:div w:id="865562630">
      <w:bodyDiv w:val="1"/>
      <w:marLeft w:val="0"/>
      <w:marRight w:val="0"/>
      <w:marTop w:val="0"/>
      <w:marBottom w:val="0"/>
      <w:divBdr>
        <w:top w:val="none" w:sz="0" w:space="0" w:color="auto"/>
        <w:left w:val="none" w:sz="0" w:space="0" w:color="auto"/>
        <w:bottom w:val="none" w:sz="0" w:space="0" w:color="auto"/>
        <w:right w:val="none" w:sz="0" w:space="0" w:color="auto"/>
      </w:divBdr>
    </w:div>
    <w:div w:id="877471340">
      <w:bodyDiv w:val="1"/>
      <w:marLeft w:val="0"/>
      <w:marRight w:val="0"/>
      <w:marTop w:val="0"/>
      <w:marBottom w:val="0"/>
      <w:divBdr>
        <w:top w:val="none" w:sz="0" w:space="0" w:color="auto"/>
        <w:left w:val="none" w:sz="0" w:space="0" w:color="auto"/>
        <w:bottom w:val="none" w:sz="0" w:space="0" w:color="auto"/>
        <w:right w:val="none" w:sz="0" w:space="0" w:color="auto"/>
      </w:divBdr>
    </w:div>
    <w:div w:id="890843473">
      <w:bodyDiv w:val="1"/>
      <w:marLeft w:val="0"/>
      <w:marRight w:val="0"/>
      <w:marTop w:val="0"/>
      <w:marBottom w:val="0"/>
      <w:divBdr>
        <w:top w:val="none" w:sz="0" w:space="0" w:color="auto"/>
        <w:left w:val="none" w:sz="0" w:space="0" w:color="auto"/>
        <w:bottom w:val="none" w:sz="0" w:space="0" w:color="auto"/>
        <w:right w:val="none" w:sz="0" w:space="0" w:color="auto"/>
      </w:divBdr>
    </w:div>
    <w:div w:id="956714144">
      <w:bodyDiv w:val="1"/>
      <w:marLeft w:val="0"/>
      <w:marRight w:val="0"/>
      <w:marTop w:val="0"/>
      <w:marBottom w:val="0"/>
      <w:divBdr>
        <w:top w:val="none" w:sz="0" w:space="0" w:color="auto"/>
        <w:left w:val="none" w:sz="0" w:space="0" w:color="auto"/>
        <w:bottom w:val="none" w:sz="0" w:space="0" w:color="auto"/>
        <w:right w:val="none" w:sz="0" w:space="0" w:color="auto"/>
      </w:divBdr>
    </w:div>
    <w:div w:id="967710400">
      <w:bodyDiv w:val="1"/>
      <w:marLeft w:val="0"/>
      <w:marRight w:val="0"/>
      <w:marTop w:val="0"/>
      <w:marBottom w:val="0"/>
      <w:divBdr>
        <w:top w:val="none" w:sz="0" w:space="0" w:color="auto"/>
        <w:left w:val="none" w:sz="0" w:space="0" w:color="auto"/>
        <w:bottom w:val="none" w:sz="0" w:space="0" w:color="auto"/>
        <w:right w:val="none" w:sz="0" w:space="0" w:color="auto"/>
      </w:divBdr>
    </w:div>
    <w:div w:id="973098388">
      <w:bodyDiv w:val="1"/>
      <w:marLeft w:val="0"/>
      <w:marRight w:val="0"/>
      <w:marTop w:val="0"/>
      <w:marBottom w:val="0"/>
      <w:divBdr>
        <w:top w:val="none" w:sz="0" w:space="0" w:color="auto"/>
        <w:left w:val="none" w:sz="0" w:space="0" w:color="auto"/>
        <w:bottom w:val="none" w:sz="0" w:space="0" w:color="auto"/>
        <w:right w:val="none" w:sz="0" w:space="0" w:color="auto"/>
      </w:divBdr>
    </w:div>
    <w:div w:id="999381273">
      <w:bodyDiv w:val="1"/>
      <w:marLeft w:val="0"/>
      <w:marRight w:val="0"/>
      <w:marTop w:val="0"/>
      <w:marBottom w:val="0"/>
      <w:divBdr>
        <w:top w:val="none" w:sz="0" w:space="0" w:color="auto"/>
        <w:left w:val="none" w:sz="0" w:space="0" w:color="auto"/>
        <w:bottom w:val="none" w:sz="0" w:space="0" w:color="auto"/>
        <w:right w:val="none" w:sz="0" w:space="0" w:color="auto"/>
      </w:divBdr>
    </w:div>
    <w:div w:id="1014379631">
      <w:bodyDiv w:val="1"/>
      <w:marLeft w:val="0"/>
      <w:marRight w:val="0"/>
      <w:marTop w:val="0"/>
      <w:marBottom w:val="0"/>
      <w:divBdr>
        <w:top w:val="none" w:sz="0" w:space="0" w:color="auto"/>
        <w:left w:val="none" w:sz="0" w:space="0" w:color="auto"/>
        <w:bottom w:val="none" w:sz="0" w:space="0" w:color="auto"/>
        <w:right w:val="none" w:sz="0" w:space="0" w:color="auto"/>
      </w:divBdr>
    </w:div>
    <w:div w:id="1016271252">
      <w:bodyDiv w:val="1"/>
      <w:marLeft w:val="0"/>
      <w:marRight w:val="0"/>
      <w:marTop w:val="0"/>
      <w:marBottom w:val="0"/>
      <w:divBdr>
        <w:top w:val="none" w:sz="0" w:space="0" w:color="auto"/>
        <w:left w:val="none" w:sz="0" w:space="0" w:color="auto"/>
        <w:bottom w:val="none" w:sz="0" w:space="0" w:color="auto"/>
        <w:right w:val="none" w:sz="0" w:space="0" w:color="auto"/>
      </w:divBdr>
    </w:div>
    <w:div w:id="1019548992">
      <w:bodyDiv w:val="1"/>
      <w:marLeft w:val="0"/>
      <w:marRight w:val="0"/>
      <w:marTop w:val="0"/>
      <w:marBottom w:val="0"/>
      <w:divBdr>
        <w:top w:val="none" w:sz="0" w:space="0" w:color="auto"/>
        <w:left w:val="none" w:sz="0" w:space="0" w:color="auto"/>
        <w:bottom w:val="none" w:sz="0" w:space="0" w:color="auto"/>
        <w:right w:val="none" w:sz="0" w:space="0" w:color="auto"/>
      </w:divBdr>
    </w:div>
    <w:div w:id="1039162380">
      <w:bodyDiv w:val="1"/>
      <w:marLeft w:val="0"/>
      <w:marRight w:val="0"/>
      <w:marTop w:val="0"/>
      <w:marBottom w:val="0"/>
      <w:divBdr>
        <w:top w:val="none" w:sz="0" w:space="0" w:color="auto"/>
        <w:left w:val="none" w:sz="0" w:space="0" w:color="auto"/>
        <w:bottom w:val="none" w:sz="0" w:space="0" w:color="auto"/>
        <w:right w:val="none" w:sz="0" w:space="0" w:color="auto"/>
      </w:divBdr>
    </w:div>
    <w:div w:id="1054768141">
      <w:bodyDiv w:val="1"/>
      <w:marLeft w:val="0"/>
      <w:marRight w:val="0"/>
      <w:marTop w:val="0"/>
      <w:marBottom w:val="0"/>
      <w:divBdr>
        <w:top w:val="none" w:sz="0" w:space="0" w:color="auto"/>
        <w:left w:val="none" w:sz="0" w:space="0" w:color="auto"/>
        <w:bottom w:val="none" w:sz="0" w:space="0" w:color="auto"/>
        <w:right w:val="none" w:sz="0" w:space="0" w:color="auto"/>
      </w:divBdr>
    </w:div>
    <w:div w:id="1060058669">
      <w:bodyDiv w:val="1"/>
      <w:marLeft w:val="0"/>
      <w:marRight w:val="0"/>
      <w:marTop w:val="0"/>
      <w:marBottom w:val="0"/>
      <w:divBdr>
        <w:top w:val="none" w:sz="0" w:space="0" w:color="auto"/>
        <w:left w:val="none" w:sz="0" w:space="0" w:color="auto"/>
        <w:bottom w:val="none" w:sz="0" w:space="0" w:color="auto"/>
        <w:right w:val="none" w:sz="0" w:space="0" w:color="auto"/>
      </w:divBdr>
    </w:div>
    <w:div w:id="1069425790">
      <w:bodyDiv w:val="1"/>
      <w:marLeft w:val="0"/>
      <w:marRight w:val="0"/>
      <w:marTop w:val="0"/>
      <w:marBottom w:val="0"/>
      <w:divBdr>
        <w:top w:val="none" w:sz="0" w:space="0" w:color="auto"/>
        <w:left w:val="none" w:sz="0" w:space="0" w:color="auto"/>
        <w:bottom w:val="none" w:sz="0" w:space="0" w:color="auto"/>
        <w:right w:val="none" w:sz="0" w:space="0" w:color="auto"/>
      </w:divBdr>
    </w:div>
    <w:div w:id="1112630244">
      <w:bodyDiv w:val="1"/>
      <w:marLeft w:val="0"/>
      <w:marRight w:val="0"/>
      <w:marTop w:val="0"/>
      <w:marBottom w:val="0"/>
      <w:divBdr>
        <w:top w:val="none" w:sz="0" w:space="0" w:color="auto"/>
        <w:left w:val="none" w:sz="0" w:space="0" w:color="auto"/>
        <w:bottom w:val="none" w:sz="0" w:space="0" w:color="auto"/>
        <w:right w:val="none" w:sz="0" w:space="0" w:color="auto"/>
      </w:divBdr>
    </w:div>
    <w:div w:id="1136606111">
      <w:bodyDiv w:val="1"/>
      <w:marLeft w:val="0"/>
      <w:marRight w:val="0"/>
      <w:marTop w:val="0"/>
      <w:marBottom w:val="0"/>
      <w:divBdr>
        <w:top w:val="none" w:sz="0" w:space="0" w:color="auto"/>
        <w:left w:val="none" w:sz="0" w:space="0" w:color="auto"/>
        <w:bottom w:val="none" w:sz="0" w:space="0" w:color="auto"/>
        <w:right w:val="none" w:sz="0" w:space="0" w:color="auto"/>
      </w:divBdr>
    </w:div>
    <w:div w:id="1157724984">
      <w:bodyDiv w:val="1"/>
      <w:marLeft w:val="0"/>
      <w:marRight w:val="0"/>
      <w:marTop w:val="0"/>
      <w:marBottom w:val="0"/>
      <w:divBdr>
        <w:top w:val="none" w:sz="0" w:space="0" w:color="auto"/>
        <w:left w:val="none" w:sz="0" w:space="0" w:color="auto"/>
        <w:bottom w:val="none" w:sz="0" w:space="0" w:color="auto"/>
        <w:right w:val="none" w:sz="0" w:space="0" w:color="auto"/>
      </w:divBdr>
    </w:div>
    <w:div w:id="1182428261">
      <w:bodyDiv w:val="1"/>
      <w:marLeft w:val="0"/>
      <w:marRight w:val="0"/>
      <w:marTop w:val="0"/>
      <w:marBottom w:val="0"/>
      <w:divBdr>
        <w:top w:val="none" w:sz="0" w:space="0" w:color="auto"/>
        <w:left w:val="none" w:sz="0" w:space="0" w:color="auto"/>
        <w:bottom w:val="none" w:sz="0" w:space="0" w:color="auto"/>
        <w:right w:val="none" w:sz="0" w:space="0" w:color="auto"/>
      </w:divBdr>
    </w:div>
    <w:div w:id="1221744067">
      <w:bodyDiv w:val="1"/>
      <w:marLeft w:val="0"/>
      <w:marRight w:val="0"/>
      <w:marTop w:val="0"/>
      <w:marBottom w:val="0"/>
      <w:divBdr>
        <w:top w:val="none" w:sz="0" w:space="0" w:color="auto"/>
        <w:left w:val="none" w:sz="0" w:space="0" w:color="auto"/>
        <w:bottom w:val="none" w:sz="0" w:space="0" w:color="auto"/>
        <w:right w:val="none" w:sz="0" w:space="0" w:color="auto"/>
      </w:divBdr>
    </w:div>
    <w:div w:id="1230119829">
      <w:bodyDiv w:val="1"/>
      <w:marLeft w:val="0"/>
      <w:marRight w:val="0"/>
      <w:marTop w:val="0"/>
      <w:marBottom w:val="0"/>
      <w:divBdr>
        <w:top w:val="none" w:sz="0" w:space="0" w:color="auto"/>
        <w:left w:val="none" w:sz="0" w:space="0" w:color="auto"/>
        <w:bottom w:val="none" w:sz="0" w:space="0" w:color="auto"/>
        <w:right w:val="none" w:sz="0" w:space="0" w:color="auto"/>
      </w:divBdr>
    </w:div>
    <w:div w:id="1232540726">
      <w:bodyDiv w:val="1"/>
      <w:marLeft w:val="0"/>
      <w:marRight w:val="0"/>
      <w:marTop w:val="0"/>
      <w:marBottom w:val="0"/>
      <w:divBdr>
        <w:top w:val="none" w:sz="0" w:space="0" w:color="auto"/>
        <w:left w:val="none" w:sz="0" w:space="0" w:color="auto"/>
        <w:bottom w:val="none" w:sz="0" w:space="0" w:color="auto"/>
        <w:right w:val="none" w:sz="0" w:space="0" w:color="auto"/>
      </w:divBdr>
    </w:div>
    <w:div w:id="1268122652">
      <w:bodyDiv w:val="1"/>
      <w:marLeft w:val="0"/>
      <w:marRight w:val="0"/>
      <w:marTop w:val="0"/>
      <w:marBottom w:val="0"/>
      <w:divBdr>
        <w:top w:val="none" w:sz="0" w:space="0" w:color="auto"/>
        <w:left w:val="none" w:sz="0" w:space="0" w:color="auto"/>
        <w:bottom w:val="none" w:sz="0" w:space="0" w:color="auto"/>
        <w:right w:val="none" w:sz="0" w:space="0" w:color="auto"/>
      </w:divBdr>
    </w:div>
    <w:div w:id="1268271162">
      <w:bodyDiv w:val="1"/>
      <w:marLeft w:val="0"/>
      <w:marRight w:val="0"/>
      <w:marTop w:val="0"/>
      <w:marBottom w:val="0"/>
      <w:divBdr>
        <w:top w:val="none" w:sz="0" w:space="0" w:color="auto"/>
        <w:left w:val="none" w:sz="0" w:space="0" w:color="auto"/>
        <w:bottom w:val="none" w:sz="0" w:space="0" w:color="auto"/>
        <w:right w:val="none" w:sz="0" w:space="0" w:color="auto"/>
      </w:divBdr>
    </w:div>
    <w:div w:id="1268655838">
      <w:bodyDiv w:val="1"/>
      <w:marLeft w:val="0"/>
      <w:marRight w:val="0"/>
      <w:marTop w:val="0"/>
      <w:marBottom w:val="0"/>
      <w:divBdr>
        <w:top w:val="none" w:sz="0" w:space="0" w:color="auto"/>
        <w:left w:val="none" w:sz="0" w:space="0" w:color="auto"/>
        <w:bottom w:val="none" w:sz="0" w:space="0" w:color="auto"/>
        <w:right w:val="none" w:sz="0" w:space="0" w:color="auto"/>
      </w:divBdr>
    </w:div>
    <w:div w:id="1376198456">
      <w:bodyDiv w:val="1"/>
      <w:marLeft w:val="0"/>
      <w:marRight w:val="0"/>
      <w:marTop w:val="0"/>
      <w:marBottom w:val="0"/>
      <w:divBdr>
        <w:top w:val="none" w:sz="0" w:space="0" w:color="auto"/>
        <w:left w:val="none" w:sz="0" w:space="0" w:color="auto"/>
        <w:bottom w:val="none" w:sz="0" w:space="0" w:color="auto"/>
        <w:right w:val="none" w:sz="0" w:space="0" w:color="auto"/>
      </w:divBdr>
    </w:div>
    <w:div w:id="1379665666">
      <w:bodyDiv w:val="1"/>
      <w:marLeft w:val="0"/>
      <w:marRight w:val="0"/>
      <w:marTop w:val="0"/>
      <w:marBottom w:val="0"/>
      <w:divBdr>
        <w:top w:val="none" w:sz="0" w:space="0" w:color="auto"/>
        <w:left w:val="none" w:sz="0" w:space="0" w:color="auto"/>
        <w:bottom w:val="none" w:sz="0" w:space="0" w:color="auto"/>
        <w:right w:val="none" w:sz="0" w:space="0" w:color="auto"/>
      </w:divBdr>
    </w:div>
    <w:div w:id="1445223872">
      <w:bodyDiv w:val="1"/>
      <w:marLeft w:val="0"/>
      <w:marRight w:val="0"/>
      <w:marTop w:val="0"/>
      <w:marBottom w:val="0"/>
      <w:divBdr>
        <w:top w:val="none" w:sz="0" w:space="0" w:color="auto"/>
        <w:left w:val="none" w:sz="0" w:space="0" w:color="auto"/>
        <w:bottom w:val="none" w:sz="0" w:space="0" w:color="auto"/>
        <w:right w:val="none" w:sz="0" w:space="0" w:color="auto"/>
      </w:divBdr>
    </w:div>
    <w:div w:id="1495562142">
      <w:bodyDiv w:val="1"/>
      <w:marLeft w:val="0"/>
      <w:marRight w:val="0"/>
      <w:marTop w:val="0"/>
      <w:marBottom w:val="0"/>
      <w:divBdr>
        <w:top w:val="none" w:sz="0" w:space="0" w:color="auto"/>
        <w:left w:val="none" w:sz="0" w:space="0" w:color="auto"/>
        <w:bottom w:val="none" w:sz="0" w:space="0" w:color="auto"/>
        <w:right w:val="none" w:sz="0" w:space="0" w:color="auto"/>
      </w:divBdr>
    </w:div>
    <w:div w:id="1502546968">
      <w:bodyDiv w:val="1"/>
      <w:marLeft w:val="0"/>
      <w:marRight w:val="0"/>
      <w:marTop w:val="0"/>
      <w:marBottom w:val="0"/>
      <w:divBdr>
        <w:top w:val="none" w:sz="0" w:space="0" w:color="auto"/>
        <w:left w:val="none" w:sz="0" w:space="0" w:color="auto"/>
        <w:bottom w:val="none" w:sz="0" w:space="0" w:color="auto"/>
        <w:right w:val="none" w:sz="0" w:space="0" w:color="auto"/>
      </w:divBdr>
    </w:div>
    <w:div w:id="1525484082">
      <w:bodyDiv w:val="1"/>
      <w:marLeft w:val="0"/>
      <w:marRight w:val="0"/>
      <w:marTop w:val="0"/>
      <w:marBottom w:val="0"/>
      <w:divBdr>
        <w:top w:val="none" w:sz="0" w:space="0" w:color="auto"/>
        <w:left w:val="none" w:sz="0" w:space="0" w:color="auto"/>
        <w:bottom w:val="none" w:sz="0" w:space="0" w:color="auto"/>
        <w:right w:val="none" w:sz="0" w:space="0" w:color="auto"/>
      </w:divBdr>
    </w:div>
    <w:div w:id="1560825613">
      <w:bodyDiv w:val="1"/>
      <w:marLeft w:val="0"/>
      <w:marRight w:val="0"/>
      <w:marTop w:val="0"/>
      <w:marBottom w:val="0"/>
      <w:divBdr>
        <w:top w:val="none" w:sz="0" w:space="0" w:color="auto"/>
        <w:left w:val="none" w:sz="0" w:space="0" w:color="auto"/>
        <w:bottom w:val="none" w:sz="0" w:space="0" w:color="auto"/>
        <w:right w:val="none" w:sz="0" w:space="0" w:color="auto"/>
      </w:divBdr>
    </w:div>
    <w:div w:id="1573076402">
      <w:bodyDiv w:val="1"/>
      <w:marLeft w:val="0"/>
      <w:marRight w:val="0"/>
      <w:marTop w:val="0"/>
      <w:marBottom w:val="0"/>
      <w:divBdr>
        <w:top w:val="none" w:sz="0" w:space="0" w:color="auto"/>
        <w:left w:val="none" w:sz="0" w:space="0" w:color="auto"/>
        <w:bottom w:val="none" w:sz="0" w:space="0" w:color="auto"/>
        <w:right w:val="none" w:sz="0" w:space="0" w:color="auto"/>
      </w:divBdr>
    </w:div>
    <w:div w:id="1598949999">
      <w:bodyDiv w:val="1"/>
      <w:marLeft w:val="0"/>
      <w:marRight w:val="0"/>
      <w:marTop w:val="0"/>
      <w:marBottom w:val="0"/>
      <w:divBdr>
        <w:top w:val="none" w:sz="0" w:space="0" w:color="auto"/>
        <w:left w:val="none" w:sz="0" w:space="0" w:color="auto"/>
        <w:bottom w:val="none" w:sz="0" w:space="0" w:color="auto"/>
        <w:right w:val="none" w:sz="0" w:space="0" w:color="auto"/>
      </w:divBdr>
    </w:div>
    <w:div w:id="1624849064">
      <w:bodyDiv w:val="1"/>
      <w:marLeft w:val="0"/>
      <w:marRight w:val="0"/>
      <w:marTop w:val="0"/>
      <w:marBottom w:val="0"/>
      <w:divBdr>
        <w:top w:val="none" w:sz="0" w:space="0" w:color="auto"/>
        <w:left w:val="none" w:sz="0" w:space="0" w:color="auto"/>
        <w:bottom w:val="none" w:sz="0" w:space="0" w:color="auto"/>
        <w:right w:val="none" w:sz="0" w:space="0" w:color="auto"/>
      </w:divBdr>
    </w:div>
    <w:div w:id="1642922827">
      <w:bodyDiv w:val="1"/>
      <w:marLeft w:val="0"/>
      <w:marRight w:val="0"/>
      <w:marTop w:val="0"/>
      <w:marBottom w:val="0"/>
      <w:divBdr>
        <w:top w:val="none" w:sz="0" w:space="0" w:color="auto"/>
        <w:left w:val="none" w:sz="0" w:space="0" w:color="auto"/>
        <w:bottom w:val="none" w:sz="0" w:space="0" w:color="auto"/>
        <w:right w:val="none" w:sz="0" w:space="0" w:color="auto"/>
      </w:divBdr>
    </w:div>
    <w:div w:id="1646931937">
      <w:bodyDiv w:val="1"/>
      <w:marLeft w:val="0"/>
      <w:marRight w:val="0"/>
      <w:marTop w:val="0"/>
      <w:marBottom w:val="0"/>
      <w:divBdr>
        <w:top w:val="none" w:sz="0" w:space="0" w:color="auto"/>
        <w:left w:val="none" w:sz="0" w:space="0" w:color="auto"/>
        <w:bottom w:val="none" w:sz="0" w:space="0" w:color="auto"/>
        <w:right w:val="none" w:sz="0" w:space="0" w:color="auto"/>
      </w:divBdr>
    </w:div>
    <w:div w:id="1684819844">
      <w:bodyDiv w:val="1"/>
      <w:marLeft w:val="0"/>
      <w:marRight w:val="0"/>
      <w:marTop w:val="0"/>
      <w:marBottom w:val="0"/>
      <w:divBdr>
        <w:top w:val="none" w:sz="0" w:space="0" w:color="auto"/>
        <w:left w:val="none" w:sz="0" w:space="0" w:color="auto"/>
        <w:bottom w:val="none" w:sz="0" w:space="0" w:color="auto"/>
        <w:right w:val="none" w:sz="0" w:space="0" w:color="auto"/>
      </w:divBdr>
    </w:div>
    <w:div w:id="1700010799">
      <w:bodyDiv w:val="1"/>
      <w:marLeft w:val="0"/>
      <w:marRight w:val="0"/>
      <w:marTop w:val="0"/>
      <w:marBottom w:val="0"/>
      <w:divBdr>
        <w:top w:val="none" w:sz="0" w:space="0" w:color="auto"/>
        <w:left w:val="none" w:sz="0" w:space="0" w:color="auto"/>
        <w:bottom w:val="none" w:sz="0" w:space="0" w:color="auto"/>
        <w:right w:val="none" w:sz="0" w:space="0" w:color="auto"/>
      </w:divBdr>
    </w:div>
    <w:div w:id="1705708862">
      <w:bodyDiv w:val="1"/>
      <w:marLeft w:val="0"/>
      <w:marRight w:val="0"/>
      <w:marTop w:val="0"/>
      <w:marBottom w:val="0"/>
      <w:divBdr>
        <w:top w:val="none" w:sz="0" w:space="0" w:color="auto"/>
        <w:left w:val="none" w:sz="0" w:space="0" w:color="auto"/>
        <w:bottom w:val="none" w:sz="0" w:space="0" w:color="auto"/>
        <w:right w:val="none" w:sz="0" w:space="0" w:color="auto"/>
      </w:divBdr>
    </w:div>
    <w:div w:id="1742293991">
      <w:bodyDiv w:val="1"/>
      <w:marLeft w:val="0"/>
      <w:marRight w:val="0"/>
      <w:marTop w:val="0"/>
      <w:marBottom w:val="0"/>
      <w:divBdr>
        <w:top w:val="none" w:sz="0" w:space="0" w:color="auto"/>
        <w:left w:val="none" w:sz="0" w:space="0" w:color="auto"/>
        <w:bottom w:val="none" w:sz="0" w:space="0" w:color="auto"/>
        <w:right w:val="none" w:sz="0" w:space="0" w:color="auto"/>
      </w:divBdr>
    </w:div>
    <w:div w:id="1795978382">
      <w:bodyDiv w:val="1"/>
      <w:marLeft w:val="0"/>
      <w:marRight w:val="0"/>
      <w:marTop w:val="0"/>
      <w:marBottom w:val="0"/>
      <w:divBdr>
        <w:top w:val="none" w:sz="0" w:space="0" w:color="auto"/>
        <w:left w:val="none" w:sz="0" w:space="0" w:color="auto"/>
        <w:bottom w:val="none" w:sz="0" w:space="0" w:color="auto"/>
        <w:right w:val="none" w:sz="0" w:space="0" w:color="auto"/>
      </w:divBdr>
      <w:divsChild>
        <w:div w:id="137646859">
          <w:marLeft w:val="0"/>
          <w:marRight w:val="0"/>
          <w:marTop w:val="0"/>
          <w:marBottom w:val="0"/>
          <w:divBdr>
            <w:top w:val="none" w:sz="0" w:space="0" w:color="auto"/>
            <w:left w:val="none" w:sz="0" w:space="0" w:color="auto"/>
            <w:bottom w:val="none" w:sz="0" w:space="0" w:color="auto"/>
            <w:right w:val="none" w:sz="0" w:space="0" w:color="auto"/>
          </w:divBdr>
        </w:div>
      </w:divsChild>
    </w:div>
    <w:div w:id="1814371395">
      <w:bodyDiv w:val="1"/>
      <w:marLeft w:val="0"/>
      <w:marRight w:val="0"/>
      <w:marTop w:val="0"/>
      <w:marBottom w:val="0"/>
      <w:divBdr>
        <w:top w:val="none" w:sz="0" w:space="0" w:color="auto"/>
        <w:left w:val="none" w:sz="0" w:space="0" w:color="auto"/>
        <w:bottom w:val="none" w:sz="0" w:space="0" w:color="auto"/>
        <w:right w:val="none" w:sz="0" w:space="0" w:color="auto"/>
      </w:divBdr>
    </w:div>
    <w:div w:id="1827673255">
      <w:bodyDiv w:val="1"/>
      <w:marLeft w:val="0"/>
      <w:marRight w:val="0"/>
      <w:marTop w:val="0"/>
      <w:marBottom w:val="0"/>
      <w:divBdr>
        <w:top w:val="none" w:sz="0" w:space="0" w:color="auto"/>
        <w:left w:val="none" w:sz="0" w:space="0" w:color="auto"/>
        <w:bottom w:val="none" w:sz="0" w:space="0" w:color="auto"/>
        <w:right w:val="none" w:sz="0" w:space="0" w:color="auto"/>
      </w:divBdr>
    </w:div>
    <w:div w:id="1831404209">
      <w:bodyDiv w:val="1"/>
      <w:marLeft w:val="0"/>
      <w:marRight w:val="0"/>
      <w:marTop w:val="0"/>
      <w:marBottom w:val="0"/>
      <w:divBdr>
        <w:top w:val="none" w:sz="0" w:space="0" w:color="auto"/>
        <w:left w:val="none" w:sz="0" w:space="0" w:color="auto"/>
        <w:bottom w:val="none" w:sz="0" w:space="0" w:color="auto"/>
        <w:right w:val="none" w:sz="0" w:space="0" w:color="auto"/>
      </w:divBdr>
    </w:div>
    <w:div w:id="1873376374">
      <w:bodyDiv w:val="1"/>
      <w:marLeft w:val="0"/>
      <w:marRight w:val="0"/>
      <w:marTop w:val="0"/>
      <w:marBottom w:val="0"/>
      <w:divBdr>
        <w:top w:val="none" w:sz="0" w:space="0" w:color="auto"/>
        <w:left w:val="none" w:sz="0" w:space="0" w:color="auto"/>
        <w:bottom w:val="none" w:sz="0" w:space="0" w:color="auto"/>
        <w:right w:val="none" w:sz="0" w:space="0" w:color="auto"/>
      </w:divBdr>
    </w:div>
    <w:div w:id="1882857372">
      <w:bodyDiv w:val="1"/>
      <w:marLeft w:val="0"/>
      <w:marRight w:val="0"/>
      <w:marTop w:val="0"/>
      <w:marBottom w:val="0"/>
      <w:divBdr>
        <w:top w:val="none" w:sz="0" w:space="0" w:color="auto"/>
        <w:left w:val="none" w:sz="0" w:space="0" w:color="auto"/>
        <w:bottom w:val="none" w:sz="0" w:space="0" w:color="auto"/>
        <w:right w:val="none" w:sz="0" w:space="0" w:color="auto"/>
      </w:divBdr>
    </w:div>
    <w:div w:id="1896619252">
      <w:bodyDiv w:val="1"/>
      <w:marLeft w:val="0"/>
      <w:marRight w:val="0"/>
      <w:marTop w:val="0"/>
      <w:marBottom w:val="0"/>
      <w:divBdr>
        <w:top w:val="none" w:sz="0" w:space="0" w:color="auto"/>
        <w:left w:val="none" w:sz="0" w:space="0" w:color="auto"/>
        <w:bottom w:val="none" w:sz="0" w:space="0" w:color="auto"/>
        <w:right w:val="none" w:sz="0" w:space="0" w:color="auto"/>
      </w:divBdr>
    </w:div>
    <w:div w:id="1921983391">
      <w:bodyDiv w:val="1"/>
      <w:marLeft w:val="0"/>
      <w:marRight w:val="0"/>
      <w:marTop w:val="0"/>
      <w:marBottom w:val="0"/>
      <w:divBdr>
        <w:top w:val="none" w:sz="0" w:space="0" w:color="auto"/>
        <w:left w:val="none" w:sz="0" w:space="0" w:color="auto"/>
        <w:bottom w:val="none" w:sz="0" w:space="0" w:color="auto"/>
        <w:right w:val="none" w:sz="0" w:space="0" w:color="auto"/>
      </w:divBdr>
    </w:div>
    <w:div w:id="1962689183">
      <w:bodyDiv w:val="1"/>
      <w:marLeft w:val="0"/>
      <w:marRight w:val="0"/>
      <w:marTop w:val="0"/>
      <w:marBottom w:val="0"/>
      <w:divBdr>
        <w:top w:val="none" w:sz="0" w:space="0" w:color="auto"/>
        <w:left w:val="none" w:sz="0" w:space="0" w:color="auto"/>
        <w:bottom w:val="none" w:sz="0" w:space="0" w:color="auto"/>
        <w:right w:val="none" w:sz="0" w:space="0" w:color="auto"/>
      </w:divBdr>
    </w:div>
    <w:div w:id="2009944547">
      <w:bodyDiv w:val="1"/>
      <w:marLeft w:val="0"/>
      <w:marRight w:val="0"/>
      <w:marTop w:val="0"/>
      <w:marBottom w:val="0"/>
      <w:divBdr>
        <w:top w:val="none" w:sz="0" w:space="0" w:color="auto"/>
        <w:left w:val="none" w:sz="0" w:space="0" w:color="auto"/>
        <w:bottom w:val="none" w:sz="0" w:space="0" w:color="auto"/>
        <w:right w:val="none" w:sz="0" w:space="0" w:color="auto"/>
      </w:divBdr>
    </w:div>
    <w:div w:id="2017491938">
      <w:bodyDiv w:val="1"/>
      <w:marLeft w:val="0"/>
      <w:marRight w:val="0"/>
      <w:marTop w:val="0"/>
      <w:marBottom w:val="0"/>
      <w:divBdr>
        <w:top w:val="none" w:sz="0" w:space="0" w:color="auto"/>
        <w:left w:val="none" w:sz="0" w:space="0" w:color="auto"/>
        <w:bottom w:val="none" w:sz="0" w:space="0" w:color="auto"/>
        <w:right w:val="none" w:sz="0" w:space="0" w:color="auto"/>
      </w:divBdr>
    </w:div>
    <w:div w:id="203830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OMSOL public">
  <a:themeElements>
    <a:clrScheme name="COMSOL 1">
      <a:dk1>
        <a:srgbClr val="393A39"/>
      </a:dk1>
      <a:lt1>
        <a:srgbClr val="FFFFFF"/>
      </a:lt1>
      <a:dk2>
        <a:srgbClr val="12192D"/>
      </a:dk2>
      <a:lt2>
        <a:srgbClr val="BDD2DE"/>
      </a:lt2>
      <a:accent1>
        <a:srgbClr val="1B4D81"/>
      </a:accent1>
      <a:accent2>
        <a:srgbClr val="3B80B6"/>
      </a:accent2>
      <a:accent3>
        <a:srgbClr val="E39C47"/>
      </a:accent3>
      <a:accent4>
        <a:srgbClr val="D5572D"/>
      </a:accent4>
      <a:accent5>
        <a:srgbClr val="3C7881"/>
      </a:accent5>
      <a:accent6>
        <a:srgbClr val="AAD3C5"/>
      </a:accent6>
      <a:hlink>
        <a:srgbClr val="3B80B6"/>
      </a:hlink>
      <a:folHlink>
        <a:srgbClr val="1A4D83"/>
      </a:folHlink>
    </a:clrScheme>
    <a:fontScheme name="COMSOL">
      <a:majorFont>
        <a:latin typeface="Lato"/>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MSOL public" id="{BFF91A91-0F56-4B15-9519-35A0B29B32F8}" vid="{9D4C4376-88FD-4F2C-A0A6-B06594B24C9C}"/>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A93178-6F49-4423-ACE6-A440416CA8EE}">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JD23</b:Tag>
    <b:SourceType>ConferenceProceedings</b:SourceType>
    <b:Guid>{A69F96DF-4768-4465-A772-3C2CB1AC6D04}</b:Guid>
    <b:Author>
      <b:Author>
        <b:NameList>
          <b:Person>
            <b:Last>Doe</b:Last>
            <b:First>John</b:First>
          </b:Person>
        </b:NameList>
      </b:Author>
    </b:Author>
    <b:Title>Conference Paper Title</b:Title>
    <b:Pages>22-23</b:Pages>
    <b:Year>2023</b:Year>
    <b:ConferenceName>Conference Name</b:ConferenceName>
    <b:City>Munich</b:City>
    <b:Publisher>Publisher</b:Publisher>
    <b:LCID>en-US</b:LCID>
    <b:RefOrder>1</b:RefOrder>
  </b:Source>
  <b:Source>
    <b:Tag>JR23</b:Tag>
    <b:SourceType>JournalArticle</b:SourceType>
    <b:Guid>{41E27FBB-B60C-46A1-992A-055E3F021170}</b:Guid>
    <b:Title>Journal Paper Title</b:Title>
    <b:Pages>44-45</b:Pages>
    <b:Year>2023</b:Year>
    <b:Author>
      <b:Author>
        <b:NameList>
          <b:Person>
            <b:Last>Roe</b:Last>
            <b:First>Jane</b:First>
          </b:Person>
          <b:Person>
            <b:Last>Doe</b:Last>
            <b:First>John</b:First>
          </b:Person>
        </b:NameList>
      </b:Author>
    </b:Author>
    <b:JournalName>Journal Name</b:JournalName>
    <b:LCID>en-US</b:LCID>
    <b:RefOrder>2</b:RefOrder>
  </b:Source>
</b:Sources>
</file>

<file path=customXml/itemProps1.xml><?xml version="1.0" encoding="utf-8"?>
<ds:datastoreItem xmlns:ds="http://schemas.openxmlformats.org/officeDocument/2006/customXml" ds:itemID="{397F0FB3-010B-46D4-AB5A-376D64B5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4564</TotalTime>
  <Pages>1</Pages>
  <Words>3091</Words>
  <Characters>17619</Characters>
  <Application>Microsoft Office Word</Application>
  <DocSecurity>0</DocSecurity>
  <Lines>146</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Comsol Multiphysics GmbH</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Oberdorfer</dc:creator>
  <cp:keywords/>
  <dc:description/>
  <cp:lastModifiedBy>Tiwari, Aadittya</cp:lastModifiedBy>
  <cp:revision>4</cp:revision>
  <dcterms:created xsi:type="dcterms:W3CDTF">2026-10-13T08:25:00Z</dcterms:created>
  <dcterms:modified xsi:type="dcterms:W3CDTF">2026-10-16T12:24:00Z</dcterms:modified>
</cp:coreProperties>
</file>