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56"/>
        </w:rPr>
        <w:t>Global Launch Analysis</w:t>
      </w:r>
    </w:p>
    <w:p>
      <w:r>
        <w:rPr>
          <w:color w:val="8D99AE"/>
          <w:sz w:val="22"/>
        </w:rPr>
        <w:t>Launches 2002 to 2026  |  Generated 19 September 2026</w:t>
      </w:r>
    </w:p>
    <w:p>
      <w:pPr>
        <w:pStyle w:val="Heading1"/>
      </w:pPr>
      <w:r>
        <w:t>Key findings</w:t>
      </w:r>
    </w:p>
    <w:p>
      <w:pPr>
        <w:pStyle w:val="ListBullet"/>
      </w:pPr>
      <w:r>
        <w:t>3,000 completed launches between 2002 and 2026, with an overall success rate of 94.6%.</w:t>
      </w:r>
    </w:p>
    <w:p>
      <w:pPr>
        <w:pStyle w:val="ListBullet"/>
      </w:pPr>
      <w:r>
        <w:t>Busiest year: 2025 with 341 launches.</w:t>
      </w:r>
    </w:p>
    <w:p>
      <w:pPr>
        <w:pStyle w:val="ListBullet"/>
      </w:pPr>
      <w:r>
        <w:t>Most active provider: SpaceX (24% of all launches).</w:t>
      </w:r>
    </w:p>
    <w:p>
      <w:pPr>
        <w:pStyle w:val="ListBullet"/>
      </w:pPr>
      <w:r>
        <w:t>Most launched rocket: Falcon 9 (689 launches).</w:t>
      </w:r>
    </w:p>
    <w:p>
      <w:pPr>
        <w:pStyle w:val="ListBullet"/>
      </w:pPr>
      <w:r>
        <w:t>Among rockets with at least 20 launches, Atlas V 401 has the highest success rate (100.0%) and Rokot/Briz-KM the lowest (89.3%).</w:t>
      </w:r>
    </w:p>
    <w:p>
      <w:pPr>
        <w:pStyle w:val="Heading1"/>
      </w:pPr>
      <w:r>
        <w:t>Launches over time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73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unches_per_ye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D99AE"/>
          <w:sz w:val="18"/>
        </w:rPr>
        <w:t>Figure 1. Launches per year, split by outcome.</w:t>
      </w:r>
    </w:p>
    <w:p>
      <w:pPr>
        <w:pStyle w:val="Heading1"/>
      </w:pPr>
      <w:r>
        <w:t>Reliability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73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ccess_by_decad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D99AE"/>
          <w:sz w:val="18"/>
        </w:rPr>
        <w:t>Figure 2. Success rate by decade (n = launches in that decade).</w:t>
      </w:r>
    </w:p>
    <w:p>
      <w:pPr>
        <w:pStyle w:val="Heading2"/>
      </w:pPr>
      <w:r>
        <w:t>Reliability by rocket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3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ket_reliabil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D99AE"/>
          <w:sz w:val="18"/>
        </w:rPr>
        <w:t>Figure 3. Success rate of the most-launched rockets (at least 20 launches).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</w:tblPr>
      <w:tblGrid>
        <w:gridCol w:w="3969"/>
        <w:gridCol w:w="1701"/>
        <w:gridCol w:w="1701"/>
        <w:gridCol w:w="1701"/>
      </w:tblGrid>
      <w:tr>
        <w:tc>
          <w:tcPr>
            <w:tcW w:type="dxa" w:w="3969"/>
            <w:shd w:val="clear" w:color="auto" w:fill="1F3A5F"/>
          </w:tcPr>
          <w:p>
            <w:pPr>
              <w:spacing w:before="60" w:after="60"/>
              <w:jc w:val="left"/>
            </w:pPr>
            <w:r/>
            <w:r>
              <w:rPr>
                <w:b/>
                <w:color w:val="FFFFFF"/>
                <w:sz w:val="20"/>
              </w:rPr>
              <w:t>Rocket</w:t>
            </w:r>
          </w:p>
        </w:tc>
        <w:tc>
          <w:tcPr>
            <w:tcW w:type="dxa" w:w="1701"/>
            <w:shd w:val="clear" w:color="auto" w:fill="1F3A5F"/>
          </w:tcPr>
          <w:p>
            <w:pPr>
              <w:spacing w:before="60" w:after="60"/>
              <w:jc w:val="right"/>
            </w:pPr>
            <w:r/>
            <w:r>
              <w:rPr>
                <w:b/>
                <w:color w:val="FFFFFF"/>
                <w:sz w:val="20"/>
              </w:rPr>
              <w:t>Launches</w:t>
            </w:r>
          </w:p>
        </w:tc>
        <w:tc>
          <w:tcPr>
            <w:tcW w:type="dxa" w:w="1701"/>
            <w:shd w:val="clear" w:color="auto" w:fill="1F3A5F"/>
          </w:tcPr>
          <w:p>
            <w:pPr>
              <w:spacing w:before="60" w:after="60"/>
              <w:jc w:val="right"/>
            </w:pPr>
            <w:r/>
            <w:r>
              <w:rPr>
                <w:b/>
                <w:color w:val="FFFFFF"/>
                <w:sz w:val="20"/>
              </w:rPr>
              <w:t>Successes</w:t>
            </w:r>
          </w:p>
        </w:tc>
        <w:tc>
          <w:tcPr>
            <w:tcW w:type="dxa" w:w="1701"/>
            <w:shd w:val="clear" w:color="auto" w:fill="1F3A5F"/>
          </w:tcPr>
          <w:p>
            <w:pPr>
              <w:spacing w:before="60" w:after="60"/>
              <w:jc w:val="right"/>
            </w:pPr>
            <w:r/>
            <w:r>
              <w:rPr>
                <w:b/>
                <w:color w:val="FFFFFF"/>
                <w:sz w:val="20"/>
              </w:rPr>
              <w:t>Success rate</w:t>
            </w:r>
          </w:p>
        </w:tc>
      </w:tr>
      <w:tr>
        <w:tc>
          <w:tcPr>
            <w:tcW w:type="dxa" w:w="3969"/>
          </w:tcPr>
          <w:p>
            <w:pPr>
              <w:spacing w:before="60" w:after="60"/>
              <w:jc w:val="left"/>
            </w:pPr>
            <w:r/>
            <w:r>
              <w:rPr>
                <w:sz w:val="20"/>
              </w:rPr>
              <w:t>Falcon 9</w:t>
            </w:r>
          </w:p>
        </w:tc>
        <w:tc>
          <w:tcPr>
            <w:tcW w:type="dxa" w:w="1701"/>
          </w:tcPr>
          <w:p>
            <w:pPr>
              <w:spacing w:before="60" w:after="60"/>
              <w:jc w:val="right"/>
            </w:pPr>
            <w:r/>
            <w:r>
              <w:rPr>
                <w:sz w:val="20"/>
              </w:rPr>
              <w:t>689</w:t>
            </w:r>
          </w:p>
        </w:tc>
        <w:tc>
          <w:tcPr>
            <w:tcW w:type="dxa" w:w="1701"/>
          </w:tcPr>
          <w:p>
            <w:pPr>
              <w:spacing w:before="60" w:after="60"/>
              <w:jc w:val="right"/>
            </w:pPr>
            <w:r/>
            <w:r>
              <w:rPr>
                <w:sz w:val="20"/>
              </w:rPr>
              <w:t>685</w:t>
            </w:r>
          </w:p>
        </w:tc>
        <w:tc>
          <w:tcPr>
            <w:tcW w:type="dxa" w:w="1701"/>
          </w:tcPr>
          <w:p>
            <w:pPr>
              <w:spacing w:before="60" w:after="60"/>
              <w:jc w:val="right"/>
            </w:pPr>
            <w:r/>
            <w:r>
              <w:rPr>
                <w:sz w:val="20"/>
              </w:rPr>
              <w:t>99.4%</w:t>
            </w:r>
          </w:p>
        </w:tc>
      </w:tr>
      <w:tr>
        <w:tc>
          <w:tcPr>
            <w:tcW w:type="dxa" w:w="3969"/>
            <w:shd w:val="clear" w:color="auto" w:fill="F3F5F8"/>
          </w:tcPr>
          <w:p>
            <w:pPr>
              <w:spacing w:before="60" w:after="60"/>
              <w:jc w:val="left"/>
            </w:pPr>
            <w:r/>
            <w:r>
              <w:rPr>
                <w:sz w:val="20"/>
              </w:rPr>
              <w:t>Long March 2D</w:t>
            </w:r>
          </w:p>
        </w:tc>
        <w:tc>
          <w:tcPr>
            <w:tcW w:type="dxa" w:w="1701"/>
            <w:shd w:val="clear" w:color="auto" w:fill="F3F5F8"/>
          </w:tcPr>
          <w:p>
            <w:pPr>
              <w:spacing w:before="60" w:after="60"/>
              <w:jc w:val="right"/>
            </w:pPr>
            <w:r/>
            <w:r>
              <w:rPr>
                <w:sz w:val="20"/>
              </w:rPr>
              <w:t>98</w:t>
            </w:r>
          </w:p>
        </w:tc>
        <w:tc>
          <w:tcPr>
            <w:tcW w:type="dxa" w:w="1701"/>
            <w:shd w:val="clear" w:color="auto" w:fill="F3F5F8"/>
          </w:tcPr>
          <w:p>
            <w:pPr>
              <w:spacing w:before="60" w:after="60"/>
              <w:jc w:val="right"/>
            </w:pPr>
            <w:r/>
            <w:r>
              <w:rPr>
                <w:sz w:val="20"/>
              </w:rPr>
              <w:t>97</w:t>
            </w:r>
          </w:p>
        </w:tc>
        <w:tc>
          <w:tcPr>
            <w:tcW w:type="dxa" w:w="1701"/>
            <w:shd w:val="clear" w:color="auto" w:fill="F3F5F8"/>
          </w:tcPr>
          <w:p>
            <w:pPr>
              <w:spacing w:before="60" w:after="60"/>
              <w:jc w:val="right"/>
            </w:pPr>
            <w:r/>
            <w:r>
              <w:rPr>
                <w:sz w:val="20"/>
              </w:rPr>
              <w:t>99.0%</w:t>
            </w:r>
          </w:p>
        </w:tc>
      </w:tr>
      <w:tr>
        <w:tc>
          <w:tcPr>
            <w:tcW w:type="dxa" w:w="3969"/>
          </w:tcPr>
          <w:p>
            <w:pPr>
              <w:spacing w:before="60" w:after="60"/>
              <w:jc w:val="left"/>
            </w:pPr>
            <w:r/>
            <w:r>
              <w:rPr>
                <w:sz w:val="20"/>
              </w:rPr>
              <w:t>Electron</w:t>
            </w:r>
          </w:p>
        </w:tc>
        <w:tc>
          <w:tcPr>
            <w:tcW w:type="dxa" w:w="1701"/>
          </w:tcPr>
          <w:p>
            <w:pPr>
              <w:spacing w:before="60" w:after="60"/>
              <w:jc w:val="right"/>
            </w:pPr>
            <w:r/>
            <w:r>
              <w:rPr>
                <w:sz w:val="20"/>
              </w:rPr>
              <w:t>96</w:t>
            </w:r>
          </w:p>
        </w:tc>
        <w:tc>
          <w:tcPr>
            <w:tcW w:type="dxa" w:w="1701"/>
          </w:tcPr>
          <w:p>
            <w:pPr>
              <w:spacing w:before="60" w:after="60"/>
              <w:jc w:val="right"/>
            </w:pPr>
            <w:r/>
            <w:r>
              <w:rPr>
                <w:sz w:val="20"/>
              </w:rPr>
              <w:t>92</w:t>
            </w:r>
          </w:p>
        </w:tc>
        <w:tc>
          <w:tcPr>
            <w:tcW w:type="dxa" w:w="1701"/>
          </w:tcPr>
          <w:p>
            <w:pPr>
              <w:spacing w:before="60" w:after="60"/>
              <w:jc w:val="right"/>
            </w:pPr>
            <w:r/>
            <w:r>
              <w:rPr>
                <w:sz w:val="20"/>
              </w:rPr>
              <w:t>95.8%</w:t>
            </w:r>
          </w:p>
        </w:tc>
      </w:tr>
      <w:tr>
        <w:tc>
          <w:tcPr>
            <w:tcW w:type="dxa" w:w="3969"/>
            <w:shd w:val="clear" w:color="auto" w:fill="F3F5F8"/>
          </w:tcPr>
          <w:p>
            <w:pPr>
              <w:spacing w:before="60" w:after="60"/>
              <w:jc w:val="left"/>
            </w:pPr>
            <w:r/>
            <w:r>
              <w:rPr>
                <w:sz w:val="20"/>
              </w:rPr>
              <w:t>Long March 3B/E</w:t>
            </w:r>
          </w:p>
        </w:tc>
        <w:tc>
          <w:tcPr>
            <w:tcW w:type="dxa" w:w="1701"/>
            <w:shd w:val="clear" w:color="auto" w:fill="F3F5F8"/>
          </w:tcPr>
          <w:p>
            <w:pPr>
              <w:spacing w:before="60" w:after="60"/>
              <w:jc w:val="right"/>
            </w:pPr>
            <w:r/>
            <w:r>
              <w:rPr>
                <w:sz w:val="20"/>
              </w:rPr>
              <w:t>78</w:t>
            </w:r>
          </w:p>
        </w:tc>
        <w:tc>
          <w:tcPr>
            <w:tcW w:type="dxa" w:w="1701"/>
            <w:shd w:val="clear" w:color="auto" w:fill="F3F5F8"/>
          </w:tcPr>
          <w:p>
            <w:pPr>
              <w:spacing w:before="60" w:after="60"/>
              <w:jc w:val="right"/>
            </w:pPr>
            <w:r/>
            <w:r>
              <w:rPr>
                <w:sz w:val="20"/>
              </w:rPr>
              <w:t>76</w:t>
            </w:r>
          </w:p>
        </w:tc>
        <w:tc>
          <w:tcPr>
            <w:tcW w:type="dxa" w:w="1701"/>
            <w:shd w:val="clear" w:color="auto" w:fill="F3F5F8"/>
          </w:tcPr>
          <w:p>
            <w:pPr>
              <w:spacing w:before="60" w:after="60"/>
              <w:jc w:val="right"/>
            </w:pPr>
            <w:r/>
            <w:r>
              <w:rPr>
                <w:sz w:val="20"/>
              </w:rPr>
              <w:t>97.4%</w:t>
            </w:r>
          </w:p>
        </w:tc>
      </w:tr>
      <w:tr>
        <w:tc>
          <w:tcPr>
            <w:tcW w:type="dxa" w:w="3969"/>
          </w:tcPr>
          <w:p>
            <w:pPr>
              <w:spacing w:before="60" w:after="60"/>
              <w:jc w:val="left"/>
            </w:pPr>
            <w:r/>
            <w:r>
              <w:rPr>
                <w:sz w:val="20"/>
              </w:rPr>
              <w:t>Ariane 5 ECA</w:t>
            </w:r>
          </w:p>
        </w:tc>
        <w:tc>
          <w:tcPr>
            <w:tcW w:type="dxa" w:w="1701"/>
          </w:tcPr>
          <w:p>
            <w:pPr>
              <w:spacing w:before="60" w:after="60"/>
              <w:jc w:val="right"/>
            </w:pPr>
            <w:r/>
            <w:r>
              <w:rPr>
                <w:sz w:val="20"/>
              </w:rPr>
              <w:t>73</w:t>
            </w:r>
          </w:p>
        </w:tc>
        <w:tc>
          <w:tcPr>
            <w:tcW w:type="dxa" w:w="1701"/>
          </w:tcPr>
          <w:p>
            <w:pPr>
              <w:spacing w:before="60" w:after="60"/>
              <w:jc w:val="right"/>
            </w:pPr>
            <w:r/>
            <w:r>
              <w:rPr>
                <w:sz w:val="20"/>
              </w:rPr>
              <w:t>71</w:t>
            </w:r>
          </w:p>
        </w:tc>
        <w:tc>
          <w:tcPr>
            <w:tcW w:type="dxa" w:w="1701"/>
          </w:tcPr>
          <w:p>
            <w:pPr>
              <w:spacing w:before="60" w:after="60"/>
              <w:jc w:val="right"/>
            </w:pPr>
            <w:r/>
            <w:r>
              <w:rPr>
                <w:sz w:val="20"/>
              </w:rPr>
              <w:t>97.3%</w:t>
            </w:r>
          </w:p>
        </w:tc>
      </w:tr>
      <w:tr>
        <w:tc>
          <w:tcPr>
            <w:tcW w:type="dxa" w:w="3969"/>
            <w:shd w:val="clear" w:color="auto" w:fill="F3F5F8"/>
          </w:tcPr>
          <w:p>
            <w:pPr>
              <w:spacing w:before="60" w:after="60"/>
              <w:jc w:val="left"/>
            </w:pPr>
            <w:r/>
            <w:r>
              <w:rPr>
                <w:sz w:val="20"/>
              </w:rPr>
              <w:t>SpaceShipTwo</w:t>
            </w:r>
          </w:p>
        </w:tc>
        <w:tc>
          <w:tcPr>
            <w:tcW w:type="dxa" w:w="1701"/>
            <w:shd w:val="clear" w:color="auto" w:fill="F3F5F8"/>
          </w:tcPr>
          <w:p>
            <w:pPr>
              <w:spacing w:before="60" w:after="60"/>
              <w:jc w:val="right"/>
            </w:pPr>
            <w:r/>
            <w:r>
              <w:rPr>
                <w:sz w:val="20"/>
              </w:rPr>
              <w:t>67</w:t>
            </w:r>
          </w:p>
        </w:tc>
        <w:tc>
          <w:tcPr>
            <w:tcW w:type="dxa" w:w="1701"/>
            <w:shd w:val="clear" w:color="auto" w:fill="F3F5F8"/>
          </w:tcPr>
          <w:p>
            <w:pPr>
              <w:spacing w:before="60" w:after="60"/>
              <w:jc w:val="right"/>
            </w:pPr>
            <w:r/>
            <w:r>
              <w:rPr>
                <w:sz w:val="20"/>
              </w:rPr>
              <w:t>62</w:t>
            </w:r>
          </w:p>
        </w:tc>
        <w:tc>
          <w:tcPr>
            <w:tcW w:type="dxa" w:w="1701"/>
            <w:shd w:val="clear" w:color="auto" w:fill="F3F5F8"/>
          </w:tcPr>
          <w:p>
            <w:pPr>
              <w:spacing w:before="60" w:after="60"/>
              <w:jc w:val="right"/>
            </w:pPr>
            <w:r/>
            <w:r>
              <w:rPr>
                <w:sz w:val="20"/>
              </w:rPr>
              <w:t>92.5%</w:t>
            </w:r>
          </w:p>
        </w:tc>
      </w:tr>
      <w:tr>
        <w:tc>
          <w:tcPr>
            <w:tcW w:type="dxa" w:w="3969"/>
          </w:tcPr>
          <w:p>
            <w:pPr>
              <w:spacing w:before="60" w:after="60"/>
              <w:jc w:val="left"/>
            </w:pPr>
            <w:r/>
            <w:r>
              <w:rPr>
                <w:sz w:val="20"/>
              </w:rPr>
              <w:t>Proton-M Briz-M</w:t>
            </w:r>
          </w:p>
        </w:tc>
        <w:tc>
          <w:tcPr>
            <w:tcW w:type="dxa" w:w="1701"/>
          </w:tcPr>
          <w:p>
            <w:pPr>
              <w:spacing w:before="60" w:after="60"/>
              <w:jc w:val="right"/>
            </w:pPr>
            <w:r/>
            <w:r>
              <w:rPr>
                <w:sz w:val="20"/>
              </w:rPr>
              <w:t>67</w:t>
            </w:r>
          </w:p>
        </w:tc>
        <w:tc>
          <w:tcPr>
            <w:tcW w:type="dxa" w:w="1701"/>
          </w:tcPr>
          <w:p>
            <w:pPr>
              <w:spacing w:before="60" w:after="60"/>
              <w:jc w:val="right"/>
            </w:pPr>
            <w:r/>
            <w:r>
              <w:rPr>
                <w:sz w:val="20"/>
              </w:rPr>
              <w:t>61</w:t>
            </w:r>
          </w:p>
        </w:tc>
        <w:tc>
          <w:tcPr>
            <w:tcW w:type="dxa" w:w="1701"/>
          </w:tcPr>
          <w:p>
            <w:pPr>
              <w:spacing w:before="60" w:after="60"/>
              <w:jc w:val="right"/>
            </w:pPr>
            <w:r/>
            <w:r>
              <w:rPr>
                <w:sz w:val="20"/>
              </w:rPr>
              <w:t>91.0%</w:t>
            </w:r>
          </w:p>
        </w:tc>
      </w:tr>
      <w:tr>
        <w:tc>
          <w:tcPr>
            <w:tcW w:type="dxa" w:w="3969"/>
            <w:shd w:val="clear" w:color="auto" w:fill="F3F5F8"/>
          </w:tcPr>
          <w:p>
            <w:pPr>
              <w:spacing w:before="60" w:after="60"/>
              <w:jc w:val="left"/>
            </w:pPr>
            <w:r/>
            <w:r>
              <w:rPr>
                <w:sz w:val="20"/>
              </w:rPr>
              <w:t>Soyuz</w:t>
            </w:r>
          </w:p>
        </w:tc>
        <w:tc>
          <w:tcPr>
            <w:tcW w:type="dxa" w:w="1701"/>
            <w:shd w:val="clear" w:color="auto" w:fill="F3F5F8"/>
          </w:tcPr>
          <w:p>
            <w:pPr>
              <w:spacing w:before="60" w:after="60"/>
              <w:jc w:val="right"/>
            </w:pPr>
            <w:r/>
            <w:r>
              <w:rPr>
                <w:sz w:val="20"/>
              </w:rPr>
              <w:t>61</w:t>
            </w:r>
          </w:p>
        </w:tc>
        <w:tc>
          <w:tcPr>
            <w:tcW w:type="dxa" w:w="1701"/>
            <w:shd w:val="clear" w:color="auto" w:fill="F3F5F8"/>
          </w:tcPr>
          <w:p>
            <w:pPr>
              <w:spacing w:before="60" w:after="60"/>
              <w:jc w:val="right"/>
            </w:pPr>
            <w:r/>
            <w:r>
              <w:rPr>
                <w:sz w:val="20"/>
              </w:rPr>
              <w:t>60</w:t>
            </w:r>
          </w:p>
        </w:tc>
        <w:tc>
          <w:tcPr>
            <w:tcW w:type="dxa" w:w="1701"/>
            <w:shd w:val="clear" w:color="auto" w:fill="F3F5F8"/>
          </w:tcPr>
          <w:p>
            <w:pPr>
              <w:spacing w:before="60" w:after="60"/>
              <w:jc w:val="right"/>
            </w:pPr>
            <w:r/>
            <w:r>
              <w:rPr>
                <w:sz w:val="20"/>
              </w:rPr>
              <w:t>98.4%</w:t>
            </w:r>
          </w:p>
        </w:tc>
      </w:tr>
      <w:tr>
        <w:tc>
          <w:tcPr>
            <w:tcW w:type="dxa" w:w="3969"/>
          </w:tcPr>
          <w:p>
            <w:pPr>
              <w:spacing w:before="60" w:after="60"/>
              <w:jc w:val="left"/>
            </w:pPr>
            <w:r/>
            <w:r>
              <w:rPr>
                <w:sz w:val="20"/>
              </w:rPr>
              <w:t>Long March 4C</w:t>
            </w:r>
          </w:p>
        </w:tc>
        <w:tc>
          <w:tcPr>
            <w:tcW w:type="dxa" w:w="1701"/>
          </w:tcPr>
          <w:p>
            <w:pPr>
              <w:spacing w:before="60" w:after="60"/>
              <w:jc w:val="right"/>
            </w:pPr>
            <w:r/>
            <w:r>
              <w:rPr>
                <w:sz w:val="20"/>
              </w:rPr>
              <w:t>60</w:t>
            </w:r>
          </w:p>
        </w:tc>
        <w:tc>
          <w:tcPr>
            <w:tcW w:type="dxa" w:w="1701"/>
          </w:tcPr>
          <w:p>
            <w:pPr>
              <w:spacing w:before="60" w:after="60"/>
              <w:jc w:val="right"/>
            </w:pPr>
            <w:r/>
            <w:r>
              <w:rPr>
                <w:sz w:val="20"/>
              </w:rPr>
              <w:t>58</w:t>
            </w:r>
          </w:p>
        </w:tc>
        <w:tc>
          <w:tcPr>
            <w:tcW w:type="dxa" w:w="1701"/>
          </w:tcPr>
          <w:p>
            <w:pPr>
              <w:spacing w:before="60" w:after="60"/>
              <w:jc w:val="right"/>
            </w:pPr>
            <w:r/>
            <w:r>
              <w:rPr>
                <w:sz w:val="20"/>
              </w:rPr>
              <w:t>96.7%</w:t>
            </w:r>
          </w:p>
        </w:tc>
      </w:tr>
      <w:tr>
        <w:tc>
          <w:tcPr>
            <w:tcW w:type="dxa" w:w="3969"/>
            <w:shd w:val="clear" w:color="auto" w:fill="F3F5F8"/>
          </w:tcPr>
          <w:p>
            <w:pPr>
              <w:spacing w:before="60" w:after="60"/>
              <w:jc w:val="left"/>
            </w:pPr>
            <w:r/>
            <w:r>
              <w:rPr>
                <w:sz w:val="20"/>
              </w:rPr>
              <w:t>Soyuz 2.1a</w:t>
            </w:r>
          </w:p>
        </w:tc>
        <w:tc>
          <w:tcPr>
            <w:tcW w:type="dxa" w:w="1701"/>
            <w:shd w:val="clear" w:color="auto" w:fill="F3F5F8"/>
          </w:tcPr>
          <w:p>
            <w:pPr>
              <w:spacing w:before="60" w:after="60"/>
              <w:jc w:val="right"/>
            </w:pPr>
            <w:r/>
            <w:r>
              <w:rPr>
                <w:sz w:val="20"/>
              </w:rPr>
              <w:t>58</w:t>
            </w:r>
          </w:p>
        </w:tc>
        <w:tc>
          <w:tcPr>
            <w:tcW w:type="dxa" w:w="1701"/>
            <w:shd w:val="clear" w:color="auto" w:fill="F3F5F8"/>
          </w:tcPr>
          <w:p>
            <w:pPr>
              <w:spacing w:before="60" w:after="60"/>
              <w:jc w:val="right"/>
            </w:pPr>
            <w:r/>
            <w:r>
              <w:rPr>
                <w:sz w:val="20"/>
              </w:rPr>
              <w:t>57</w:t>
            </w:r>
          </w:p>
        </w:tc>
        <w:tc>
          <w:tcPr>
            <w:tcW w:type="dxa" w:w="1701"/>
            <w:shd w:val="clear" w:color="auto" w:fill="F3F5F8"/>
          </w:tcPr>
          <w:p>
            <w:pPr>
              <w:spacing w:before="60" w:after="60"/>
              <w:jc w:val="right"/>
            </w:pPr>
            <w:r/>
            <w:r>
              <w:rPr>
                <w:sz w:val="20"/>
              </w:rPr>
              <w:t>98.3%</w:t>
            </w:r>
          </w:p>
        </w:tc>
      </w:tr>
      <w:tr>
        <w:tc>
          <w:tcPr>
            <w:tcW w:type="dxa" w:w="3969"/>
          </w:tcPr>
          <w:p>
            <w:pPr>
              <w:spacing w:before="60" w:after="60"/>
              <w:jc w:val="left"/>
            </w:pPr>
            <w:r/>
            <w:r>
              <w:rPr>
                <w:sz w:val="20"/>
              </w:rPr>
              <w:t>Soyuz U</w:t>
            </w:r>
          </w:p>
        </w:tc>
        <w:tc>
          <w:tcPr>
            <w:tcW w:type="dxa" w:w="1701"/>
          </w:tcPr>
          <w:p>
            <w:pPr>
              <w:spacing w:before="60" w:after="60"/>
              <w:jc w:val="right"/>
            </w:pPr>
            <w:r/>
            <w:r>
              <w:rPr>
                <w:sz w:val="20"/>
              </w:rPr>
              <w:t>58</w:t>
            </w:r>
          </w:p>
        </w:tc>
        <w:tc>
          <w:tcPr>
            <w:tcW w:type="dxa" w:w="1701"/>
          </w:tcPr>
          <w:p>
            <w:pPr>
              <w:spacing w:before="60" w:after="60"/>
              <w:jc w:val="right"/>
            </w:pPr>
            <w:r/>
            <w:r>
              <w:rPr>
                <w:sz w:val="20"/>
              </w:rPr>
              <w:t>56</w:t>
            </w:r>
          </w:p>
        </w:tc>
        <w:tc>
          <w:tcPr>
            <w:tcW w:type="dxa" w:w="1701"/>
          </w:tcPr>
          <w:p>
            <w:pPr>
              <w:spacing w:before="60" w:after="60"/>
              <w:jc w:val="right"/>
            </w:pPr>
            <w:r/>
            <w:r>
              <w:rPr>
                <w:sz w:val="20"/>
              </w:rPr>
              <w:t>96.6%</w:t>
            </w:r>
          </w:p>
        </w:tc>
      </w:tr>
      <w:tr>
        <w:tc>
          <w:tcPr>
            <w:tcW w:type="dxa" w:w="3969"/>
            <w:shd w:val="clear" w:color="auto" w:fill="F3F5F8"/>
          </w:tcPr>
          <w:p>
            <w:pPr>
              <w:spacing w:before="60" w:after="60"/>
              <w:jc w:val="left"/>
            </w:pPr>
            <w:r/>
            <w:r>
              <w:rPr>
                <w:sz w:val="20"/>
              </w:rPr>
              <w:t>Long March 2C</w:t>
            </w:r>
          </w:p>
        </w:tc>
        <w:tc>
          <w:tcPr>
            <w:tcW w:type="dxa" w:w="1701"/>
            <w:shd w:val="clear" w:color="auto" w:fill="F3F5F8"/>
          </w:tcPr>
          <w:p>
            <w:pPr>
              <w:spacing w:before="60" w:after="60"/>
              <w:jc w:val="right"/>
            </w:pPr>
            <w:r/>
            <w:r>
              <w:rPr>
                <w:sz w:val="20"/>
              </w:rPr>
              <w:t>55</w:t>
            </w:r>
          </w:p>
        </w:tc>
        <w:tc>
          <w:tcPr>
            <w:tcW w:type="dxa" w:w="1701"/>
            <w:shd w:val="clear" w:color="auto" w:fill="F3F5F8"/>
          </w:tcPr>
          <w:p>
            <w:pPr>
              <w:spacing w:before="60" w:after="60"/>
              <w:jc w:val="right"/>
            </w:pPr>
            <w:r/>
            <w:r>
              <w:rPr>
                <w:sz w:val="20"/>
              </w:rPr>
              <w:t>54</w:t>
            </w:r>
          </w:p>
        </w:tc>
        <w:tc>
          <w:tcPr>
            <w:tcW w:type="dxa" w:w="1701"/>
            <w:shd w:val="clear" w:color="auto" w:fill="F3F5F8"/>
          </w:tcPr>
          <w:p>
            <w:pPr>
              <w:spacing w:before="60" w:after="60"/>
              <w:jc w:val="right"/>
            </w:pPr>
            <w:r/>
            <w:r>
              <w:rPr>
                <w:sz w:val="20"/>
              </w:rPr>
              <w:t>98.2%</w:t>
            </w:r>
          </w:p>
        </w:tc>
      </w:tr>
      <w:tr>
        <w:tc>
          <w:tcPr>
            <w:tcW w:type="dxa" w:w="3969"/>
          </w:tcPr>
          <w:p>
            <w:pPr>
              <w:spacing w:before="60" w:after="60"/>
              <w:jc w:val="left"/>
            </w:pPr>
            <w:r/>
            <w:r>
              <w:rPr>
                <w:sz w:val="20"/>
              </w:rPr>
              <w:t>Long March 4B</w:t>
            </w:r>
          </w:p>
        </w:tc>
        <w:tc>
          <w:tcPr>
            <w:tcW w:type="dxa" w:w="1701"/>
          </w:tcPr>
          <w:p>
            <w:pPr>
              <w:spacing w:before="60" w:after="60"/>
              <w:jc w:val="right"/>
            </w:pPr>
            <w:r/>
            <w:r>
              <w:rPr>
                <w:sz w:val="20"/>
              </w:rPr>
              <w:t>54</w:t>
            </w:r>
          </w:p>
        </w:tc>
        <w:tc>
          <w:tcPr>
            <w:tcW w:type="dxa" w:w="1701"/>
          </w:tcPr>
          <w:p>
            <w:pPr>
              <w:spacing w:before="60" w:after="60"/>
              <w:jc w:val="right"/>
            </w:pPr>
            <w:r/>
            <w:r>
              <w:rPr>
                <w:sz w:val="20"/>
              </w:rPr>
              <w:t>53</w:t>
            </w:r>
          </w:p>
        </w:tc>
        <w:tc>
          <w:tcPr>
            <w:tcW w:type="dxa" w:w="1701"/>
          </w:tcPr>
          <w:p>
            <w:pPr>
              <w:spacing w:before="60" w:after="60"/>
              <w:jc w:val="right"/>
            </w:pPr>
            <w:r/>
            <w:r>
              <w:rPr>
                <w:sz w:val="20"/>
              </w:rPr>
              <w:t>98.1%</w:t>
            </w:r>
          </w:p>
        </w:tc>
      </w:tr>
      <w:tr>
        <w:tc>
          <w:tcPr>
            <w:tcW w:type="dxa" w:w="3969"/>
            <w:shd w:val="clear" w:color="auto" w:fill="F3F5F8"/>
          </w:tcPr>
          <w:p>
            <w:pPr>
              <w:spacing w:before="60" w:after="60"/>
              <w:jc w:val="left"/>
            </w:pPr>
            <w:r/>
            <w:r>
              <w:rPr>
                <w:sz w:val="20"/>
              </w:rPr>
              <w:t>Delta II</w:t>
            </w:r>
          </w:p>
        </w:tc>
        <w:tc>
          <w:tcPr>
            <w:tcW w:type="dxa" w:w="1701"/>
            <w:shd w:val="clear" w:color="auto" w:fill="F3F5F8"/>
          </w:tcPr>
          <w:p>
            <w:pPr>
              <w:spacing w:before="60" w:after="60"/>
              <w:jc w:val="right"/>
            </w:pPr>
            <w:r/>
            <w:r>
              <w:rPr>
                <w:sz w:val="20"/>
              </w:rPr>
              <w:t>52</w:t>
            </w:r>
          </w:p>
        </w:tc>
        <w:tc>
          <w:tcPr>
            <w:tcW w:type="dxa" w:w="1701"/>
            <w:shd w:val="clear" w:color="auto" w:fill="F3F5F8"/>
          </w:tcPr>
          <w:p>
            <w:pPr>
              <w:spacing w:before="60" w:after="60"/>
              <w:jc w:val="right"/>
            </w:pPr>
            <w:r/>
            <w:r>
              <w:rPr>
                <w:sz w:val="20"/>
              </w:rPr>
              <w:t>52</w:t>
            </w:r>
          </w:p>
        </w:tc>
        <w:tc>
          <w:tcPr>
            <w:tcW w:type="dxa" w:w="1701"/>
            <w:shd w:val="clear" w:color="auto" w:fill="F3F5F8"/>
          </w:tcPr>
          <w:p>
            <w:pPr>
              <w:spacing w:before="60" w:after="60"/>
              <w:jc w:val="right"/>
            </w:pPr>
            <w:r/>
            <w:r>
              <w:rPr>
                <w:sz w:val="20"/>
              </w:rPr>
              <w:t>100.0%</w:t>
            </w:r>
          </w:p>
        </w:tc>
      </w:tr>
      <w:tr>
        <w:tc>
          <w:tcPr>
            <w:tcW w:type="dxa" w:w="3969"/>
          </w:tcPr>
          <w:p>
            <w:pPr>
              <w:spacing w:before="60" w:after="60"/>
              <w:jc w:val="left"/>
            </w:pPr>
            <w:r/>
            <w:r>
              <w:rPr>
                <w:sz w:val="20"/>
              </w:rPr>
              <w:t>Proton-M</w:t>
            </w:r>
          </w:p>
        </w:tc>
        <w:tc>
          <w:tcPr>
            <w:tcW w:type="dxa" w:w="1701"/>
          </w:tcPr>
          <w:p>
            <w:pPr>
              <w:spacing w:before="60" w:after="60"/>
              <w:jc w:val="right"/>
            </w:pPr>
            <w:r/>
            <w:r>
              <w:rPr>
                <w:sz w:val="20"/>
              </w:rPr>
              <w:t>48</w:t>
            </w:r>
          </w:p>
        </w:tc>
        <w:tc>
          <w:tcPr>
            <w:tcW w:type="dxa" w:w="1701"/>
          </w:tcPr>
          <w:p>
            <w:pPr>
              <w:spacing w:before="60" w:after="60"/>
              <w:jc w:val="right"/>
            </w:pPr>
            <w:r/>
            <w:r>
              <w:rPr>
                <w:sz w:val="20"/>
              </w:rPr>
              <w:t>43</w:t>
            </w:r>
          </w:p>
        </w:tc>
        <w:tc>
          <w:tcPr>
            <w:tcW w:type="dxa" w:w="1701"/>
          </w:tcPr>
          <w:p>
            <w:pPr>
              <w:spacing w:before="60" w:after="60"/>
              <w:jc w:val="right"/>
            </w:pPr>
            <w:r/>
            <w:r>
              <w:rPr>
                <w:sz w:val="20"/>
              </w:rPr>
              <w:t>89.6%</w:t>
            </w:r>
          </w:p>
        </w:tc>
      </w:tr>
    </w:tbl>
    <w:p>
      <w:pPr>
        <w:pStyle w:val="Heading1"/>
      </w:pPr>
      <w:r>
        <w:t>Providers and orbits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8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_provide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D99AE"/>
          <w:sz w:val="18"/>
        </w:rPr>
        <w:t>Figure 4. Top 10 providers by launch count.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8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_orbi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D99AE"/>
          <w:sz w:val="18"/>
        </w:rPr>
        <w:t>Figure 5. Top 10 target orbits (launches with unknown orbit excluded).</w:t>
      </w:r>
    </w:p>
    <w:p>
      <w:pPr>
        <w:pStyle w:val="Heading1"/>
      </w:pPr>
      <w:r>
        <w:t>About the data</w:t>
      </w:r>
    </w:p>
    <w:p>
      <w:pPr>
        <w:pStyle w:val="ListBullet"/>
      </w:pPr>
      <w:r>
        <w:t>Source: Launch Library 2 by The Space Devs, pulled with fetch_data.py.</w:t>
      </w:r>
    </w:p>
    <w:p>
      <w:pPr>
        <w:pStyle w:val="ListBullet"/>
      </w:pPr>
      <w:r>
        <w:t>Only launches with a recorded outcome are included; scheduled or unknown launches are dropped.</w:t>
      </w:r>
    </w:p>
    <w:p>
      <w:pPr>
        <w:pStyle w:val="ListBullet"/>
      </w:pPr>
      <w:r>
        <w:t>A launch counts as a success only if its status is Launch Successful. Partial failures count as failures.</w:t>
      </w:r>
    </w:p>
    <w:p>
      <w:pPr>
        <w:pStyle w:val="ListBullet"/>
      </w:pPr>
      <w:r>
        <w:t>Rocket, provider, and orbit names are shown as they appear in the source data.</w:t>
      </w:r>
    </w:p>
    <w:sectPr w:rsidR="00FC693F" w:rsidRPr="0006063C" w:rsidSect="00034616">
      <w:footerReference w:type="default" r:id="rId9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D99AE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hAnsi="Calibri"/>
      <w:b/>
      <w:bCs/>
      <w:color w:val="2A9D8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