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56"/>
        </w:rPr>
        <w:t>Global Launch Analysis</w:t>
      </w:r>
    </w:p>
    <w:p>
      <w:r>
        <w:rPr>
          <w:color w:val="8D99AE"/>
          <w:sz w:val="22"/>
        </w:rPr>
        <w:t>Launches 2020 to 2026  |  Generated 19 September 2026</w:t>
      </w:r>
    </w:p>
    <w:p>
      <w:pPr>
        <w:pStyle w:val="Heading1"/>
      </w:pPr>
      <w:r>
        <w:t>Key findings</w:t>
      </w:r>
    </w:p>
    <w:p>
      <w:pPr>
        <w:pStyle w:val="ListBullet"/>
      </w:pPr>
      <w:r>
        <w:t>1,500 completed launches between 2020 and 2026, with an overall success rate of 95.6%.</w:t>
      </w:r>
    </w:p>
    <w:p>
      <w:pPr>
        <w:pStyle w:val="ListBullet"/>
      </w:pPr>
      <w:r>
        <w:t>Busiest year: 2025 with 341 launches.</w:t>
      </w:r>
    </w:p>
    <w:p>
      <w:pPr>
        <w:pStyle w:val="ListBullet"/>
      </w:pPr>
      <w:r>
        <w:t>Most active provider: SpaceX (42% of all launches).</w:t>
      </w:r>
    </w:p>
    <w:p>
      <w:pPr>
        <w:pStyle w:val="ListBullet"/>
      </w:pPr>
      <w:r>
        <w:t>Most launched rocket: Falcon 9 (600 launches).</w:t>
      </w:r>
    </w:p>
    <w:p>
      <w:pPr>
        <w:pStyle w:val="ListBullet"/>
      </w:pPr>
      <w:r>
        <w:t>Among rockets with at least 20 launches, Long March 2C has the highest success rate (100.0%) and Kuaizhou 1A the lowest (86.4%).</w:t>
      </w:r>
    </w:p>
    <w:p>
      <w:pPr>
        <w:pStyle w:val="Heading1"/>
      </w:pPr>
      <w:r>
        <w:t>Launches over time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es_per_ye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D99AE"/>
          <w:sz w:val="18"/>
        </w:rPr>
        <w:t>Figure 1. Launches per year, split by outcome.</w:t>
      </w:r>
    </w:p>
    <w:p>
      <w:pPr>
        <w:pStyle w:val="Heading1"/>
      </w:pPr>
      <w:r>
        <w:t>Reliability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by_dec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D99AE"/>
          <w:sz w:val="18"/>
        </w:rPr>
        <w:t>Figure 2. Success rate by decade (n = launches in that decade).</w:t>
      </w:r>
    </w:p>
    <w:p>
      <w:pPr>
        <w:pStyle w:val="Heading2"/>
      </w:pPr>
      <w:r>
        <w:t>Reliability by rocket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ket_relia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D99AE"/>
          <w:sz w:val="18"/>
        </w:rPr>
        <w:t>Figure 3. Success rate of the most-launched rockets (at least 20 launches).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EE5"/>
          <w:left w:val="single" w:sz="4" w:space="0" w:color="D9DEE5"/>
          <w:bottom w:val="single" w:sz="4" w:space="0" w:color="D9DEE5"/>
          <w:right w:val="single" w:sz="4" w:space="0" w:color="D9DEE5"/>
          <w:insideH w:val="single" w:sz="4" w:space="0" w:color="D9DEE5"/>
          <w:insideV w:val="single" w:sz="4" w:space="0" w:color="D9DEE5"/>
        </w:tblBorders>
      </w:tblPr>
      <w:tblGrid>
        <w:gridCol w:w="3969"/>
        <w:gridCol w:w="1701"/>
        <w:gridCol w:w="1701"/>
        <w:gridCol w:w="1701"/>
      </w:tblGrid>
      <w:tr>
        <w:tc>
          <w:tcPr>
            <w:tcW w:type="dxa" w:w="3969"/>
            <w:shd w:val="clear" w:color="auto" w:fill="1F3A5F"/>
          </w:tcPr>
          <w:p>
            <w:pPr>
              <w:spacing w:before="60" w:after="60"/>
              <w:jc w:val="left"/>
            </w:pPr>
            <w:r/>
            <w:r>
              <w:rPr>
                <w:b/>
                <w:color w:val="FFFFFF"/>
                <w:sz w:val="20"/>
              </w:rPr>
              <w:t>Rocket</w:t>
            </w:r>
          </w:p>
        </w:tc>
        <w:tc>
          <w:tcPr>
            <w:tcW w:type="dxa" w:w="1701"/>
            <w:shd w:val="clear" w:color="auto" w:fill="1F3A5F"/>
          </w:tcPr>
          <w:p>
            <w:pPr>
              <w:spacing w:before="60" w:after="60"/>
              <w:jc w:val="right"/>
            </w:pPr>
            <w:r/>
            <w:r>
              <w:rPr>
                <w:b/>
                <w:color w:val="FFFFFF"/>
                <w:sz w:val="20"/>
              </w:rPr>
              <w:t>Launches</w:t>
            </w:r>
          </w:p>
        </w:tc>
        <w:tc>
          <w:tcPr>
            <w:tcW w:type="dxa" w:w="1701"/>
            <w:shd w:val="clear" w:color="auto" w:fill="1F3A5F"/>
          </w:tcPr>
          <w:p>
            <w:pPr>
              <w:spacing w:before="60" w:after="60"/>
              <w:jc w:val="right"/>
            </w:pPr>
            <w:r/>
            <w:r>
              <w:rPr>
                <w:b/>
                <w:color w:val="FFFFFF"/>
                <w:sz w:val="20"/>
              </w:rPr>
              <w:t>Successes</w:t>
            </w:r>
          </w:p>
        </w:tc>
        <w:tc>
          <w:tcPr>
            <w:tcW w:type="dxa" w:w="1701"/>
            <w:shd w:val="clear" w:color="auto" w:fill="1F3A5F"/>
          </w:tcPr>
          <w:p>
            <w:pPr>
              <w:spacing w:before="60" w:after="60"/>
              <w:jc w:val="right"/>
            </w:pPr>
            <w:r/>
            <w:r>
              <w:rPr>
                <w:b/>
                <w:color w:val="FFFFFF"/>
                <w:sz w:val="20"/>
              </w:rPr>
              <w:t>Success rate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  <w:jc w:val="left"/>
            </w:pPr>
            <w:r/>
            <w:r>
              <w:rPr>
                <w:sz w:val="20"/>
              </w:rPr>
              <w:t>Falcon 9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600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599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99.8%</w:t>
            </w:r>
          </w:p>
        </w:tc>
      </w:tr>
      <w:tr>
        <w:tc>
          <w:tcPr>
            <w:tcW w:type="dxa" w:w="3969"/>
            <w:shd w:val="clear" w:color="auto" w:fill="F3F5F8"/>
          </w:tcPr>
          <w:p>
            <w:pPr>
              <w:spacing w:before="60" w:after="60"/>
              <w:jc w:val="left"/>
            </w:pPr>
            <w:r/>
            <w:r>
              <w:rPr>
                <w:sz w:val="20"/>
              </w:rPr>
              <w:t>Electron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83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81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97.6%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  <w:jc w:val="left"/>
            </w:pPr>
            <w:r/>
            <w:r>
              <w:rPr>
                <w:sz w:val="20"/>
              </w:rPr>
              <w:t>Long March 2D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53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53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100.0%</w:t>
            </w:r>
          </w:p>
        </w:tc>
      </w:tr>
      <w:tr>
        <w:tc>
          <w:tcPr>
            <w:tcW w:type="dxa" w:w="3969"/>
            <w:shd w:val="clear" w:color="auto" w:fill="F3F5F8"/>
          </w:tcPr>
          <w:p>
            <w:pPr>
              <w:spacing w:before="60" w:after="60"/>
              <w:jc w:val="left"/>
            </w:pPr>
            <w:r/>
            <w:r>
              <w:rPr>
                <w:sz w:val="20"/>
              </w:rPr>
              <w:t>Long March 3B/E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43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97.7%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  <w:jc w:val="left"/>
            </w:pPr>
            <w:r/>
            <w:r>
              <w:rPr>
                <w:sz w:val="20"/>
              </w:rPr>
              <w:t>Soyuz 2.1a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37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37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100.0%</w:t>
            </w:r>
          </w:p>
        </w:tc>
      </w:tr>
      <w:tr>
        <w:tc>
          <w:tcPr>
            <w:tcW w:type="dxa" w:w="3969"/>
            <w:shd w:val="clear" w:color="auto" w:fill="F3F5F8"/>
          </w:tcPr>
          <w:p>
            <w:pPr>
              <w:spacing w:before="60" w:after="60"/>
              <w:jc w:val="left"/>
            </w:pPr>
            <w:r/>
            <w:r>
              <w:rPr>
                <w:sz w:val="20"/>
              </w:rPr>
              <w:t>Long March 4C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100.0%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  <w:jc w:val="left"/>
            </w:pPr>
            <w:r/>
            <w:r>
              <w:rPr>
                <w:sz w:val="20"/>
              </w:rPr>
              <w:t>Soyuz 2.1b/Fregat-M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27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27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100.0%</w:t>
            </w:r>
          </w:p>
        </w:tc>
      </w:tr>
      <w:tr>
        <w:tc>
          <w:tcPr>
            <w:tcW w:type="dxa" w:w="3969"/>
            <w:shd w:val="clear" w:color="auto" w:fill="F3F5F8"/>
          </w:tcPr>
          <w:p>
            <w:pPr>
              <w:spacing w:before="60" w:after="60"/>
              <w:jc w:val="left"/>
            </w:pPr>
            <w:r/>
            <w:r>
              <w:rPr>
                <w:sz w:val="20"/>
              </w:rPr>
              <w:t>Long March 2C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26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26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100.0%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  <w:jc w:val="left"/>
            </w:pPr>
            <w:r/>
            <w:r>
              <w:rPr>
                <w:sz w:val="20"/>
              </w:rPr>
              <w:t>Long March 6A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26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26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100.0%</w:t>
            </w:r>
          </w:p>
        </w:tc>
      </w:tr>
      <w:tr>
        <w:tc>
          <w:tcPr>
            <w:tcW w:type="dxa" w:w="3969"/>
            <w:shd w:val="clear" w:color="auto" w:fill="F3F5F8"/>
          </w:tcPr>
          <w:p>
            <w:pPr>
              <w:spacing w:before="60" w:after="60"/>
              <w:jc w:val="left"/>
            </w:pPr>
            <w:r/>
            <w:r>
              <w:rPr>
                <w:sz w:val="20"/>
              </w:rPr>
              <w:t>New Shepard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26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96.2%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  <w:jc w:val="left"/>
            </w:pPr>
            <w:r/>
            <w:r>
              <w:rPr>
                <w:sz w:val="20"/>
              </w:rPr>
              <w:t>Kuaizhou 1A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22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19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86.4%</w:t>
            </w:r>
          </w:p>
        </w:tc>
      </w:tr>
      <w:tr>
        <w:tc>
          <w:tcPr>
            <w:tcW w:type="dxa" w:w="3969"/>
            <w:shd w:val="clear" w:color="auto" w:fill="F3F5F8"/>
          </w:tcPr>
          <w:p>
            <w:pPr>
              <w:spacing w:before="60" w:after="60"/>
              <w:jc w:val="left"/>
            </w:pPr>
            <w:r/>
            <w:r>
              <w:rPr>
                <w:sz w:val="20"/>
              </w:rPr>
              <w:t>Long March 4B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22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22</w:t>
            </w:r>
          </w:p>
        </w:tc>
        <w:tc>
          <w:tcPr>
            <w:tcW w:type="dxa" w:w="1701"/>
            <w:shd w:val="clear" w:color="auto" w:fill="F3F5F8"/>
          </w:tcPr>
          <w:p>
            <w:pPr>
              <w:spacing w:before="60" w:after="60"/>
              <w:jc w:val="right"/>
            </w:pPr>
            <w:r/>
            <w:r>
              <w:rPr>
                <w:sz w:val="20"/>
              </w:rPr>
              <w:t>100.0%</w:t>
            </w:r>
          </w:p>
        </w:tc>
      </w:tr>
    </w:tbl>
    <w:p>
      <w:pPr>
        <w:pStyle w:val="Heading1"/>
      </w:pPr>
      <w:r>
        <w:t>Providers and orbits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provid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D99AE"/>
          <w:sz w:val="18"/>
        </w:rPr>
        <w:t>Figure 4. Top 10 providers by launch 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orb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D99AE"/>
          <w:sz w:val="18"/>
        </w:rPr>
        <w:t>Figure 5. Top 10 target orbits (launches with unknown orbit excluded).</w:t>
      </w:r>
    </w:p>
    <w:p>
      <w:pPr>
        <w:pStyle w:val="Heading1"/>
      </w:pPr>
      <w:r>
        <w:t>About the data</w:t>
      </w:r>
    </w:p>
    <w:p>
      <w:pPr>
        <w:pStyle w:val="ListBullet"/>
      </w:pPr>
      <w:r>
        <w:t>Source: Launch Library 2 by The Space Devs, pulled with fetch_data.py.</w:t>
      </w:r>
    </w:p>
    <w:p>
      <w:pPr>
        <w:pStyle w:val="ListBullet"/>
      </w:pPr>
      <w:r>
        <w:t>Only launches with a recorded outcome are included; scheduled or unknown launches are dropped.</w:t>
      </w:r>
    </w:p>
    <w:p>
      <w:pPr>
        <w:pStyle w:val="ListBullet"/>
      </w:pPr>
      <w:r>
        <w:t>A launch counts as a success only if its status is Launch Successful. Partial failures count as failures.</w:t>
      </w:r>
    </w:p>
    <w:p>
      <w:pPr>
        <w:pStyle w:val="ListBullet"/>
      </w:pPr>
      <w:r>
        <w:t>Rocket, provider, and orbit names are shown as they appear in the source data.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D99AE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2A9D8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