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0456" w:rsidRDefault="009668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green-up phenology of North American forest ecosystems with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AmeriFlux</w:t>
      </w:r>
      <w:proofErr w:type="spellEnd"/>
      <w:r>
        <w:rPr>
          <w:rFonts w:ascii="Times New Roman" w:eastAsia="Times New Roman" w:hAnsi="Times New Roman" w:cs="Times New Roman"/>
          <w:sz w:val="24"/>
          <w:szCs w:val="24"/>
        </w:rPr>
        <w:t xml:space="preserve"> data</w:t>
      </w:r>
    </w:p>
    <w:p w14:paraId="00000002" w14:textId="77777777" w:rsidR="00B40456" w:rsidRDefault="00B40456">
      <w:pPr>
        <w:jc w:val="center"/>
        <w:rPr>
          <w:rFonts w:ascii="Times New Roman" w:eastAsia="Times New Roman" w:hAnsi="Times New Roman" w:cs="Times New Roman"/>
          <w:sz w:val="24"/>
          <w:szCs w:val="24"/>
        </w:rPr>
      </w:pPr>
    </w:p>
    <w:p w14:paraId="00000003" w14:textId="77777777" w:rsidR="00B40456" w:rsidRDefault="009668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Short </w:t>
      </w:r>
      <w:proofErr w:type="gramStart"/>
      <w:r>
        <w:rPr>
          <w:rFonts w:ascii="Times New Roman" w:eastAsia="Times New Roman" w:hAnsi="Times New Roman" w:cs="Times New Roman"/>
          <w:sz w:val="24"/>
          <w:szCs w:val="24"/>
        </w:rPr>
        <w:t>Title ]</w:t>
      </w:r>
      <w:proofErr w:type="gramEnd"/>
    </w:p>
    <w:p w14:paraId="00000004" w14:textId="77777777" w:rsidR="00B40456" w:rsidRDefault="00B40456">
      <w:pPr>
        <w:jc w:val="center"/>
        <w:rPr>
          <w:rFonts w:ascii="Times New Roman" w:eastAsia="Times New Roman" w:hAnsi="Times New Roman" w:cs="Times New Roman"/>
          <w:sz w:val="24"/>
          <w:szCs w:val="24"/>
        </w:rPr>
      </w:pPr>
    </w:p>
    <w:p w14:paraId="00000005" w14:textId="77777777" w:rsidR="00B40456" w:rsidRDefault="009668C9">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Lily Klinek</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Dennis Baldocchi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Aadiraj Batlaw</w:t>
      </w:r>
      <w:r>
        <w:rPr>
          <w:rFonts w:ascii="Times New Roman" w:eastAsia="Times New Roman" w:hAnsi="Times New Roman" w:cs="Times New Roman"/>
          <w:sz w:val="24"/>
          <w:szCs w:val="24"/>
          <w:vertAlign w:val="superscript"/>
        </w:rPr>
        <w:t>2</w:t>
      </w:r>
    </w:p>
    <w:p w14:paraId="00000006" w14:textId="77777777" w:rsidR="00B40456" w:rsidRDefault="00B40456">
      <w:pPr>
        <w:rPr>
          <w:rFonts w:ascii="Times New Roman" w:eastAsia="Times New Roman" w:hAnsi="Times New Roman" w:cs="Times New Roman"/>
          <w:sz w:val="24"/>
          <w:szCs w:val="24"/>
        </w:rPr>
      </w:pPr>
    </w:p>
    <w:p w14:paraId="00000007" w14:textId="77777777" w:rsidR="00B40456" w:rsidRDefault="00B40456">
      <w:pPr>
        <w:rPr>
          <w:rFonts w:ascii="Times New Roman" w:eastAsia="Times New Roman" w:hAnsi="Times New Roman" w:cs="Times New Roman"/>
          <w:sz w:val="24"/>
          <w:szCs w:val="24"/>
        </w:rPr>
      </w:pPr>
    </w:p>
    <w:p w14:paraId="00000008" w14:textId="77777777" w:rsidR="00B40456" w:rsidRDefault="009668C9">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UC Berkeley, Department of Environmental Science, Policy, and Management, Berkeley, California, United States of America</w:t>
      </w:r>
    </w:p>
    <w:p w14:paraId="00000009" w14:textId="77777777" w:rsidR="00B40456" w:rsidRDefault="009668C9">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UC Berkeley, Department of Statistics, Berkeley, California, United States of America</w:t>
      </w:r>
    </w:p>
    <w:p w14:paraId="0000000A" w14:textId="77777777" w:rsidR="00B40456" w:rsidRDefault="00B40456">
      <w:pPr>
        <w:rPr>
          <w:rFonts w:ascii="Times New Roman" w:eastAsia="Times New Roman" w:hAnsi="Times New Roman" w:cs="Times New Roman"/>
          <w:sz w:val="24"/>
          <w:szCs w:val="24"/>
        </w:rPr>
      </w:pPr>
    </w:p>
    <w:p w14:paraId="0000000B" w14:textId="77777777" w:rsidR="00B40456" w:rsidRDefault="009668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Lily </w:t>
      </w:r>
      <w:proofErr w:type="spellStart"/>
      <w:r>
        <w:rPr>
          <w:rFonts w:ascii="Times New Roman" w:eastAsia="Times New Roman" w:hAnsi="Times New Roman" w:cs="Times New Roman"/>
          <w:sz w:val="24"/>
          <w:szCs w:val="24"/>
        </w:rPr>
        <w:t>Klinek</w:t>
      </w:r>
      <w:proofErr w:type="spellEnd"/>
    </w:p>
    <w:p w14:paraId="0000000C" w14:textId="77777777" w:rsidR="00B40456" w:rsidRDefault="009668C9">
      <w:pPr>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E-mail: </w:t>
      </w:r>
      <w:hyperlink r:id="rId6">
        <w:r>
          <w:rPr>
            <w:rFonts w:ascii="Times New Roman" w:eastAsia="Times New Roman" w:hAnsi="Times New Roman" w:cs="Times New Roman"/>
            <w:color w:val="1155CC"/>
            <w:sz w:val="24"/>
            <w:szCs w:val="24"/>
            <w:u w:val="single"/>
          </w:rPr>
          <w:t>lklinek@berkeley.edu</w:t>
        </w:r>
      </w:hyperlink>
      <w:r>
        <w:rPr>
          <w:rFonts w:ascii="Times New Roman" w:eastAsia="Times New Roman" w:hAnsi="Times New Roman" w:cs="Times New Roman"/>
          <w:sz w:val="24"/>
          <w:szCs w:val="24"/>
        </w:rPr>
        <w:t xml:space="preserve"> (LK)</w:t>
      </w:r>
      <w:r>
        <w:br w:type="page"/>
      </w:r>
    </w:p>
    <w:p w14:paraId="0000000D" w14:textId="77777777" w:rsidR="00B40456" w:rsidRDefault="00B40456">
      <w:pPr>
        <w:jc w:val="center"/>
        <w:rPr>
          <w:rFonts w:ascii="Times New Roman" w:eastAsia="Times New Roman" w:hAnsi="Times New Roman" w:cs="Times New Roman"/>
          <w:sz w:val="26"/>
          <w:szCs w:val="26"/>
        </w:rPr>
        <w:sectPr w:rsidR="00B40456">
          <w:footerReference w:type="default" r:id="rId7"/>
          <w:pgSz w:w="12240" w:h="15840"/>
          <w:pgMar w:top="1440" w:right="1440" w:bottom="1440" w:left="1440" w:header="720" w:footer="720" w:gutter="0"/>
          <w:pgNumType w:start="1"/>
          <w:cols w:space="720" w:equalWidth="0">
            <w:col w:w="9360" w:space="0"/>
          </w:cols>
        </w:sectPr>
      </w:pPr>
    </w:p>
    <w:p w14:paraId="0000000E" w14:textId="77777777" w:rsidR="00B40456" w:rsidRDefault="009668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0F" w14:textId="77777777" w:rsidR="00B40456" w:rsidRDefault="009668C9">
      <w:pPr>
        <w:spacing w:line="480" w:lineRule="auto"/>
        <w:rPr>
          <w:rFonts w:ascii="Times New Roman" w:eastAsia="Times New Roman" w:hAnsi="Times New Roman" w:cs="Times New Roman"/>
          <w:sz w:val="24"/>
          <w:szCs w:val="24"/>
        </w:rPr>
        <w:sectPr w:rsidR="00B40456">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sz w:val="24"/>
          <w:szCs w:val="24"/>
        </w:rPr>
        <w:t xml:space="preserve">Terrestrial forest ecosystems play a major role in sequestering atmospheric carbon dioxide, which can offset the detrimental effects of anthropogenic carbon emissions. However, climate change has and will continue to affect the timing of forest ecosystems’ carbon uptake, changing the “green-up” date at which forests transition from a net carbon source to a net carbon sink. Prior studies have investigated the relationship between the green-up date and temperature data, hypothesizing that a site’s green-up date correlates to the date when soil temperature crosses over the mean annual air temperature. In this study, we analyze 50 site years of recent climate and green-up data to clarify our understanding of the correlation between these variables. Results show that, while the hypothesis holds very strongly in deciduous broadleaf forests in the midwestern United States and others, it breaks in northern United States forests, likely due to the colder winters of this “boreal-adjacent” zone interfering with the warming of soil temperatures in the spring. Therefore, this phenological rule is rendered inapplicable in these regions. </w:t>
      </w:r>
    </w:p>
    <w:p w14:paraId="00000010" w14:textId="77777777" w:rsidR="00B40456" w:rsidRDefault="00B40456">
      <w:pPr>
        <w:rPr>
          <w:rFonts w:ascii="Times New Roman" w:eastAsia="Times New Roman" w:hAnsi="Times New Roman" w:cs="Times New Roman"/>
          <w:b/>
        </w:rPr>
      </w:pPr>
    </w:p>
    <w:p w14:paraId="00000011" w14:textId="77777777" w:rsidR="00B40456" w:rsidRDefault="00B40456">
      <w:pPr>
        <w:rPr>
          <w:rFonts w:ascii="Times New Roman" w:eastAsia="Times New Roman" w:hAnsi="Times New Roman" w:cs="Times New Roman"/>
          <w:b/>
        </w:rPr>
      </w:pPr>
    </w:p>
    <w:p w14:paraId="00000012" w14:textId="77777777" w:rsidR="00B40456" w:rsidRDefault="009668C9">
      <w:pPr>
        <w:spacing w:line="480" w:lineRule="auto"/>
        <w:rPr>
          <w:rFonts w:ascii="Times New Roman" w:eastAsia="Times New Roman" w:hAnsi="Times New Roman" w:cs="Times New Roman"/>
          <w:b/>
          <w:sz w:val="24"/>
          <w:szCs w:val="24"/>
        </w:rPr>
        <w:sectPr w:rsidR="00B40456">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sz w:val="24"/>
          <w:szCs w:val="24"/>
        </w:rPr>
        <w:t>Introduction</w:t>
      </w:r>
    </w:p>
    <w:p w14:paraId="00000013" w14:textId="77777777" w:rsidR="00B40456" w:rsidRDefault="00B40456">
      <w:pPr>
        <w:spacing w:line="480" w:lineRule="auto"/>
        <w:rPr>
          <w:rFonts w:ascii="Times New Roman" w:eastAsia="Times New Roman" w:hAnsi="Times New Roman" w:cs="Times New Roman"/>
          <w:sz w:val="24"/>
          <w:szCs w:val="24"/>
        </w:rPr>
      </w:pPr>
    </w:p>
    <w:p w14:paraId="00000014"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Atmospheric carbon dioxide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is a crucial factor influencing modern climate change, accounting for 60% of anthropogenic warming (IPCC 2019). Forest ecosystems act as the largest land-based carbon sink, as they intake and sequester a significant portion of anthropogenic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during photosynthesis. However, the land sink is the least understood portion of the global carbon cycle, and the variable seasonal flux of photosynthesis contributes to this knowledge gap. The phenology, or recurring timing, of forest photosynthesis activity is an especially critical factor now, as climate change has started to alter and warp its timing. Phenological shifts can </w:t>
      </w:r>
      <w:r>
        <w:rPr>
          <w:rFonts w:ascii="Times New Roman" w:eastAsia="Times New Roman" w:hAnsi="Times New Roman" w:cs="Times New Roman"/>
          <w:sz w:val="24"/>
          <w:szCs w:val="24"/>
        </w:rPr>
        <w:lastRenderedPageBreak/>
        <w:t xml:space="preserve">have drastic effects on the trophic web and ecosystem health — changes in forest phenology can alter species’ migration patterns, breeding patterns, and interspecies competition (Mayor et al. 2017; </w:t>
      </w:r>
      <w:proofErr w:type="spellStart"/>
      <w:r>
        <w:rPr>
          <w:rFonts w:ascii="Times New Roman" w:eastAsia="Times New Roman" w:hAnsi="Times New Roman" w:cs="Times New Roman"/>
          <w:sz w:val="24"/>
          <w:szCs w:val="24"/>
        </w:rPr>
        <w:t>Wilsey</w:t>
      </w:r>
      <w:proofErr w:type="spellEnd"/>
      <w:r>
        <w:rPr>
          <w:rFonts w:ascii="Times New Roman" w:eastAsia="Times New Roman" w:hAnsi="Times New Roman" w:cs="Times New Roman"/>
          <w:sz w:val="24"/>
          <w:szCs w:val="24"/>
        </w:rPr>
        <w:t xml:space="preserve"> et al. 2011). As trees “green-up,” or put out leaves in the spring, earlier due to changing climate (Keenan et al. 2014), many species will inevitably struggle to keep up, which could lead to asynchronous predator-prey occurrence and other cases of trophic collapse. Along with these ecological impacts, changing forest phenology also has major implications for surface energy and water fluxes (Arora 2002). Forest green-up impacts albedo, evapotranspiration, trace gas exchange, and cloud formation via effects on the planetary boundary layer (</w:t>
      </w:r>
      <w:proofErr w:type="spellStart"/>
      <w:r>
        <w:rPr>
          <w:rFonts w:ascii="Times New Roman" w:eastAsia="Times New Roman" w:hAnsi="Times New Roman" w:cs="Times New Roman"/>
          <w:sz w:val="24"/>
          <w:szCs w:val="24"/>
        </w:rPr>
        <w:t>Santanello</w:t>
      </w:r>
      <w:proofErr w:type="spellEnd"/>
      <w:r>
        <w:rPr>
          <w:rFonts w:ascii="Times New Roman" w:eastAsia="Times New Roman" w:hAnsi="Times New Roman" w:cs="Times New Roman"/>
          <w:sz w:val="24"/>
          <w:szCs w:val="24"/>
        </w:rPr>
        <w:t xml:space="preserve"> et al. 2007).</w:t>
      </w:r>
    </w:p>
    <w:p w14:paraId="00000015" w14:textId="77777777" w:rsidR="00B40456" w:rsidRDefault="009668C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addition to providing information about a forest’s carbon sequestration potential, the green-up date has been used in recent decades as a proxy for global climate change itself. The green-up date is one of the best metrics to examine how climate impacts an ecosystem’s biology and metabolism, factors that then control the ecosystem’s productivity. Numerous studies have shown that green-up has shifted progressively earlier as climate warms (Keenan et al., 2014; </w:t>
      </w:r>
      <w:proofErr w:type="spellStart"/>
      <w:r>
        <w:rPr>
          <w:rFonts w:ascii="Times New Roman" w:eastAsia="Times New Roman" w:hAnsi="Times New Roman" w:cs="Times New Roman"/>
          <w:sz w:val="24"/>
          <w:szCs w:val="24"/>
        </w:rPr>
        <w:t>Jeong</w:t>
      </w:r>
      <w:proofErr w:type="spellEnd"/>
      <w:r>
        <w:rPr>
          <w:rFonts w:ascii="Times New Roman" w:eastAsia="Times New Roman" w:hAnsi="Times New Roman" w:cs="Times New Roman"/>
          <w:sz w:val="24"/>
          <w:szCs w:val="24"/>
        </w:rPr>
        <w:t xml:space="preserve"> et al. 2011; Zhang et al. 2004). However, these dynamics vary over latitudes and ecosystem types, and require closer study to examine and predict how green-up is changing. Perhaps most importantly, the green-up date has direct implications for a forest’s photosynthetic productivity and carbon sequestration potential. The start date of the growing season plays a large role in determining its length, which then determines the amount of carbon uptake throughout the duration of the growing season (White et al., 1999; Keenan et al. 2014; Tao et al. 2020). Additionally, recent studies have examined the impacts of climate change on the timing of autumn senescence, finding that leaf-fall is delayed in many cases by climate change (</w:t>
      </w:r>
      <w:r>
        <w:rPr>
          <w:rFonts w:ascii="Times New Roman" w:eastAsia="Times New Roman" w:hAnsi="Times New Roman" w:cs="Times New Roman"/>
          <w:sz w:val="24"/>
          <w:szCs w:val="24"/>
          <w:highlight w:val="white"/>
        </w:rPr>
        <w:t xml:space="preserve">Ibáñez et al. 2010; </w:t>
      </w:r>
      <w:proofErr w:type="spellStart"/>
      <w:r>
        <w:rPr>
          <w:rFonts w:ascii="Times New Roman" w:eastAsia="Times New Roman" w:hAnsi="Times New Roman" w:cs="Times New Roman"/>
          <w:sz w:val="24"/>
          <w:szCs w:val="24"/>
          <w:highlight w:val="white"/>
        </w:rPr>
        <w:t>Gonsamo</w:t>
      </w:r>
      <w:proofErr w:type="spellEnd"/>
      <w:r>
        <w:rPr>
          <w:rFonts w:ascii="Times New Roman" w:eastAsia="Times New Roman" w:hAnsi="Times New Roman" w:cs="Times New Roman"/>
          <w:sz w:val="24"/>
          <w:szCs w:val="24"/>
          <w:highlight w:val="white"/>
        </w:rPr>
        <w:t xml:space="preserve"> et al. 2017). Together, the earlier green-up and delayed autumn senescence </w:t>
      </w:r>
      <w:r>
        <w:rPr>
          <w:rFonts w:ascii="Times New Roman" w:eastAsia="Times New Roman" w:hAnsi="Times New Roman" w:cs="Times New Roman"/>
          <w:sz w:val="24"/>
          <w:szCs w:val="24"/>
          <w:highlight w:val="white"/>
        </w:rPr>
        <w:lastRenderedPageBreak/>
        <w:t xml:space="preserve">could lead to an overall increase in carbon uptake, therefore mitigating some increases in anthropogenic emission of carbon dioxide. </w:t>
      </w:r>
    </w:p>
    <w:p w14:paraId="00000016" w14:textId="77777777" w:rsidR="00B40456" w:rsidRDefault="009668C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Experimental studies have also investigated the impacts of anthropogenic carbon emissions on forest photosynthetic productivity, investigating the potential “boost” that </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highlight w:val="white"/>
        </w:rPr>
        <w:t xml:space="preserve"> emissions could provide for forest photosynthesis. Free Air Carbon Enrichment (FACE) uses vent pipes to release </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highlight w:val="white"/>
        </w:rPr>
        <w:t>-enriched air at the periphery of forest plots, which is then dispersed across the area via wind and diffusion. These FACE experiments have found that carbon enrichment at levels within 475-600 ppm leads to increased light carbon uptake and increased forest productivity (Ainsworth et al. 2004). Additionally, stomatal conductance decreased as a result of heightened carbon levels, which could reduce plant water stress, an important factor considering growing drought concerns (</w:t>
      </w:r>
      <w:proofErr w:type="spellStart"/>
      <w:r>
        <w:rPr>
          <w:rFonts w:ascii="Times New Roman" w:eastAsia="Times New Roman" w:hAnsi="Times New Roman" w:cs="Times New Roman"/>
          <w:sz w:val="24"/>
          <w:szCs w:val="24"/>
          <w:highlight w:val="white"/>
        </w:rPr>
        <w:t>Bernacchi</w:t>
      </w:r>
      <w:proofErr w:type="spellEnd"/>
      <w:r>
        <w:rPr>
          <w:rFonts w:ascii="Times New Roman" w:eastAsia="Times New Roman" w:hAnsi="Times New Roman" w:cs="Times New Roman"/>
          <w:sz w:val="24"/>
          <w:szCs w:val="24"/>
          <w:highlight w:val="white"/>
        </w:rPr>
        <w:t xml:space="preserve"> et al. 2003). </w:t>
      </w:r>
    </w:p>
    <w:p w14:paraId="00000017" w14:textId="77777777" w:rsidR="00B40456" w:rsidRDefault="009668C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longer and more productive growing season bodes well for mitigating climate change. However, these altered dynamics could also lead to the earlier depletion of plant-available water, therefore decreasing overall growth and productivity (</w:t>
      </w:r>
      <w:proofErr w:type="spellStart"/>
      <w:r>
        <w:rPr>
          <w:rFonts w:ascii="Times New Roman" w:eastAsia="Times New Roman" w:hAnsi="Times New Roman" w:cs="Times New Roman"/>
          <w:sz w:val="24"/>
          <w:szCs w:val="24"/>
          <w:highlight w:val="white"/>
        </w:rPr>
        <w:t>Buermann</w:t>
      </w:r>
      <w:proofErr w:type="spellEnd"/>
      <w:r>
        <w:rPr>
          <w:rFonts w:ascii="Times New Roman" w:eastAsia="Times New Roman" w:hAnsi="Times New Roman" w:cs="Times New Roman"/>
          <w:sz w:val="24"/>
          <w:szCs w:val="24"/>
          <w:highlight w:val="white"/>
        </w:rPr>
        <w:t xml:space="preserve"> et al. 2018; </w:t>
      </w:r>
      <w:proofErr w:type="spellStart"/>
      <w:r>
        <w:rPr>
          <w:rFonts w:ascii="Times New Roman" w:eastAsia="Times New Roman" w:hAnsi="Times New Roman" w:cs="Times New Roman"/>
          <w:sz w:val="24"/>
          <w:szCs w:val="24"/>
          <w:highlight w:val="white"/>
        </w:rPr>
        <w:t>Gonsamo</w:t>
      </w:r>
      <w:proofErr w:type="spellEnd"/>
      <w:r>
        <w:rPr>
          <w:rFonts w:ascii="Times New Roman" w:eastAsia="Times New Roman" w:hAnsi="Times New Roman" w:cs="Times New Roman"/>
          <w:sz w:val="24"/>
          <w:szCs w:val="24"/>
          <w:highlight w:val="white"/>
        </w:rPr>
        <w:t xml:space="preserve"> et al. 2019). Additionally, autumn warming could lead to net losses of </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highlight w:val="white"/>
        </w:rPr>
        <w:t xml:space="preserve"> from the longer growing season (Piao et al. 2008). </w:t>
      </w:r>
    </w:p>
    <w:p w14:paraId="00000018"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start of the growing season plays a crucial role in this complex, multifaceted issue of carbon uptake in a changing climate — therefore, being able to understand and predict forests’ green-up dates is increasingly important. Green-up is also often a crucial parameter in biogeochemical, agricultural, and other ecosystem models (Zhang et al. 2018; </w:t>
      </w:r>
      <w:proofErr w:type="spellStart"/>
      <w:r>
        <w:rPr>
          <w:rFonts w:ascii="Times New Roman" w:eastAsia="Times New Roman" w:hAnsi="Times New Roman" w:cs="Times New Roman"/>
          <w:sz w:val="24"/>
          <w:szCs w:val="24"/>
          <w:highlight w:val="white"/>
        </w:rPr>
        <w:t>Bonan</w:t>
      </w:r>
      <w:proofErr w:type="spellEnd"/>
      <w:r>
        <w:rPr>
          <w:rFonts w:ascii="Times New Roman" w:eastAsia="Times New Roman" w:hAnsi="Times New Roman" w:cs="Times New Roman"/>
          <w:sz w:val="24"/>
          <w:szCs w:val="24"/>
          <w:highlight w:val="white"/>
        </w:rPr>
        <w:t xml:space="preserve"> 2019; Field et al. 2018; Zhao et al. 2012). Not only does the length of the growing season play a large role in determining crop yield (and therefore fuel yield, in the case of cellulosic biofuels, for example), but the presence or absence of a forest canopy also controls latent and sensible heat flux </w:t>
      </w:r>
      <w:r>
        <w:rPr>
          <w:rFonts w:ascii="Times New Roman" w:eastAsia="Times New Roman" w:hAnsi="Times New Roman" w:cs="Times New Roman"/>
          <w:sz w:val="24"/>
          <w:szCs w:val="24"/>
          <w:highlight w:val="white"/>
        </w:rPr>
        <w:lastRenderedPageBreak/>
        <w:t xml:space="preserve">(Schwartz 1992). Being able to understand the drivers of forest green-up across latitudes and ecosystem types would improve the accuracy and implementation of these models. </w:t>
      </w:r>
    </w:p>
    <w:p w14:paraId="00000019" w14:textId="77777777" w:rsidR="00B40456" w:rsidRDefault="009668C9">
      <w:pPr>
        <w:spacing w:line="480" w:lineRule="auto"/>
        <w:rPr>
          <w:rFonts w:ascii="Times New Roman" w:eastAsia="Times New Roman" w:hAnsi="Times New Roman" w:cs="Times New Roman"/>
          <w:sz w:val="24"/>
          <w:szCs w:val="24"/>
        </w:rPr>
        <w:sectPr w:rsidR="00B40456">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et al. tested the phenological hypothesis that the onset date for net carbon uptake by forests (the leaf-out or green-up date) corresponded to the date when the mean soil temperature at the site equals its mean annual air temperature (2005). Originally observed anecdotally in Oak Ridge, Tennessee, this hypothesis was tested across sites in North America and </w:t>
      </w:r>
      <w:proofErr w:type="gramStart"/>
      <w:r>
        <w:rPr>
          <w:rFonts w:ascii="Times New Roman" w:eastAsia="Times New Roman" w:hAnsi="Times New Roman" w:cs="Times New Roman"/>
          <w:sz w:val="24"/>
          <w:szCs w:val="24"/>
        </w:rPr>
        <w:t>Europe, and</w:t>
      </w:r>
      <w:proofErr w:type="gramEnd"/>
      <w:r>
        <w:rPr>
          <w:rFonts w:ascii="Times New Roman" w:eastAsia="Times New Roman" w:hAnsi="Times New Roman" w:cs="Times New Roman"/>
          <w:sz w:val="24"/>
          <w:szCs w:val="24"/>
        </w:rPr>
        <w:t xml:space="preserve"> was found to explain 61% of variance. Mechanistically, this hypothesis can be justified by the relationship between soil temperature and accumulated heat and chill units. To balance the potential benefits of bud burst with the dangers of frost damage, plants have evolved to use temperature cues to time their leaf-out — as modelled by plant phenologists, the plant must accumulate a certain number of “chilling units” during their winter endodormancy, and a certain number of heat units, or heat </w:t>
      </w:r>
      <w:proofErr w:type="spellStart"/>
      <w:r>
        <w:rPr>
          <w:rFonts w:ascii="Times New Roman" w:eastAsia="Times New Roman" w:hAnsi="Times New Roman" w:cs="Times New Roman"/>
          <w:sz w:val="24"/>
          <w:szCs w:val="24"/>
        </w:rPr>
        <w:t>forcings</w:t>
      </w:r>
      <w:proofErr w:type="spellEnd"/>
      <w:r>
        <w:rPr>
          <w:rFonts w:ascii="Times New Roman" w:eastAsia="Times New Roman" w:hAnsi="Times New Roman" w:cs="Times New Roman"/>
          <w:sz w:val="24"/>
          <w:szCs w:val="24"/>
        </w:rPr>
        <w:t xml:space="preserve">, in the spring that trigger bud swelling and burst (Samish 1954; </w:t>
      </w:r>
      <w:proofErr w:type="spellStart"/>
      <w:r>
        <w:rPr>
          <w:rFonts w:ascii="Times New Roman" w:eastAsia="Times New Roman" w:hAnsi="Times New Roman" w:cs="Times New Roman"/>
          <w:sz w:val="24"/>
          <w:szCs w:val="24"/>
        </w:rPr>
        <w:t>Saure</w:t>
      </w:r>
      <w:proofErr w:type="spellEnd"/>
      <w:r>
        <w:rPr>
          <w:rFonts w:ascii="Times New Roman" w:eastAsia="Times New Roman" w:hAnsi="Times New Roman" w:cs="Times New Roman"/>
          <w:sz w:val="24"/>
          <w:szCs w:val="24"/>
        </w:rPr>
        <w:t xml:space="preserve"> 1985; Tanja et al. 2003; Basler et al. 2012; </w:t>
      </w:r>
      <w:proofErr w:type="spellStart"/>
      <w:r>
        <w:rPr>
          <w:rFonts w:ascii="Times New Roman" w:eastAsia="Times New Roman" w:hAnsi="Times New Roman" w:cs="Times New Roman"/>
          <w:sz w:val="24"/>
          <w:szCs w:val="24"/>
        </w:rPr>
        <w:t>Campoy</w:t>
      </w:r>
      <w:proofErr w:type="spellEnd"/>
      <w:r>
        <w:rPr>
          <w:rFonts w:ascii="Times New Roman" w:eastAsia="Times New Roman" w:hAnsi="Times New Roman" w:cs="Times New Roman"/>
          <w:sz w:val="24"/>
          <w:szCs w:val="24"/>
        </w:rPr>
        <w:t xml:space="preserve"> et al. 2011). Essentially, trees have evolved to sense how long winter was, and how long the start of spring has been, to determine the time of least risk to put out leaves for the spring. Soil temperature can be used as a proxy for these heat and chill units due to its thermal inertia — its tendency and ability to hold heat (</w:t>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et al. 2005). This explains why such a strong correlation has been found between the annual trajectory of soil temperature, mean annual air temperature, and forest green-up.</w:t>
      </w:r>
    </w:p>
    <w:p w14:paraId="0000001A"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study, we retest the hypothesis of </w:t>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et al. (2005) with over 50 site-years of new data across the United States, sourced from </w:t>
      </w:r>
      <w:proofErr w:type="spellStart"/>
      <w:r>
        <w:rPr>
          <w:rFonts w:ascii="Times New Roman" w:eastAsia="Times New Roman" w:hAnsi="Times New Roman" w:cs="Times New Roman"/>
          <w:sz w:val="24"/>
          <w:szCs w:val="24"/>
        </w:rPr>
        <w:t>AmeriFlux</w:t>
      </w:r>
      <w:proofErr w:type="spellEnd"/>
      <w:r>
        <w:rPr>
          <w:rFonts w:ascii="Times New Roman" w:eastAsia="Times New Roman" w:hAnsi="Times New Roman" w:cs="Times New Roman"/>
          <w:sz w:val="24"/>
          <w:szCs w:val="24"/>
        </w:rPr>
        <w:t xml:space="preserve">, a network of PI-managed meteorological sites, and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an ecosystem phenology camera network using digital cameras at over 500 study sites to continually monitor and record vegetation and ecosystem data. </w:t>
      </w:r>
    </w:p>
    <w:p w14:paraId="0000001B" w14:textId="77777777" w:rsidR="00B40456" w:rsidRDefault="00B40456">
      <w:pPr>
        <w:spacing w:line="480" w:lineRule="auto"/>
        <w:rPr>
          <w:rFonts w:ascii="Times New Roman" w:eastAsia="Times New Roman" w:hAnsi="Times New Roman" w:cs="Times New Roman"/>
          <w:sz w:val="24"/>
          <w:szCs w:val="24"/>
        </w:rPr>
        <w:sectPr w:rsidR="00B40456">
          <w:type w:val="continuous"/>
          <w:pgSz w:w="12240" w:h="15840"/>
          <w:pgMar w:top="1440" w:right="1440" w:bottom="1440" w:left="1440" w:header="720" w:footer="720" w:gutter="0"/>
          <w:cols w:space="720" w:equalWidth="0">
            <w:col w:w="9360" w:space="0"/>
          </w:cols>
        </w:sectPr>
      </w:pPr>
    </w:p>
    <w:p w14:paraId="0000001C" w14:textId="77777777" w:rsidR="00B40456" w:rsidRDefault="00B40456">
      <w:pPr>
        <w:spacing w:line="480" w:lineRule="auto"/>
        <w:rPr>
          <w:rFonts w:ascii="Times New Roman" w:eastAsia="Times New Roman" w:hAnsi="Times New Roman" w:cs="Times New Roman"/>
          <w:sz w:val="24"/>
          <w:szCs w:val="24"/>
        </w:rPr>
        <w:sectPr w:rsidR="00B40456">
          <w:type w:val="continuous"/>
          <w:pgSz w:w="12240" w:h="15840"/>
          <w:pgMar w:top="1440" w:right="1440" w:bottom="1440" w:left="1440" w:header="720" w:footer="720" w:gutter="0"/>
          <w:cols w:space="720" w:equalWidth="0">
            <w:col w:w="9360" w:space="0"/>
          </w:cols>
        </w:sectPr>
      </w:pPr>
    </w:p>
    <w:p w14:paraId="0000001D" w14:textId="77777777" w:rsidR="00B40456" w:rsidRDefault="009668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Methods</w:t>
      </w:r>
    </w:p>
    <w:p w14:paraId="0000001E" w14:textId="77777777" w:rsidR="00B40456" w:rsidRDefault="00B40456">
      <w:pPr>
        <w:spacing w:line="480" w:lineRule="auto"/>
        <w:rPr>
          <w:rFonts w:ascii="Times New Roman" w:eastAsia="Times New Roman" w:hAnsi="Times New Roman" w:cs="Times New Roman"/>
          <w:sz w:val="24"/>
          <w:szCs w:val="24"/>
        </w:rPr>
      </w:pPr>
    </w:p>
    <w:p w14:paraId="0000001F"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joint </w:t>
      </w:r>
      <w:proofErr w:type="spellStart"/>
      <w:r>
        <w:rPr>
          <w:rFonts w:ascii="Times New Roman" w:eastAsia="Times New Roman" w:hAnsi="Times New Roman" w:cs="Times New Roman"/>
          <w:sz w:val="24"/>
          <w:szCs w:val="24"/>
        </w:rPr>
        <w:t>AmeriFlux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sites used in this study include a wide range of latitudes across the US. Sites originally studied by </w:t>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et al. (2005) were included, as well as new sites to examine </w:t>
      </w:r>
      <w:proofErr w:type="gramStart"/>
      <w:r>
        <w:rPr>
          <w:rFonts w:ascii="Times New Roman" w:eastAsia="Times New Roman" w:hAnsi="Times New Roman" w:cs="Times New Roman"/>
          <w:sz w:val="24"/>
          <w:szCs w:val="24"/>
        </w:rPr>
        <w:t>particular regions</w:t>
      </w:r>
      <w:proofErr w:type="gramEnd"/>
      <w:r>
        <w:rPr>
          <w:rFonts w:ascii="Times New Roman" w:eastAsia="Times New Roman" w:hAnsi="Times New Roman" w:cs="Times New Roman"/>
          <w:sz w:val="24"/>
          <w:szCs w:val="24"/>
        </w:rPr>
        <w:t xml:space="preserve"> of interest. All sites included primarily deciduous broadleaf species, with some conifers and grasslands. A site table listing locations, years, forest genera and species, and latitude and longitude is shown below (Table 1). </w:t>
      </w:r>
      <w:proofErr w:type="gramStart"/>
      <w:r>
        <w:rPr>
          <w:rFonts w:ascii="Times New Roman" w:eastAsia="Times New Roman" w:hAnsi="Times New Roman" w:cs="Times New Roman"/>
          <w:sz w:val="24"/>
          <w:szCs w:val="24"/>
        </w:rPr>
        <w:t>Air temperature (TA),</w:t>
      </w:r>
      <w:proofErr w:type="gramEnd"/>
      <w:r>
        <w:rPr>
          <w:rFonts w:ascii="Times New Roman" w:eastAsia="Times New Roman" w:hAnsi="Times New Roman" w:cs="Times New Roman"/>
          <w:sz w:val="24"/>
          <w:szCs w:val="24"/>
        </w:rPr>
        <w:t xml:space="preserve"> measured half-hourly above the canopy, and soil temperature (TS) data for each site were acquired from open-access </w:t>
      </w:r>
      <w:proofErr w:type="spellStart"/>
      <w:r>
        <w:rPr>
          <w:rFonts w:ascii="Times New Roman" w:eastAsia="Times New Roman" w:hAnsi="Times New Roman" w:cs="Times New Roman"/>
          <w:sz w:val="24"/>
          <w:szCs w:val="24"/>
        </w:rPr>
        <w:t>AmeriFlux</w:t>
      </w:r>
      <w:proofErr w:type="spellEnd"/>
      <w:r>
        <w:rPr>
          <w:rFonts w:ascii="Times New Roman" w:eastAsia="Times New Roman" w:hAnsi="Times New Roman" w:cs="Times New Roman"/>
          <w:sz w:val="24"/>
          <w:szCs w:val="24"/>
        </w:rPr>
        <w:t xml:space="preserve"> datasets. While available recorded depths varied for soil temperature data across sites, the median depth available at each site was selected. Soil temperature was often gap-filled by the site team. To examine the green-up dates at each site, publicly available data via the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site was used. </w:t>
      </w:r>
      <w:r>
        <w:br w:type="page"/>
      </w:r>
    </w:p>
    <w:p w14:paraId="00000020"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1: </w:t>
      </w:r>
      <w:r>
        <w:rPr>
          <w:rFonts w:ascii="Times New Roman" w:eastAsia="Times New Roman" w:hAnsi="Times New Roman" w:cs="Times New Roman"/>
          <w:sz w:val="24"/>
          <w:szCs w:val="24"/>
        </w:rPr>
        <w:t>Includes all study sites, with start and end years, forest genera and species, latitude, and longitude. (</w:t>
      </w:r>
      <w:proofErr w:type="spellStart"/>
      <w:r>
        <w:rPr>
          <w:rFonts w:ascii="Times New Roman" w:eastAsia="Times New Roman" w:hAnsi="Times New Roman" w:cs="Times New Roman"/>
          <w:sz w:val="24"/>
          <w:szCs w:val="24"/>
        </w:rPr>
        <w:t>Ouimette</w:t>
      </w:r>
      <w:proofErr w:type="spellEnd"/>
      <w:r>
        <w:rPr>
          <w:rFonts w:ascii="Times New Roman" w:eastAsia="Times New Roman" w:hAnsi="Times New Roman" w:cs="Times New Roman"/>
          <w:sz w:val="24"/>
          <w:szCs w:val="24"/>
        </w:rPr>
        <w:t xml:space="preserve"> et al. 2018; Meyers 2016; Novick and Phillips 2020; Wood and </w:t>
      </w:r>
      <w:proofErr w:type="spellStart"/>
      <w:r>
        <w:rPr>
          <w:rFonts w:ascii="Times New Roman" w:eastAsia="Times New Roman" w:hAnsi="Times New Roman" w:cs="Times New Roman"/>
          <w:sz w:val="24"/>
          <w:szCs w:val="24"/>
        </w:rPr>
        <w:t>Lianhong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2019; Ma et al. 2016; Arain 2018; Gough et al. 2021; Desai 2021)</w:t>
      </w:r>
      <w:r>
        <w:rPr>
          <w:noProof/>
        </w:rPr>
        <w:drawing>
          <wp:anchor distT="114300" distB="114300" distL="114300" distR="114300" simplePos="0" relativeHeight="251658240" behindDoc="0" locked="0" layoutInCell="1" hidden="0" allowOverlap="1" wp14:anchorId="295483F1" wp14:editId="2A567CC9">
            <wp:simplePos x="0" y="0"/>
            <wp:positionH relativeFrom="column">
              <wp:posOffset>-447674</wp:posOffset>
            </wp:positionH>
            <wp:positionV relativeFrom="paragraph">
              <wp:posOffset>114300</wp:posOffset>
            </wp:positionV>
            <wp:extent cx="6842378" cy="7158038"/>
            <wp:effectExtent l="0" t="0" r="0" b="0"/>
            <wp:wrapSquare wrapText="bothSides" distT="114300" distB="114300" distL="114300" distR="11430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6842378" cy="7158038"/>
                    </a:xfrm>
                    <a:prstGeom prst="rect">
                      <a:avLst/>
                    </a:prstGeom>
                    <a:ln/>
                  </pic:spPr>
                </pic:pic>
              </a:graphicData>
            </a:graphic>
          </wp:anchor>
        </w:drawing>
      </w:r>
    </w:p>
    <w:p w14:paraId="00000021" w14:textId="77777777" w:rsidR="00B40456" w:rsidRDefault="00B40456">
      <w:pPr>
        <w:ind w:firstLine="720"/>
        <w:rPr>
          <w:rFonts w:ascii="Times New Roman" w:eastAsia="Times New Roman" w:hAnsi="Times New Roman" w:cs="Times New Roman"/>
          <w:sz w:val="24"/>
          <w:szCs w:val="24"/>
        </w:rPr>
      </w:pPr>
    </w:p>
    <w:p w14:paraId="00000022" w14:textId="77777777" w:rsidR="00B40456" w:rsidRDefault="009668C9">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PhenoCam</w:t>
      </w:r>
      <w:proofErr w:type="spellEnd"/>
      <w:r>
        <w:rPr>
          <w:rFonts w:ascii="Times New Roman" w:eastAsia="Times New Roman" w:hAnsi="Times New Roman" w:cs="Times New Roman"/>
          <w:sz w:val="24"/>
          <w:szCs w:val="24"/>
        </w:rPr>
        <w:t xml:space="preserve"> provides near-real time RGB imagery at each of its sites, as well as various vegetation index data such as NDVI. For sites with a single yearly cycle of vegetation activity,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provides date estimates for the ecosystem’s spring “green-up” and autumn “green-down” phases (Richardson et al. 2018). We used </w:t>
      </w:r>
      <w:proofErr w:type="spellStart"/>
      <w:r>
        <w:rPr>
          <w:rFonts w:ascii="Times New Roman" w:eastAsia="Times New Roman" w:hAnsi="Times New Roman" w:cs="Times New Roman"/>
          <w:sz w:val="24"/>
          <w:szCs w:val="24"/>
        </w:rPr>
        <w:t>PhenoCam’s</w:t>
      </w:r>
      <w:proofErr w:type="spellEnd"/>
      <w:r>
        <w:rPr>
          <w:rFonts w:ascii="Times New Roman" w:eastAsia="Times New Roman" w:hAnsi="Times New Roman" w:cs="Times New Roman"/>
          <w:sz w:val="24"/>
          <w:szCs w:val="24"/>
        </w:rPr>
        <w:t xml:space="preserve"> transition estimates derived from 3-day-aggregated vegetation data, selecting the dates that corresponded to 50% of the GCC amplitude for the green-up stage (</w:t>
      </w:r>
      <w:proofErr w:type="spellStart"/>
      <w:r>
        <w:rPr>
          <w:rFonts w:ascii="Times New Roman" w:eastAsia="Times New Roman" w:hAnsi="Times New Roman" w:cs="Times New Roman"/>
          <w:sz w:val="24"/>
          <w:szCs w:val="24"/>
        </w:rPr>
        <w:t>Seyednasrollah</w:t>
      </w:r>
      <w:proofErr w:type="spellEnd"/>
      <w:r>
        <w:rPr>
          <w:rFonts w:ascii="Times New Roman" w:eastAsia="Times New Roman" w:hAnsi="Times New Roman" w:cs="Times New Roman"/>
          <w:sz w:val="24"/>
          <w:szCs w:val="24"/>
        </w:rPr>
        <w:t xml:space="preserve"> et al. 2019). Since a range of green-up dates were provided in the confidence interval, there may be some uncertainty in the data as to the precise date most accurately reflecting the forests’ green-up. To refine these dates for use in future studies, one could integrate by-eye validation of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imagery to detect the dates where the forest begins to put out </w:t>
      </w:r>
      <w:proofErr w:type="gramStart"/>
      <w:r>
        <w:rPr>
          <w:rFonts w:ascii="Times New Roman" w:eastAsia="Times New Roman" w:hAnsi="Times New Roman" w:cs="Times New Roman"/>
          <w:sz w:val="24"/>
          <w:szCs w:val="24"/>
        </w:rPr>
        <w:t>leaves, or</w:t>
      </w:r>
      <w:proofErr w:type="gramEnd"/>
      <w:r>
        <w:rPr>
          <w:rFonts w:ascii="Times New Roman" w:eastAsia="Times New Roman" w:hAnsi="Times New Roman" w:cs="Times New Roman"/>
          <w:sz w:val="24"/>
          <w:szCs w:val="24"/>
        </w:rPr>
        <w:t xml:space="preserve"> combine the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-provided transition dates with observations of daily integrated net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exchange (NEE) or the onset of canopy photosynthesis. </w:t>
      </w:r>
    </w:p>
    <w:p w14:paraId="00000024" w14:textId="272F0B05"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sidR="004015E4">
        <w:rPr>
          <w:rFonts w:ascii="Times New Roman" w:eastAsia="Times New Roman" w:hAnsi="Times New Roman" w:cs="Times New Roman"/>
          <w:sz w:val="24"/>
          <w:szCs w:val="24"/>
        </w:rPr>
        <w:t xml:space="preserve">Half-hourly soil temperature (TS) data was resampled to find daily means, and the half-hourly air temperature (TA) data over the entire study period was resampled to find the mean annual air temperature at each site. The date at which TS crossed over the mean annual air temperature was plotted against the </w:t>
      </w:r>
      <w:proofErr w:type="spellStart"/>
      <w:r w:rsidR="004015E4">
        <w:rPr>
          <w:rFonts w:ascii="Times New Roman" w:eastAsia="Times New Roman" w:hAnsi="Times New Roman" w:cs="Times New Roman"/>
          <w:sz w:val="24"/>
          <w:szCs w:val="24"/>
        </w:rPr>
        <w:t>PhenoCam</w:t>
      </w:r>
      <w:proofErr w:type="spellEnd"/>
      <w:r w:rsidR="004015E4">
        <w:rPr>
          <w:rFonts w:ascii="Times New Roman" w:eastAsia="Times New Roman" w:hAnsi="Times New Roman" w:cs="Times New Roman"/>
          <w:sz w:val="24"/>
          <w:szCs w:val="24"/>
        </w:rPr>
        <w:t>-sourced green-up date to investigate the correlative strength of our hypothesis.</w:t>
      </w:r>
    </w:p>
    <w:p w14:paraId="52C6815A" w14:textId="77777777" w:rsidR="004015E4" w:rsidRDefault="004015E4">
      <w:pPr>
        <w:spacing w:line="480" w:lineRule="auto"/>
        <w:rPr>
          <w:rFonts w:ascii="Times New Roman" w:eastAsia="Times New Roman" w:hAnsi="Times New Roman" w:cs="Times New Roman"/>
          <w:sz w:val="24"/>
          <w:szCs w:val="24"/>
        </w:rPr>
      </w:pPr>
    </w:p>
    <w:p w14:paraId="5DE2E286" w14:textId="3D73B3E0" w:rsidR="0094544B" w:rsidRDefault="0094544B">
      <w:pPr>
        <w:spacing w:line="480" w:lineRule="auto"/>
        <w:rPr>
          <w:rFonts w:ascii="Times New Roman" w:eastAsia="Times New Roman" w:hAnsi="Times New Roman" w:cs="Times New Roman"/>
          <w:i/>
          <w:iCs/>
          <w:sz w:val="24"/>
          <w:szCs w:val="24"/>
        </w:rPr>
      </w:pPr>
      <w:r w:rsidRPr="0094544B">
        <w:rPr>
          <w:rFonts w:ascii="Times New Roman" w:eastAsia="Times New Roman" w:hAnsi="Times New Roman" w:cs="Times New Roman"/>
          <w:i/>
          <w:iCs/>
          <w:sz w:val="24"/>
          <w:szCs w:val="24"/>
        </w:rPr>
        <w:t>Statistical Methods</w:t>
      </w:r>
    </w:p>
    <w:p w14:paraId="1AC86DCC" w14:textId="77777777" w:rsidR="004015E4" w:rsidRPr="004015E4" w:rsidRDefault="004015E4">
      <w:pPr>
        <w:spacing w:line="480" w:lineRule="auto"/>
        <w:rPr>
          <w:rFonts w:ascii="Times New Roman" w:eastAsia="Times New Roman" w:hAnsi="Times New Roman" w:cs="Times New Roman"/>
          <w:sz w:val="24"/>
          <w:szCs w:val="24"/>
        </w:rPr>
      </w:pPr>
    </w:p>
    <w:p w14:paraId="5E8976AC" w14:textId="21C27E4A" w:rsidR="004015E4" w:rsidRPr="004015E4" w:rsidRDefault="0040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14:paraId="55CFDCCF" w14:textId="7215889D" w:rsidR="00F548E8" w:rsidRPr="00F548E8" w:rsidRDefault="00F548E8" w:rsidP="006F160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tools and packages used for this analysis included Pandas and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w:t>
      </w:r>
      <w:r w:rsidR="006F1601">
        <w:rPr>
          <w:rFonts w:ascii="Times New Roman" w:eastAsia="Times New Roman" w:hAnsi="Times New Roman" w:cs="Times New Roman"/>
          <w:sz w:val="24"/>
          <w:szCs w:val="24"/>
        </w:rPr>
        <w:t xml:space="preserve"> To output our</w:t>
      </w:r>
      <w:r>
        <w:rPr>
          <w:rFonts w:ascii="Times New Roman" w:eastAsia="Times New Roman" w:hAnsi="Times New Roman" w:cs="Times New Roman"/>
          <w:sz w:val="24"/>
          <w:szCs w:val="24"/>
        </w:rPr>
        <w:t xml:space="preserve"> visualizations, we used </w:t>
      </w:r>
      <w:proofErr w:type="spellStart"/>
      <w:r>
        <w:rPr>
          <w:rFonts w:ascii="Times New Roman" w:eastAsia="Times New Roman" w:hAnsi="Times New Roman" w:cs="Times New Roman"/>
          <w:sz w:val="24"/>
          <w:szCs w:val="24"/>
        </w:rPr>
        <w:t>Mathplotlib</w:t>
      </w:r>
      <w:proofErr w:type="spellEnd"/>
      <w:r>
        <w:rPr>
          <w:rFonts w:ascii="Times New Roman" w:eastAsia="Times New Roman" w:hAnsi="Times New Roman" w:cs="Times New Roman"/>
          <w:sz w:val="24"/>
          <w:szCs w:val="24"/>
        </w:rPr>
        <w:t xml:space="preserve"> and Seaborn packages. </w:t>
      </w:r>
    </w:p>
    <w:p w14:paraId="39576D82" w14:textId="6A10F2B5" w:rsidR="004015E4" w:rsidRDefault="004015E4" w:rsidP="006F1601">
      <w:pPr>
        <w:spacing w:line="480" w:lineRule="auto"/>
        <w:ind w:firstLine="720"/>
        <w:rPr>
          <w:rFonts w:ascii="Times New Roman" w:eastAsia="Times New Roman" w:hAnsi="Times New Roman" w:cs="Times New Roman"/>
          <w:sz w:val="24"/>
          <w:szCs w:val="24"/>
        </w:rPr>
      </w:pPr>
    </w:p>
    <w:p w14:paraId="273C0BD5" w14:textId="0277D828" w:rsidR="004015E4" w:rsidRDefault="004015E4" w:rsidP="0040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 Outliers, and Missing Values</w:t>
      </w:r>
    </w:p>
    <w:p w14:paraId="04057F85" w14:textId="54709ACE" w:rsidR="0094544B" w:rsidRDefault="0094544B" w:rsidP="002106B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proofErr w:type="spellStart"/>
      <w:r>
        <w:rPr>
          <w:rFonts w:ascii="Times New Roman" w:eastAsia="Times New Roman" w:hAnsi="Times New Roman" w:cs="Times New Roman"/>
          <w:sz w:val="24"/>
          <w:szCs w:val="24"/>
        </w:rPr>
        <w:t>Ameriflux</w:t>
      </w:r>
      <w:proofErr w:type="spellEnd"/>
      <w:r>
        <w:rPr>
          <w:rFonts w:ascii="Times New Roman" w:eastAsia="Times New Roman" w:hAnsi="Times New Roman" w:cs="Times New Roman"/>
          <w:sz w:val="24"/>
          <w:szCs w:val="24"/>
        </w:rPr>
        <w:t xml:space="preserve"> data, the independent variable was the timestamp at which the soil and air temperatures (our dependent variables) were collected. We observed no outliers for our temperature data, </w:t>
      </w:r>
      <w:r w:rsidR="002106BC">
        <w:rPr>
          <w:rFonts w:ascii="Times New Roman" w:eastAsia="Times New Roman" w:hAnsi="Times New Roman" w:cs="Times New Roman"/>
          <w:sz w:val="24"/>
          <w:szCs w:val="24"/>
        </w:rPr>
        <w:t>except for</w:t>
      </w:r>
      <w:r>
        <w:rPr>
          <w:rFonts w:ascii="Times New Roman" w:eastAsia="Times New Roman" w:hAnsi="Times New Roman" w:cs="Times New Roman"/>
          <w:sz w:val="24"/>
          <w:szCs w:val="24"/>
        </w:rPr>
        <w:t xml:space="preserve"> temperatures recorded as -9999. We </w:t>
      </w:r>
      <w:r w:rsidR="000E71DF">
        <w:rPr>
          <w:rFonts w:ascii="Times New Roman" w:eastAsia="Times New Roman" w:hAnsi="Times New Roman" w:cs="Times New Roman"/>
          <w:sz w:val="24"/>
          <w:szCs w:val="24"/>
        </w:rPr>
        <w:t>determined</w:t>
      </w:r>
      <w:r>
        <w:rPr>
          <w:rFonts w:ascii="Times New Roman" w:eastAsia="Times New Roman" w:hAnsi="Times New Roman" w:cs="Times New Roman"/>
          <w:sz w:val="24"/>
          <w:szCs w:val="24"/>
        </w:rPr>
        <w:t xml:space="preserve"> that this meant the data </w:t>
      </w:r>
      <w:r w:rsidR="000F145E">
        <w:rPr>
          <w:rFonts w:ascii="Times New Roman" w:eastAsia="Times New Roman" w:hAnsi="Times New Roman" w:cs="Times New Roman"/>
          <w:sz w:val="24"/>
          <w:szCs w:val="24"/>
        </w:rPr>
        <w:t xml:space="preserve">for this entry </w:t>
      </w:r>
      <w:r>
        <w:rPr>
          <w:rFonts w:ascii="Times New Roman" w:eastAsia="Times New Roman" w:hAnsi="Times New Roman" w:cs="Times New Roman"/>
          <w:sz w:val="24"/>
          <w:szCs w:val="24"/>
        </w:rPr>
        <w:t xml:space="preserve">was missing, and therefore </w:t>
      </w:r>
      <w:r w:rsidR="002106BC">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omitted rows with this </w:t>
      </w:r>
      <w:r w:rsidR="000F145E">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in our analysis. Our purpose for omitting missing data entirely </w:t>
      </w:r>
      <w:r w:rsidR="000E71DF">
        <w:rPr>
          <w:rFonts w:ascii="Times New Roman" w:eastAsia="Times New Roman" w:hAnsi="Times New Roman" w:cs="Times New Roman"/>
          <w:sz w:val="24"/>
          <w:szCs w:val="24"/>
        </w:rPr>
        <w:t>as opposed to</w:t>
      </w:r>
      <w:r>
        <w:rPr>
          <w:rFonts w:ascii="Times New Roman" w:eastAsia="Times New Roman" w:hAnsi="Times New Roman" w:cs="Times New Roman"/>
          <w:sz w:val="24"/>
          <w:szCs w:val="24"/>
        </w:rPr>
        <w:t xml:space="preserve"> interpolating </w:t>
      </w:r>
      <w:r w:rsidR="000E71D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data was that </w:t>
      </w:r>
      <w:r w:rsidR="002106BC">
        <w:rPr>
          <w:rFonts w:ascii="Times New Roman" w:eastAsia="Times New Roman" w:hAnsi="Times New Roman" w:cs="Times New Roman"/>
          <w:sz w:val="24"/>
          <w:szCs w:val="24"/>
        </w:rPr>
        <w:t xml:space="preserve">whenever there was missing data in the “middle” of the dataset, it would often span several rows. For this reason, it is likely that interpolating would fail to capture the cyclical pattern of temperature, but rather falsely represent a stable temperature over a large </w:t>
      </w:r>
      <w:proofErr w:type="gramStart"/>
      <w:r w:rsidR="002106BC">
        <w:rPr>
          <w:rFonts w:ascii="Times New Roman" w:eastAsia="Times New Roman" w:hAnsi="Times New Roman" w:cs="Times New Roman"/>
          <w:sz w:val="24"/>
          <w:szCs w:val="24"/>
        </w:rPr>
        <w:t>period of time</w:t>
      </w:r>
      <w:proofErr w:type="gramEnd"/>
      <w:r w:rsidR="002106BC">
        <w:rPr>
          <w:rFonts w:ascii="Times New Roman" w:eastAsia="Times New Roman" w:hAnsi="Times New Roman" w:cs="Times New Roman"/>
          <w:sz w:val="24"/>
          <w:szCs w:val="24"/>
        </w:rPr>
        <w:t xml:space="preserve">. </w:t>
      </w:r>
      <w:r w:rsidR="002106BC">
        <w:rPr>
          <w:rFonts w:ascii="Times New Roman" w:eastAsia="Times New Roman" w:hAnsi="Times New Roman" w:cs="Times New Roman"/>
          <w:sz w:val="24"/>
          <w:szCs w:val="24"/>
        </w:rPr>
        <w:t xml:space="preserve">In addition, </w:t>
      </w:r>
      <w:r>
        <w:rPr>
          <w:rFonts w:ascii="Times New Roman" w:eastAsia="Times New Roman" w:hAnsi="Times New Roman" w:cs="Times New Roman"/>
          <w:sz w:val="24"/>
          <w:szCs w:val="24"/>
        </w:rPr>
        <w:t xml:space="preserve">we often found the missing data to be in the beginning and the end </w:t>
      </w:r>
      <w:r w:rsidR="000E71DF">
        <w:rPr>
          <w:rFonts w:ascii="Times New Roman" w:eastAsia="Times New Roman" w:hAnsi="Times New Roman" w:cs="Times New Roman"/>
          <w:sz w:val="24"/>
          <w:szCs w:val="24"/>
        </w:rPr>
        <w:t xml:space="preserve">extremes </w:t>
      </w:r>
      <w:r>
        <w:rPr>
          <w:rFonts w:ascii="Times New Roman" w:eastAsia="Times New Roman" w:hAnsi="Times New Roman" w:cs="Times New Roman"/>
          <w:sz w:val="24"/>
          <w:szCs w:val="24"/>
        </w:rPr>
        <w:t xml:space="preserve">of the </w:t>
      </w:r>
      <w:r w:rsidR="00A01C2C">
        <w:rPr>
          <w:rFonts w:ascii="Times New Roman" w:eastAsia="Times New Roman" w:hAnsi="Times New Roman" w:cs="Times New Roman"/>
          <w:sz w:val="24"/>
          <w:szCs w:val="24"/>
        </w:rPr>
        <w:t>datasets</w:t>
      </w:r>
      <w:r w:rsidR="000E71DF">
        <w:rPr>
          <w:rFonts w:ascii="Times New Roman" w:eastAsia="Times New Roman" w:hAnsi="Times New Roman" w:cs="Times New Roman"/>
          <w:sz w:val="24"/>
          <w:szCs w:val="24"/>
        </w:rPr>
        <w:t>. I</w:t>
      </w:r>
      <w:r w:rsidR="00A01C2C">
        <w:rPr>
          <w:rFonts w:ascii="Times New Roman" w:eastAsia="Times New Roman" w:hAnsi="Times New Roman" w:cs="Times New Roman"/>
          <w:sz w:val="24"/>
          <w:szCs w:val="24"/>
        </w:rPr>
        <w:t xml:space="preserve">t </w:t>
      </w:r>
      <w:r w:rsidR="000E71DF">
        <w:rPr>
          <w:rFonts w:ascii="Times New Roman" w:eastAsia="Times New Roman" w:hAnsi="Times New Roman" w:cs="Times New Roman"/>
          <w:sz w:val="24"/>
          <w:szCs w:val="24"/>
        </w:rPr>
        <w:t xml:space="preserve">therefore </w:t>
      </w:r>
      <w:r w:rsidR="00A01C2C">
        <w:rPr>
          <w:rFonts w:ascii="Times New Roman" w:eastAsia="Times New Roman" w:hAnsi="Times New Roman" w:cs="Times New Roman"/>
          <w:sz w:val="24"/>
          <w:szCs w:val="24"/>
        </w:rPr>
        <w:t xml:space="preserve">made more sense to focus </w:t>
      </w:r>
      <w:r w:rsidR="000E71DF">
        <w:rPr>
          <w:rFonts w:ascii="Times New Roman" w:eastAsia="Times New Roman" w:hAnsi="Times New Roman" w:cs="Times New Roman"/>
          <w:sz w:val="24"/>
          <w:szCs w:val="24"/>
        </w:rPr>
        <w:t xml:space="preserve">on a subset of entries </w:t>
      </w:r>
      <w:r w:rsidR="000F145E">
        <w:rPr>
          <w:rFonts w:ascii="Times New Roman" w:eastAsia="Times New Roman" w:hAnsi="Times New Roman" w:cs="Times New Roman"/>
          <w:sz w:val="24"/>
          <w:szCs w:val="24"/>
        </w:rPr>
        <w:t xml:space="preserve">across which </w:t>
      </w:r>
      <w:r w:rsidR="00A01C2C">
        <w:rPr>
          <w:rFonts w:ascii="Times New Roman" w:eastAsia="Times New Roman" w:hAnsi="Times New Roman" w:cs="Times New Roman"/>
          <w:sz w:val="24"/>
          <w:szCs w:val="24"/>
        </w:rPr>
        <w:t>we had more consistently available data</w:t>
      </w:r>
      <w:r w:rsidR="002106BC">
        <w:rPr>
          <w:rFonts w:ascii="Times New Roman" w:eastAsia="Times New Roman" w:hAnsi="Times New Roman" w:cs="Times New Roman"/>
          <w:sz w:val="24"/>
          <w:szCs w:val="24"/>
        </w:rPr>
        <w:t>.</w:t>
      </w:r>
    </w:p>
    <w:p w14:paraId="53DD0718" w14:textId="4AAC1E2B" w:rsidR="006F1601" w:rsidRDefault="006F1601">
      <w:pPr>
        <w:spacing w:line="480" w:lineRule="auto"/>
        <w:rPr>
          <w:rFonts w:ascii="Times New Roman" w:eastAsia="Times New Roman" w:hAnsi="Times New Roman" w:cs="Times New Roman"/>
          <w:sz w:val="24"/>
          <w:szCs w:val="24"/>
        </w:rPr>
      </w:pPr>
    </w:p>
    <w:p w14:paraId="480E34D6" w14:textId="482E525C" w:rsidR="004015E4" w:rsidRDefault="0040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Procedure</w:t>
      </w:r>
    </w:p>
    <w:p w14:paraId="21FE4A11" w14:textId="2C2F394E" w:rsidR="000D47E9" w:rsidRDefault="004015E4"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Half-hourly soil temperature (TS) data was resampled to find daily means, and the half-hourly air temperature (TA) data over the entire study period was resampled to find the mean annual air temperature at each site. The date at which TS crossed over the mean annual air temperature was plotted against the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-sourced green-up date to investigate the correlative strength of our hypothesis. </w:t>
      </w:r>
      <w:r w:rsidR="0066782A">
        <w:rPr>
          <w:rFonts w:ascii="Times New Roman" w:eastAsia="Times New Roman" w:hAnsi="Times New Roman" w:cs="Times New Roman"/>
          <w:sz w:val="24"/>
          <w:szCs w:val="24"/>
        </w:rPr>
        <w:t xml:space="preserve">We wished to perform a linear regression between the temperature records, but first we had to check for assumptions of a linear regression, namely linearity, </w:t>
      </w:r>
      <w:r w:rsidR="009D243D">
        <w:rPr>
          <w:rFonts w:ascii="Times New Roman" w:eastAsia="Times New Roman" w:hAnsi="Times New Roman" w:cs="Times New Roman"/>
          <w:sz w:val="24"/>
          <w:szCs w:val="24"/>
        </w:rPr>
        <w:t xml:space="preserve">homoscedasticity, </w:t>
      </w:r>
      <w:r w:rsidR="0066782A">
        <w:rPr>
          <w:rFonts w:ascii="Times New Roman" w:eastAsia="Times New Roman" w:hAnsi="Times New Roman" w:cs="Times New Roman"/>
          <w:sz w:val="24"/>
          <w:szCs w:val="24"/>
        </w:rPr>
        <w:t xml:space="preserve">co-linearity, and normality of the distribution. </w:t>
      </w:r>
      <w:r w:rsidR="000D47E9">
        <w:rPr>
          <w:rFonts w:ascii="Times New Roman" w:eastAsia="Times New Roman" w:hAnsi="Times New Roman" w:cs="Times New Roman"/>
          <w:sz w:val="24"/>
          <w:szCs w:val="24"/>
        </w:rPr>
        <w:t>To check linearity</w:t>
      </w:r>
      <w:r w:rsidR="009D243D">
        <w:rPr>
          <w:rFonts w:ascii="Times New Roman" w:eastAsia="Times New Roman" w:hAnsi="Times New Roman" w:cs="Times New Roman"/>
          <w:sz w:val="24"/>
          <w:szCs w:val="24"/>
        </w:rPr>
        <w:t xml:space="preserve"> (</w:t>
      </w:r>
      <w:proofErr w:type="gramStart"/>
      <w:r w:rsidR="009D243D">
        <w:rPr>
          <w:rFonts w:ascii="Times New Roman" w:eastAsia="Times New Roman" w:hAnsi="Times New Roman" w:cs="Times New Roman"/>
          <w:sz w:val="24"/>
          <w:szCs w:val="24"/>
        </w:rPr>
        <w:t>i.e.</w:t>
      </w:r>
      <w:proofErr w:type="gramEnd"/>
      <w:r w:rsidR="009D243D">
        <w:rPr>
          <w:rFonts w:ascii="Times New Roman" w:eastAsia="Times New Roman" w:hAnsi="Times New Roman" w:cs="Times New Roman"/>
          <w:sz w:val="24"/>
          <w:szCs w:val="24"/>
        </w:rPr>
        <w:t xml:space="preserve"> </w:t>
      </w:r>
      <w:r w:rsidR="009D243D">
        <w:rPr>
          <w:rFonts w:ascii="Times New Roman" w:eastAsia="Times New Roman" w:hAnsi="Times New Roman" w:cs="Times New Roman"/>
          <w:sz w:val="24"/>
          <w:szCs w:val="24"/>
        </w:rPr>
        <w:lastRenderedPageBreak/>
        <w:t>the assumption that there is a linear relationship between our independent and response variables)</w:t>
      </w:r>
      <w:r w:rsidR="000D47E9">
        <w:rPr>
          <w:rFonts w:ascii="Times New Roman" w:eastAsia="Times New Roman" w:hAnsi="Times New Roman" w:cs="Times New Roman"/>
          <w:sz w:val="24"/>
          <w:szCs w:val="24"/>
        </w:rPr>
        <w:t>, we will simply observe a scatterplot of our variables, as seen below.</w:t>
      </w:r>
    </w:p>
    <w:p w14:paraId="572E4B83" w14:textId="035328A6" w:rsidR="000D47E9" w:rsidRDefault="004C41FA"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4B26B9" wp14:editId="51CF0DCA">
            <wp:extent cx="2117188" cy="1411459"/>
            <wp:effectExtent l="0" t="0" r="381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23000" cy="1415333"/>
                    </a:xfrm>
                    <a:prstGeom prst="rect">
                      <a:avLst/>
                    </a:prstGeom>
                  </pic:spPr>
                </pic:pic>
              </a:graphicData>
            </a:graphic>
          </wp:inline>
        </w:drawing>
      </w:r>
    </w:p>
    <w:p w14:paraId="31AFE35A" w14:textId="46F65431" w:rsidR="009D243D" w:rsidRDefault="000D47E9"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one can see, there appears to be some form of a linear relationship, albeit a rather weak one. </w:t>
      </w:r>
      <w:r w:rsidR="009D243D">
        <w:rPr>
          <w:rFonts w:ascii="Times New Roman" w:eastAsia="Times New Roman" w:hAnsi="Times New Roman" w:cs="Times New Roman"/>
          <w:sz w:val="24"/>
          <w:szCs w:val="24"/>
        </w:rPr>
        <w:t xml:space="preserve">We can verify this assumption by looking at the residual plot of fitted values from our model. This plot shows the how much the green-up dates for each site predicted by our model differ from the actual green-up dates observed from the </w:t>
      </w:r>
      <w:proofErr w:type="spellStart"/>
      <w:r w:rsidR="009D243D">
        <w:rPr>
          <w:rFonts w:ascii="Times New Roman" w:eastAsia="Times New Roman" w:hAnsi="Times New Roman" w:cs="Times New Roman"/>
          <w:sz w:val="24"/>
          <w:szCs w:val="24"/>
        </w:rPr>
        <w:t>PhenoCam</w:t>
      </w:r>
      <w:proofErr w:type="spellEnd"/>
      <w:r w:rsidR="009D243D">
        <w:rPr>
          <w:rFonts w:ascii="Times New Roman" w:eastAsia="Times New Roman" w:hAnsi="Times New Roman" w:cs="Times New Roman"/>
          <w:sz w:val="24"/>
          <w:szCs w:val="24"/>
        </w:rPr>
        <w:t xml:space="preserve"> data. </w:t>
      </w:r>
    </w:p>
    <w:p w14:paraId="156F063B" w14:textId="6C885840" w:rsidR="009D243D" w:rsidRDefault="009D243D"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AE8317" wp14:editId="53EBE212">
            <wp:extent cx="2996418" cy="1997612"/>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6418" cy="1997612"/>
                    </a:xfrm>
                    <a:prstGeom prst="rect">
                      <a:avLst/>
                    </a:prstGeom>
                  </pic:spPr>
                </pic:pic>
              </a:graphicData>
            </a:graphic>
          </wp:inline>
        </w:drawing>
      </w:r>
    </w:p>
    <w:p w14:paraId="0CAE5837" w14:textId="443FEFE0" w:rsidR="000D47E9" w:rsidRDefault="009D243D"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notice that the residuals appear to be evenly distributed across the residual line with roughly constant variance. </w:t>
      </w:r>
      <w:r w:rsidR="000D47E9">
        <w:rPr>
          <w:rFonts w:ascii="Times New Roman" w:eastAsia="Times New Roman" w:hAnsi="Times New Roman" w:cs="Times New Roman"/>
          <w:sz w:val="24"/>
          <w:szCs w:val="24"/>
        </w:rPr>
        <w:t>This observation satisfies the assumption of linearity.</w:t>
      </w:r>
      <w:r>
        <w:rPr>
          <w:rFonts w:ascii="Times New Roman" w:eastAsia="Times New Roman" w:hAnsi="Times New Roman" w:cs="Times New Roman"/>
          <w:sz w:val="24"/>
          <w:szCs w:val="24"/>
        </w:rPr>
        <w:t xml:space="preserve"> </w:t>
      </w:r>
    </w:p>
    <w:p w14:paraId="743D96CD" w14:textId="23DF69D9" w:rsidR="009D243D" w:rsidRDefault="009D243D"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use this same plot to check our homoscedasticity assumption, which is the assumption the variance of the residuals is roughly constant across the data. As stated before, this is the case for our analysis, and therefore we have satisfied this assumption as well.</w:t>
      </w:r>
    </w:p>
    <w:p w14:paraId="2BB3C095" w14:textId="77777777" w:rsidR="00390237" w:rsidRDefault="00121536"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Co-linearity is the dependence of the independent variables on each other. The co-linearity assumption states that all independent variables must be independent from one another. </w:t>
      </w:r>
      <w:r w:rsidR="000D47E9">
        <w:rPr>
          <w:rFonts w:ascii="Times New Roman" w:eastAsia="Times New Roman" w:hAnsi="Times New Roman" w:cs="Times New Roman"/>
          <w:sz w:val="24"/>
          <w:szCs w:val="24"/>
        </w:rPr>
        <w:lastRenderedPageBreak/>
        <w:t xml:space="preserve">Fortunately, we do not need to check co-linearity in our analysis, as there is only one independent variable. </w:t>
      </w:r>
    </w:p>
    <w:p w14:paraId="0ED09115" w14:textId="7FD7D5FA" w:rsidR="000D47E9" w:rsidRDefault="00390237"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6836D877" wp14:editId="0D00AEB6">
            <wp:simplePos x="0" y="0"/>
            <wp:positionH relativeFrom="column">
              <wp:posOffset>3414346</wp:posOffset>
            </wp:positionH>
            <wp:positionV relativeFrom="paragraph">
              <wp:posOffset>675005</wp:posOffset>
            </wp:positionV>
            <wp:extent cx="2862580" cy="1908175"/>
            <wp:effectExtent l="0" t="0" r="0" b="0"/>
            <wp:wrapTight wrapText="bothSides">
              <wp:wrapPolygon edited="0">
                <wp:start x="0" y="0"/>
                <wp:lineTo x="0" y="21420"/>
                <wp:lineTo x="21466" y="21420"/>
                <wp:lineTo x="21466" y="0"/>
                <wp:lineTo x="0" y="0"/>
              </wp:wrapPolygon>
            </wp:wrapTight>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2580" cy="1908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Finally</w:t>
      </w:r>
      <w:r w:rsidR="000D47E9">
        <w:rPr>
          <w:rFonts w:ascii="Times New Roman" w:eastAsia="Times New Roman" w:hAnsi="Times New Roman" w:cs="Times New Roman"/>
          <w:sz w:val="24"/>
          <w:szCs w:val="24"/>
        </w:rPr>
        <w:t xml:space="preserve">, we will check our </w:t>
      </w:r>
      <w:r>
        <w:rPr>
          <w:rFonts w:ascii="Times New Roman" w:eastAsia="Times New Roman" w:hAnsi="Times New Roman" w:cs="Times New Roman"/>
          <w:sz w:val="24"/>
          <w:szCs w:val="24"/>
        </w:rPr>
        <w:t>residuals</w:t>
      </w:r>
      <w:r w:rsidR="000D47E9">
        <w:rPr>
          <w:rFonts w:ascii="Times New Roman" w:eastAsia="Times New Roman" w:hAnsi="Times New Roman" w:cs="Times New Roman"/>
          <w:sz w:val="24"/>
          <w:szCs w:val="24"/>
        </w:rPr>
        <w:t xml:space="preserve"> follow the normal distribution. </w:t>
      </w:r>
      <w:r w:rsidR="00285D21">
        <w:rPr>
          <w:rFonts w:ascii="Times New Roman" w:eastAsia="Times New Roman" w:hAnsi="Times New Roman" w:cs="Times New Roman"/>
          <w:sz w:val="24"/>
          <w:szCs w:val="24"/>
        </w:rPr>
        <w:t xml:space="preserve">We will do this using a histogram and a Q-Q plot of the residuals.  </w:t>
      </w:r>
    </w:p>
    <w:p w14:paraId="042A6C5D" w14:textId="16F2E8C0" w:rsidR="00390237" w:rsidRDefault="00390237"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1DC3A34A" wp14:editId="7A8876C2">
            <wp:simplePos x="0" y="0"/>
            <wp:positionH relativeFrom="column">
              <wp:posOffset>457200</wp:posOffset>
            </wp:positionH>
            <wp:positionV relativeFrom="paragraph">
              <wp:posOffset>635</wp:posOffset>
            </wp:positionV>
            <wp:extent cx="2862775" cy="1908517"/>
            <wp:effectExtent l="0" t="0" r="0" b="0"/>
            <wp:wrapTight wrapText="bothSides">
              <wp:wrapPolygon edited="0">
                <wp:start x="0" y="0"/>
                <wp:lineTo x="0" y="21420"/>
                <wp:lineTo x="21466" y="21420"/>
                <wp:lineTo x="21466" y="0"/>
                <wp:lineTo x="0" y="0"/>
              </wp:wrapPolygon>
            </wp:wrapTight>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62775" cy="1908517"/>
                    </a:xfrm>
                    <a:prstGeom prst="rect">
                      <a:avLst/>
                    </a:prstGeom>
                  </pic:spPr>
                </pic:pic>
              </a:graphicData>
            </a:graphic>
            <wp14:sizeRelH relativeFrom="page">
              <wp14:pctWidth>0</wp14:pctWidth>
            </wp14:sizeRelH>
            <wp14:sizeRelV relativeFrom="page">
              <wp14:pctHeight>0</wp14:pctHeight>
            </wp14:sizeRelV>
          </wp:anchor>
        </w:drawing>
      </w:r>
    </w:p>
    <w:p w14:paraId="67D03E80" w14:textId="38F5AB94" w:rsidR="00390237" w:rsidRDefault="00390237" w:rsidP="004015E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histogram, we see that the relative frequency of the residuals roughly follows the normal distribution, as depicted by the solid black line in the plot on the left. On the right we see a QQ plot of the residuals. As one can see, the data points fall closely to the diagonal reference line, suggesting that these residuals do in fact follow a normal distribution. Therefore, this final assumption is satisfied. </w:t>
      </w:r>
    </w:p>
    <w:p w14:paraId="341A6BEA" w14:textId="43C415F8" w:rsidR="004015E4" w:rsidRDefault="004015E4" w:rsidP="003902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linear regression was </w:t>
      </w:r>
      <w:r w:rsidR="00026E43">
        <w:rPr>
          <w:rFonts w:ascii="Times New Roman" w:eastAsia="Times New Roman" w:hAnsi="Times New Roman" w:cs="Times New Roman"/>
          <w:sz w:val="24"/>
          <w:szCs w:val="24"/>
        </w:rPr>
        <w:t xml:space="preserve">generated between these temperature recordings, </w:t>
      </w:r>
      <w:r w:rsidR="00A576D5">
        <w:rPr>
          <w:rFonts w:ascii="Times New Roman" w:eastAsia="Times New Roman" w:hAnsi="Times New Roman" w:cs="Times New Roman"/>
          <w:sz w:val="24"/>
          <w:szCs w:val="24"/>
        </w:rPr>
        <w:t>giving</w:t>
      </w:r>
      <w:r w:rsidR="00026E43">
        <w:rPr>
          <w:rFonts w:ascii="Times New Roman" w:eastAsia="Times New Roman" w:hAnsi="Times New Roman" w:cs="Times New Roman"/>
          <w:sz w:val="24"/>
          <w:szCs w:val="24"/>
        </w:rPr>
        <w:t xml:space="preserve"> us the slope, intercept, R</w:t>
      </w:r>
      <w:r w:rsidR="00026E43">
        <w:rPr>
          <w:rFonts w:ascii="Times New Roman" w:eastAsia="Times New Roman" w:hAnsi="Times New Roman" w:cs="Times New Roman"/>
          <w:sz w:val="24"/>
          <w:szCs w:val="24"/>
          <w:vertAlign w:val="superscript"/>
        </w:rPr>
        <w:t>2</w:t>
      </w:r>
      <w:r w:rsidR="00026E43">
        <w:rPr>
          <w:rFonts w:ascii="Times New Roman" w:eastAsia="Times New Roman" w:hAnsi="Times New Roman" w:cs="Times New Roman"/>
          <w:sz w:val="24"/>
          <w:szCs w:val="24"/>
        </w:rPr>
        <w:t>, and p-value of our regression</w:t>
      </w:r>
      <w:r w:rsidR="000F145E">
        <w:rPr>
          <w:rFonts w:ascii="Times New Roman" w:eastAsia="Times New Roman" w:hAnsi="Times New Roman" w:cs="Times New Roman"/>
          <w:sz w:val="24"/>
          <w:szCs w:val="24"/>
        </w:rPr>
        <w:t>.</w:t>
      </w:r>
      <w:r w:rsidR="00A576D5">
        <w:rPr>
          <w:rFonts w:ascii="Times New Roman" w:eastAsia="Times New Roman" w:hAnsi="Times New Roman" w:cs="Times New Roman"/>
          <w:sz w:val="24"/>
          <w:szCs w:val="24"/>
        </w:rPr>
        <w:t xml:space="preserve"> </w:t>
      </w:r>
      <w:r w:rsidR="00026E43">
        <w:rPr>
          <w:rFonts w:ascii="Times New Roman" w:eastAsia="Times New Roman" w:hAnsi="Times New Roman" w:cs="Times New Roman"/>
          <w:sz w:val="24"/>
          <w:szCs w:val="24"/>
        </w:rPr>
        <w:t xml:space="preserve">For </w:t>
      </w:r>
      <w:r w:rsidR="00585518">
        <w:rPr>
          <w:rFonts w:ascii="Times New Roman" w:eastAsia="Times New Roman" w:hAnsi="Times New Roman" w:cs="Times New Roman"/>
          <w:sz w:val="24"/>
          <w:szCs w:val="24"/>
        </w:rPr>
        <w:t>this</w:t>
      </w:r>
      <w:r w:rsidR="00026E43">
        <w:rPr>
          <w:rFonts w:ascii="Times New Roman" w:eastAsia="Times New Roman" w:hAnsi="Times New Roman" w:cs="Times New Roman"/>
          <w:sz w:val="24"/>
          <w:szCs w:val="24"/>
        </w:rPr>
        <w:t xml:space="preserve"> analysis, we used a p-value threshold of 0.05 to determine statistical significance. </w:t>
      </w:r>
    </w:p>
    <w:p w14:paraId="548BB6B1" w14:textId="12101C63" w:rsidR="00390237" w:rsidRDefault="003D7519" w:rsidP="003902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was then repeated for a subsection of the sites located in lower-altitude regions that we postulated would better fit our hypothesis. We checked the assumptions of the linear model for this subset as well, which can be seen as follows:</w:t>
      </w:r>
    </w:p>
    <w:p w14:paraId="18C8FCD6" w14:textId="0F128102" w:rsidR="003D7519" w:rsidRDefault="00436090" w:rsidP="003902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70C49377" wp14:editId="12A22DB0">
            <wp:simplePos x="0" y="0"/>
            <wp:positionH relativeFrom="column">
              <wp:posOffset>441911</wp:posOffset>
            </wp:positionH>
            <wp:positionV relativeFrom="paragraph">
              <wp:posOffset>340995</wp:posOffset>
            </wp:positionV>
            <wp:extent cx="2862580" cy="1908175"/>
            <wp:effectExtent l="0" t="0" r="0" b="0"/>
            <wp:wrapTight wrapText="bothSides">
              <wp:wrapPolygon edited="0">
                <wp:start x="0" y="0"/>
                <wp:lineTo x="0" y="21420"/>
                <wp:lineTo x="21466" y="21420"/>
                <wp:lineTo x="21466" y="0"/>
                <wp:lineTo x="0" y="0"/>
              </wp:wrapPolygon>
            </wp:wrapTight>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2580" cy="1908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4701AD73" wp14:editId="2FD7D87A">
            <wp:simplePos x="0" y="0"/>
            <wp:positionH relativeFrom="column">
              <wp:posOffset>3410927</wp:posOffset>
            </wp:positionH>
            <wp:positionV relativeFrom="paragraph">
              <wp:posOffset>350910</wp:posOffset>
            </wp:positionV>
            <wp:extent cx="2890520" cy="1925955"/>
            <wp:effectExtent l="0" t="0" r="5080" b="4445"/>
            <wp:wrapTight wrapText="bothSides">
              <wp:wrapPolygon edited="0">
                <wp:start x="0" y="0"/>
                <wp:lineTo x="0" y="21507"/>
                <wp:lineTo x="21543" y="21507"/>
                <wp:lineTo x="21543" y="0"/>
                <wp:lineTo x="0" y="0"/>
              </wp:wrapPolygon>
            </wp:wrapTight>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0520" cy="19259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For linearity and homoscedasticity:</w:t>
      </w:r>
      <w:r w:rsidRPr="00436090">
        <w:rPr>
          <w:rFonts w:ascii="Times New Roman" w:eastAsia="Times New Roman" w:hAnsi="Times New Roman" w:cs="Times New Roman"/>
          <w:noProof/>
          <w:sz w:val="24"/>
          <w:szCs w:val="24"/>
        </w:rPr>
        <w:t xml:space="preserve"> </w:t>
      </w:r>
    </w:p>
    <w:p w14:paraId="1EC46291" w14:textId="24693F3B" w:rsidR="00436090" w:rsidRDefault="00436090" w:rsidP="00390237">
      <w:pPr>
        <w:spacing w:line="480" w:lineRule="auto"/>
        <w:ind w:firstLine="720"/>
        <w:rPr>
          <w:rFonts w:ascii="Times New Roman" w:eastAsia="Times New Roman" w:hAnsi="Times New Roman" w:cs="Times New Roman"/>
          <w:sz w:val="24"/>
          <w:szCs w:val="24"/>
        </w:rPr>
      </w:pPr>
    </w:p>
    <w:p w14:paraId="3527AAC0" w14:textId="24C9A378" w:rsidR="00436090" w:rsidRDefault="00436090" w:rsidP="003902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scatterplot on the left, we see the data appears to follow a strong linear pattern. From the residual plot on the right, we see that the residuals appear to be evenly distributed across the residual line with roughly constant variance. Therefore, we have satisfied the assumptions of linearity and homoscedasticity. </w:t>
      </w:r>
    </w:p>
    <w:p w14:paraId="6DCA4BF0" w14:textId="12AC3FD0" w:rsidR="00436090" w:rsidRDefault="00436090" w:rsidP="004360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49C26880" wp14:editId="7EC4591D">
            <wp:simplePos x="0" y="0"/>
            <wp:positionH relativeFrom="column">
              <wp:posOffset>3305810</wp:posOffset>
            </wp:positionH>
            <wp:positionV relativeFrom="paragraph">
              <wp:posOffset>788621</wp:posOffset>
            </wp:positionV>
            <wp:extent cx="2891155" cy="1927225"/>
            <wp:effectExtent l="0" t="0" r="4445" b="3175"/>
            <wp:wrapTight wrapText="bothSides">
              <wp:wrapPolygon edited="0">
                <wp:start x="0" y="0"/>
                <wp:lineTo x="0" y="21493"/>
                <wp:lineTo x="21538" y="21493"/>
                <wp:lineTo x="21538" y="0"/>
                <wp:lineTo x="0" y="0"/>
              </wp:wrapPolygon>
            </wp:wrapTight>
            <wp:docPr id="27" name="Picture 2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1155" cy="1927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53A8BD73" wp14:editId="0A9F9F63">
            <wp:simplePos x="0" y="0"/>
            <wp:positionH relativeFrom="column">
              <wp:posOffset>55880</wp:posOffset>
            </wp:positionH>
            <wp:positionV relativeFrom="paragraph">
              <wp:posOffset>773430</wp:posOffset>
            </wp:positionV>
            <wp:extent cx="2947035" cy="1964690"/>
            <wp:effectExtent l="0" t="0" r="0" b="3810"/>
            <wp:wrapTight wrapText="bothSides">
              <wp:wrapPolygon edited="0">
                <wp:start x="0" y="0"/>
                <wp:lineTo x="0" y="21502"/>
                <wp:lineTo x="21502" y="21502"/>
                <wp:lineTo x="21502" y="0"/>
                <wp:lineTo x="0" y="0"/>
              </wp:wrapPolygon>
            </wp:wrapTight>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7035" cy="19646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Again, co-linearity does not need to be checked, as there is still only one independent variable. For normality:</w:t>
      </w:r>
    </w:p>
    <w:p w14:paraId="49789163" w14:textId="4D9BA352" w:rsidR="00436090" w:rsidRDefault="00436090" w:rsidP="00436090">
      <w:pPr>
        <w:spacing w:line="480" w:lineRule="auto"/>
        <w:ind w:firstLine="720"/>
        <w:rPr>
          <w:rFonts w:ascii="Times New Roman" w:eastAsia="Times New Roman" w:hAnsi="Times New Roman" w:cs="Times New Roman"/>
          <w:sz w:val="24"/>
          <w:szCs w:val="24"/>
        </w:rPr>
      </w:pPr>
    </w:p>
    <w:p w14:paraId="61E0567C" w14:textId="77777777" w:rsidR="00841F3F" w:rsidRDefault="00436090" w:rsidP="00841F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histogram on the left, we observe that the residuals roughly follow the normal distribution. From the QQ plot on the right, we observe that the data points appear to be fall close to the diagonal reference line. Therefore, we have satisfied the assumption of normality as well.</w:t>
      </w:r>
    </w:p>
    <w:p w14:paraId="00000026" w14:textId="682081A1" w:rsidR="00B40456" w:rsidRPr="009231D5" w:rsidRDefault="009668C9" w:rsidP="009231D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Results and Discussion</w:t>
      </w:r>
    </w:p>
    <w:p w14:paraId="00000029" w14:textId="5A3B15FD" w:rsidR="00B40456" w:rsidRDefault="009668C9" w:rsidP="006B2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our selection of study sites, we were able to find examples of site-years where our hypothesis was strongly supported, and sites where it seemed to break. One example of the latter was the Willow Creek, WI site, at which the soil temperature crossed over the mean annual air temperature consistently early compared to the green-up date (Fig. 1). </w:t>
      </w:r>
    </w:p>
    <w:p w14:paraId="0000002A" w14:textId="34859BB4" w:rsidR="00B40456" w:rsidRDefault="006B20F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04B31B0A" wp14:editId="79E83A70">
                <wp:simplePos x="0" y="0"/>
                <wp:positionH relativeFrom="column">
                  <wp:posOffset>276314</wp:posOffset>
                </wp:positionH>
                <wp:positionV relativeFrom="paragraph">
                  <wp:posOffset>1943492</wp:posOffset>
                </wp:positionV>
                <wp:extent cx="169560" cy="16560"/>
                <wp:effectExtent l="76200" t="76200" r="59055" b="85090"/>
                <wp:wrapNone/>
                <wp:docPr id="40"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169560" cy="16560"/>
                      </w14:xfrm>
                    </w14:contentPart>
                  </a:graphicData>
                </a:graphic>
              </wp:anchor>
            </w:drawing>
          </mc:Choice>
          <mc:Fallback>
            <w:pict>
              <v:shapetype w14:anchorId="1BA9DA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18.9pt;margin-top:150.25pt;width:19pt;height:6.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">
                <v:imagedata r:id="rId18" o:title=""/>
              </v:shape>
            </w:pict>
          </mc:Fallback>
        </mc:AlternateContent>
      </w:r>
      <w:r>
        <w:rPr>
          <w:rFonts w:ascii="Times New Roman" w:eastAsia="Times New Roman" w:hAnsi="Times New Roman" w:cs="Times New Roman"/>
          <w:noProof/>
          <w:sz w:val="24"/>
          <w:szCs w:val="24"/>
        </w:rPr>
        <w:drawing>
          <wp:inline distT="0" distB="0" distL="0" distR="0" wp14:anchorId="72FEACDA" wp14:editId="5FF8B3DE">
            <wp:extent cx="3024554" cy="2016369"/>
            <wp:effectExtent l="0" t="0" r="0" b="3175"/>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32007" cy="2021338"/>
                    </a:xfrm>
                    <a:prstGeom prst="rect">
                      <a:avLst/>
                    </a:prstGeom>
                  </pic:spPr>
                </pic:pic>
              </a:graphicData>
            </a:graphic>
          </wp:inline>
        </w:drawing>
      </w:r>
    </w:p>
    <w:p w14:paraId="0000002C" w14:textId="77777777" w:rsidR="00B40456" w:rsidRDefault="00B40456">
      <w:pPr>
        <w:rPr>
          <w:rFonts w:ascii="Times New Roman" w:eastAsia="Times New Roman" w:hAnsi="Times New Roman" w:cs="Times New Roman"/>
          <w:sz w:val="24"/>
          <w:szCs w:val="24"/>
        </w:rPr>
      </w:pPr>
    </w:p>
    <w:p w14:paraId="0000002E" w14:textId="27C77F20" w:rsidR="00B40456" w:rsidRPr="006B20F2"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Consistent early cross date between soil temperature and mean annual air temperature in comparison to the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green-up estimate for Willow Creek, WI (2012-2016).</w:t>
      </w:r>
    </w:p>
    <w:p w14:paraId="0000002F" w14:textId="77777777" w:rsidR="00B40456" w:rsidRDefault="00B40456">
      <w:pPr>
        <w:spacing w:line="480" w:lineRule="auto"/>
        <w:rPr>
          <w:rFonts w:ascii="Times New Roman" w:eastAsia="Times New Roman" w:hAnsi="Times New Roman" w:cs="Times New Roman"/>
          <w:b/>
          <w:sz w:val="24"/>
          <w:szCs w:val="24"/>
        </w:rPr>
      </w:pPr>
    </w:p>
    <w:p w14:paraId="00000030" w14:textId="7F5D2B4C" w:rsidR="00B40456" w:rsidRDefault="009668C9">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One potential explanation for the results at this site could be high latitude and colder winter climate. Out of the entire site group, Willow Creek had the lowest mean annual air temperature (5.4</w:t>
      </w:r>
      <w:r>
        <w:rPr>
          <w:rFonts w:ascii="Times New Roman" w:eastAsia="Times New Roman" w:hAnsi="Times New Roman" w:cs="Times New Roman"/>
          <w:color w:val="4D5156"/>
          <w:sz w:val="24"/>
          <w:szCs w:val="24"/>
          <w:highlight w:val="white"/>
        </w:rPr>
        <w:t xml:space="preserve">° </w:t>
      </w:r>
      <w:r>
        <w:rPr>
          <w:rFonts w:ascii="Times New Roman" w:eastAsia="Times New Roman" w:hAnsi="Times New Roman" w:cs="Times New Roman"/>
          <w:sz w:val="24"/>
          <w:szCs w:val="24"/>
        </w:rPr>
        <w:t>C) over the study duration, followed by the University of Michigan Biological Station (6.9</w:t>
      </w:r>
      <w:r>
        <w:rPr>
          <w:rFonts w:ascii="Times New Roman" w:eastAsia="Times New Roman" w:hAnsi="Times New Roman" w:cs="Times New Roman"/>
          <w:color w:val="4D5156"/>
          <w:sz w:val="24"/>
          <w:szCs w:val="24"/>
          <w:highlight w:val="white"/>
        </w:rPr>
        <w:t xml:space="preserve">° </w:t>
      </w:r>
      <w:r>
        <w:rPr>
          <w:rFonts w:ascii="Times New Roman" w:eastAsia="Times New Roman" w:hAnsi="Times New Roman" w:cs="Times New Roman"/>
          <w:sz w:val="24"/>
          <w:szCs w:val="24"/>
        </w:rPr>
        <w:t xml:space="preserve">C). As can be seen in Fig. 2, this site also fared quite poorly. </w:t>
      </w:r>
    </w:p>
    <w:p w14:paraId="3452F7B9" w14:textId="2400132B" w:rsidR="00192523" w:rsidRDefault="004013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i">
            <w:drawing>
              <wp:anchor distT="0" distB="0" distL="114300" distR="114300" simplePos="0" relativeHeight="251666432" behindDoc="0" locked="0" layoutInCell="1" allowOverlap="1" wp14:anchorId="31EC147D" wp14:editId="28E67770">
                <wp:simplePos x="0" y="0"/>
                <wp:positionH relativeFrom="column">
                  <wp:posOffset>334080</wp:posOffset>
                </wp:positionH>
                <wp:positionV relativeFrom="paragraph">
                  <wp:posOffset>2174040</wp:posOffset>
                </wp:positionV>
                <wp:extent cx="171720" cy="18360"/>
                <wp:effectExtent l="76200" t="76200" r="44450" b="83820"/>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171720" cy="18360"/>
                      </w14:xfrm>
                    </w14:contentPart>
                  </a:graphicData>
                </a:graphic>
              </wp:anchor>
            </w:drawing>
          </mc:Choice>
          <mc:Fallback>
            <w:pict>
              <v:shape w14:anchorId="3532FC12" id="Ink 46" o:spid="_x0000_s1026" type="#_x0000_t75" style="position:absolute;margin-left:23.45pt;margin-top:168.35pt;width:19.15pt;height:7.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">
                <v:imagedata r:id="rId21" o:title=""/>
              </v:shape>
            </w:pict>
          </mc:Fallback>
        </mc:AlternateContent>
      </w:r>
      <w:r w:rsidR="00192523">
        <w:rPr>
          <w:rFonts w:ascii="Times New Roman" w:eastAsia="Times New Roman" w:hAnsi="Times New Roman" w:cs="Times New Roman"/>
          <w:noProof/>
          <w:sz w:val="24"/>
          <w:szCs w:val="24"/>
        </w:rPr>
        <w:drawing>
          <wp:inline distT="0" distB="0" distL="0" distR="0" wp14:anchorId="05B54C91" wp14:editId="18B31912">
            <wp:extent cx="3397349" cy="2264898"/>
            <wp:effectExtent l="0" t="0" r="0"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7246" cy="2284829"/>
                    </a:xfrm>
                    <a:prstGeom prst="rect">
                      <a:avLst/>
                    </a:prstGeom>
                  </pic:spPr>
                </pic:pic>
              </a:graphicData>
            </a:graphic>
          </wp:inline>
        </w:drawing>
      </w:r>
    </w:p>
    <w:p w14:paraId="00000031" w14:textId="77777777" w:rsidR="00B40456" w:rsidRDefault="00B40456">
      <w:pPr>
        <w:rPr>
          <w:rFonts w:ascii="Times New Roman" w:eastAsia="Times New Roman" w:hAnsi="Times New Roman" w:cs="Times New Roman"/>
          <w:sz w:val="24"/>
          <w:szCs w:val="24"/>
        </w:rPr>
      </w:pPr>
    </w:p>
    <w:p w14:paraId="00000032"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Graphs exhibiting the annual course of soil temperature, the mean annual air temperature, and the green-up date. Similar weak correlation at the University of Michigan Biological Station (2009-2013).</w:t>
      </w:r>
    </w:p>
    <w:p w14:paraId="00000033" w14:textId="77777777" w:rsidR="00B40456" w:rsidRDefault="00B40456">
      <w:pPr>
        <w:spacing w:line="480" w:lineRule="auto"/>
        <w:rPr>
          <w:rFonts w:ascii="Times New Roman" w:eastAsia="Times New Roman" w:hAnsi="Times New Roman" w:cs="Times New Roman"/>
          <w:sz w:val="24"/>
          <w:szCs w:val="24"/>
        </w:rPr>
      </w:pPr>
    </w:p>
    <w:p w14:paraId="00000034"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Though not truly in the North American boreal zone, these forests could represent a boreal-adjacent zone, where colder winter temperatures and lingering snow cover impact the timing of crossing between soil and air temperature (Brandt 2009; </w:t>
      </w:r>
      <w:proofErr w:type="spellStart"/>
      <w:r>
        <w:rPr>
          <w:rFonts w:ascii="Times New Roman" w:eastAsia="Times New Roman" w:hAnsi="Times New Roman" w:cs="Times New Roman"/>
          <w:sz w:val="24"/>
          <w:szCs w:val="24"/>
        </w:rPr>
        <w:t>Griffis</w:t>
      </w:r>
      <w:proofErr w:type="spellEnd"/>
      <w:r>
        <w:rPr>
          <w:rFonts w:ascii="Times New Roman" w:eastAsia="Times New Roman" w:hAnsi="Times New Roman" w:cs="Times New Roman"/>
          <w:sz w:val="24"/>
          <w:szCs w:val="24"/>
        </w:rPr>
        <w:t xml:space="preserve"> et al. 2003). While </w:t>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et al. (2005) stated that their phenological rule does not hold for deciduous forests in the boreal zone, we would extend this statement to the “boreal-adjacent” latitudes in the northern United States as well. </w:t>
      </w:r>
    </w:p>
    <w:p w14:paraId="00000035"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sites in the lower latitudes exhibited much stronger correlations. This hypothesis was originally posited through observation in Oak Ridge, Tennessee, and, indeed, deciduous forests in the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 xml:space="preserve"> and southern states fared best. One of the strongest examples of our hypothesis occurred at Ozark, MO (Fig. 3).</w:t>
      </w:r>
    </w:p>
    <w:p w14:paraId="00000038" w14:textId="2CF20CC7" w:rsidR="00B40456" w:rsidRDefault="001B59E3" w:rsidP="00E44DC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i">
            <w:drawing>
              <wp:anchor distT="0" distB="0" distL="114300" distR="114300" simplePos="0" relativeHeight="251667456" behindDoc="0" locked="0" layoutInCell="1" allowOverlap="1" wp14:anchorId="20E2E6CF" wp14:editId="4EE627D1">
                <wp:simplePos x="0" y="0"/>
                <wp:positionH relativeFrom="column">
                  <wp:posOffset>1633806</wp:posOffset>
                </wp:positionH>
                <wp:positionV relativeFrom="paragraph">
                  <wp:posOffset>2178050</wp:posOffset>
                </wp:positionV>
                <wp:extent cx="164880" cy="9360"/>
                <wp:effectExtent l="63500" t="76200" r="64135" b="80010"/>
                <wp:wrapNone/>
                <wp:docPr id="47"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164880" cy="9360"/>
                      </w14:xfrm>
                    </w14:contentPart>
                  </a:graphicData>
                </a:graphic>
              </wp:anchor>
            </w:drawing>
          </mc:Choice>
          <mc:Fallback>
            <w:pict>
              <v:shape w14:anchorId="2CED2403" id="Ink 47" o:spid="_x0000_s1026" type="#_x0000_t75" style="position:absolute;margin-left:125.85pt;margin-top:168.95pt;width:18.65pt;height: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">
                <v:imagedata r:id="rId24" o:title=""/>
              </v:shape>
            </w:pict>
          </mc:Fallback>
        </mc:AlternateContent>
      </w:r>
      <w:r w:rsidR="00E44DC2">
        <w:rPr>
          <w:rFonts w:ascii="Times New Roman" w:eastAsia="Times New Roman" w:hAnsi="Times New Roman" w:cs="Times New Roman"/>
          <w:noProof/>
          <w:sz w:val="24"/>
          <w:szCs w:val="24"/>
        </w:rPr>
        <w:drawing>
          <wp:inline distT="0" distB="0" distL="0" distR="0" wp14:anchorId="38055FE7" wp14:editId="47292A32">
            <wp:extent cx="3404382" cy="2269588"/>
            <wp:effectExtent l="0" t="0" r="0" b="381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7812" cy="2291875"/>
                    </a:xfrm>
                    <a:prstGeom prst="rect">
                      <a:avLst/>
                    </a:prstGeom>
                  </pic:spPr>
                </pic:pic>
              </a:graphicData>
            </a:graphic>
          </wp:inline>
        </w:drawing>
      </w:r>
      <w:r w:rsidR="009668C9">
        <w:rPr>
          <w:rFonts w:ascii="Times New Roman" w:eastAsia="Times New Roman" w:hAnsi="Times New Roman" w:cs="Times New Roman"/>
          <w:sz w:val="24"/>
          <w:szCs w:val="24"/>
        </w:rPr>
        <w:t xml:space="preserve">   </w:t>
      </w:r>
    </w:p>
    <w:p w14:paraId="00000039" w14:textId="50000CA6" w:rsidR="00B40456" w:rsidRDefault="00B40456">
      <w:pPr>
        <w:rPr>
          <w:rFonts w:ascii="Times New Roman" w:eastAsia="Times New Roman" w:hAnsi="Times New Roman" w:cs="Times New Roman"/>
          <w:sz w:val="24"/>
          <w:szCs w:val="24"/>
        </w:rPr>
      </w:pPr>
    </w:p>
    <w:p w14:paraId="0000003A" w14:textId="77777777" w:rsidR="00B40456" w:rsidRDefault="00B40456">
      <w:pPr>
        <w:rPr>
          <w:rFonts w:ascii="Times New Roman" w:eastAsia="Times New Roman" w:hAnsi="Times New Roman" w:cs="Times New Roman"/>
          <w:b/>
          <w:sz w:val="24"/>
          <w:szCs w:val="24"/>
        </w:rPr>
      </w:pPr>
    </w:p>
    <w:p w14:paraId="0000003B"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Graphs exhibiting the annual course of soil temperature, the mean annual air temperature, and the green-up date. These graphs show a strong correlation between the date when Ts = Ta and the green-up date at Ozark, MO (2012-2017).</w:t>
      </w:r>
    </w:p>
    <w:p w14:paraId="0000003C" w14:textId="77777777" w:rsidR="00B40456" w:rsidRDefault="00B40456">
      <w:pPr>
        <w:spacing w:line="480" w:lineRule="auto"/>
        <w:rPr>
          <w:rFonts w:ascii="Times New Roman" w:eastAsia="Times New Roman" w:hAnsi="Times New Roman" w:cs="Times New Roman"/>
          <w:sz w:val="24"/>
          <w:szCs w:val="24"/>
        </w:rPr>
      </w:pPr>
    </w:p>
    <w:p w14:paraId="0000003D"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strong support of our hypothesis was echoed across other sites in similar latitudes, suggesting that climate and latitude plays a large role in determining whether this hypothesis works, or breaks. </w:t>
      </w:r>
    </w:p>
    <w:p w14:paraId="0000003E"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site-wide correlation of this phenological rule was weaker than originally exhibited by </w:t>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2005 (Fig. 4), the correlation strength vastly increased within a grouping of lower latitude sites (Fig. 5). When considering all sites, we found that linear regression explained only 11% of the variance between the day when the soil temperature crossed the mean annual air temperature, and the green-up date. However, removing three of the highest-latitude sites, along with the </w:t>
      </w:r>
      <w:proofErr w:type="spellStart"/>
      <w:r>
        <w:rPr>
          <w:rFonts w:ascii="Times New Roman" w:eastAsia="Times New Roman" w:hAnsi="Times New Roman" w:cs="Times New Roman"/>
          <w:sz w:val="24"/>
          <w:szCs w:val="24"/>
        </w:rPr>
        <w:t>Tonzi</w:t>
      </w:r>
      <w:proofErr w:type="spellEnd"/>
      <w:r>
        <w:rPr>
          <w:rFonts w:ascii="Times New Roman" w:eastAsia="Times New Roman" w:hAnsi="Times New Roman" w:cs="Times New Roman"/>
          <w:sz w:val="24"/>
          <w:szCs w:val="24"/>
        </w:rPr>
        <w:t xml:space="preserve"> Ranch, California, site, allowed the r-squared value to increase to .76 (76%). </w:t>
      </w:r>
    </w:p>
    <w:p w14:paraId="00000051" w14:textId="3FBAE52C" w:rsidR="00B40456" w:rsidRPr="00A67653" w:rsidRDefault="00B40456">
      <w:pPr>
        <w:rPr>
          <w:rFonts w:ascii="Times New Roman" w:eastAsia="Times New Roman" w:hAnsi="Times New Roman" w:cs="Times New Roman"/>
          <w:sz w:val="24"/>
          <w:szCs w:val="24"/>
        </w:rPr>
      </w:pPr>
    </w:p>
    <w:p w14:paraId="00000052" w14:textId="2AE49076" w:rsidR="00B40456" w:rsidRDefault="00820EE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D86D0EB" wp14:editId="10D2524E">
            <wp:extent cx="5943600" cy="3962400"/>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0000053" w14:textId="77777777" w:rsidR="00B40456" w:rsidRDefault="00B40456">
      <w:pPr>
        <w:rPr>
          <w:rFonts w:ascii="Times New Roman" w:eastAsia="Times New Roman" w:hAnsi="Times New Roman" w:cs="Times New Roman"/>
          <w:b/>
          <w:sz w:val="24"/>
          <w:szCs w:val="24"/>
        </w:rPr>
      </w:pPr>
    </w:p>
    <w:p w14:paraId="00000054" w14:textId="77777777" w:rsidR="00B40456" w:rsidRDefault="00B40456">
      <w:pPr>
        <w:rPr>
          <w:rFonts w:ascii="Times New Roman" w:eastAsia="Times New Roman" w:hAnsi="Times New Roman" w:cs="Times New Roman"/>
          <w:b/>
          <w:sz w:val="24"/>
          <w:szCs w:val="24"/>
        </w:rPr>
      </w:pPr>
    </w:p>
    <w:p w14:paraId="00000055" w14:textId="77777777" w:rsidR="00B40456" w:rsidRDefault="00B40456">
      <w:pPr>
        <w:rPr>
          <w:rFonts w:ascii="Times New Roman" w:eastAsia="Times New Roman" w:hAnsi="Times New Roman" w:cs="Times New Roman"/>
          <w:b/>
          <w:sz w:val="24"/>
          <w:szCs w:val="24"/>
        </w:rPr>
      </w:pPr>
    </w:p>
    <w:p w14:paraId="00000056"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 xml:space="preserve">Graphing the day when Ts &gt; Ta, and the green-up day across all site-years, exhibiting the relatively low strength of the hypothesis (r-squared = .119; p-value = .011) when tested across all site-years. </w:t>
      </w:r>
    </w:p>
    <w:p w14:paraId="00000057" w14:textId="77777777" w:rsidR="00B40456" w:rsidRDefault="00B40456">
      <w:pPr>
        <w:rPr>
          <w:rFonts w:ascii="Times New Roman" w:eastAsia="Times New Roman" w:hAnsi="Times New Roman" w:cs="Times New Roman"/>
          <w:b/>
          <w:sz w:val="24"/>
          <w:szCs w:val="24"/>
        </w:rPr>
      </w:pPr>
    </w:p>
    <w:p w14:paraId="00000058" w14:textId="77777777" w:rsidR="00B40456" w:rsidRDefault="00B40456">
      <w:pPr>
        <w:rPr>
          <w:rFonts w:ascii="Times New Roman" w:eastAsia="Times New Roman" w:hAnsi="Times New Roman" w:cs="Times New Roman"/>
          <w:sz w:val="24"/>
          <w:szCs w:val="24"/>
        </w:rPr>
      </w:pPr>
    </w:p>
    <w:p w14:paraId="00000059" w14:textId="77777777" w:rsidR="00B40456" w:rsidRDefault="00B40456">
      <w:pPr>
        <w:rPr>
          <w:rFonts w:ascii="Times New Roman" w:eastAsia="Times New Roman" w:hAnsi="Times New Roman" w:cs="Times New Roman"/>
          <w:sz w:val="24"/>
          <w:szCs w:val="24"/>
        </w:rPr>
      </w:pPr>
    </w:p>
    <w:p w14:paraId="0000005A" w14:textId="77777777" w:rsidR="00B40456" w:rsidRDefault="00B40456">
      <w:pPr>
        <w:rPr>
          <w:rFonts w:ascii="Times New Roman" w:eastAsia="Times New Roman" w:hAnsi="Times New Roman" w:cs="Times New Roman"/>
          <w:sz w:val="24"/>
          <w:szCs w:val="24"/>
        </w:rPr>
      </w:pPr>
    </w:p>
    <w:p w14:paraId="0000005B" w14:textId="77777777" w:rsidR="00B40456" w:rsidRDefault="00B40456">
      <w:pPr>
        <w:rPr>
          <w:rFonts w:ascii="Times New Roman" w:eastAsia="Times New Roman" w:hAnsi="Times New Roman" w:cs="Times New Roman"/>
          <w:sz w:val="24"/>
          <w:szCs w:val="24"/>
        </w:rPr>
      </w:pPr>
    </w:p>
    <w:p w14:paraId="0000005C" w14:textId="77777777" w:rsidR="00B40456" w:rsidRDefault="00B40456">
      <w:pPr>
        <w:rPr>
          <w:rFonts w:ascii="Times New Roman" w:eastAsia="Times New Roman" w:hAnsi="Times New Roman" w:cs="Times New Roman"/>
          <w:sz w:val="24"/>
          <w:szCs w:val="24"/>
        </w:rPr>
      </w:pPr>
    </w:p>
    <w:p w14:paraId="0000005D" w14:textId="77777777" w:rsidR="00B40456" w:rsidRDefault="00B40456">
      <w:pPr>
        <w:rPr>
          <w:rFonts w:ascii="Times New Roman" w:eastAsia="Times New Roman" w:hAnsi="Times New Roman" w:cs="Times New Roman"/>
          <w:sz w:val="24"/>
          <w:szCs w:val="24"/>
        </w:rPr>
      </w:pPr>
    </w:p>
    <w:p w14:paraId="0000005E" w14:textId="77777777" w:rsidR="00B40456" w:rsidRDefault="00B40456">
      <w:pPr>
        <w:rPr>
          <w:rFonts w:ascii="Times New Roman" w:eastAsia="Times New Roman" w:hAnsi="Times New Roman" w:cs="Times New Roman"/>
          <w:sz w:val="24"/>
          <w:szCs w:val="24"/>
        </w:rPr>
      </w:pPr>
    </w:p>
    <w:p w14:paraId="0000005F" w14:textId="77777777" w:rsidR="00B40456" w:rsidRDefault="00B40456">
      <w:pPr>
        <w:rPr>
          <w:rFonts w:ascii="Times New Roman" w:eastAsia="Times New Roman" w:hAnsi="Times New Roman" w:cs="Times New Roman"/>
          <w:sz w:val="24"/>
          <w:szCs w:val="24"/>
        </w:rPr>
      </w:pPr>
    </w:p>
    <w:p w14:paraId="00000060" w14:textId="77777777" w:rsidR="00B40456" w:rsidRDefault="00B40456">
      <w:pPr>
        <w:rPr>
          <w:rFonts w:ascii="Times New Roman" w:eastAsia="Times New Roman" w:hAnsi="Times New Roman" w:cs="Times New Roman"/>
          <w:sz w:val="24"/>
          <w:szCs w:val="24"/>
        </w:rPr>
      </w:pPr>
    </w:p>
    <w:p w14:paraId="00000061" w14:textId="77777777" w:rsidR="00B40456" w:rsidRDefault="00B40456">
      <w:pPr>
        <w:rPr>
          <w:rFonts w:ascii="Times New Roman" w:eastAsia="Times New Roman" w:hAnsi="Times New Roman" w:cs="Times New Roman"/>
          <w:sz w:val="24"/>
          <w:szCs w:val="24"/>
        </w:rPr>
      </w:pPr>
    </w:p>
    <w:p w14:paraId="00000062" w14:textId="77777777" w:rsidR="00B40456" w:rsidRDefault="00B40456">
      <w:pPr>
        <w:rPr>
          <w:rFonts w:ascii="Times New Roman" w:eastAsia="Times New Roman" w:hAnsi="Times New Roman" w:cs="Times New Roman"/>
          <w:sz w:val="24"/>
          <w:szCs w:val="24"/>
        </w:rPr>
      </w:pPr>
    </w:p>
    <w:p w14:paraId="00000063" w14:textId="77777777" w:rsidR="00B40456" w:rsidRDefault="00B40456">
      <w:pPr>
        <w:rPr>
          <w:rFonts w:ascii="Times New Roman" w:eastAsia="Times New Roman" w:hAnsi="Times New Roman" w:cs="Times New Roman"/>
          <w:sz w:val="24"/>
          <w:szCs w:val="24"/>
        </w:rPr>
      </w:pPr>
    </w:p>
    <w:p w14:paraId="00000064" w14:textId="22E16B49" w:rsidR="00B40456" w:rsidRDefault="00820EE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DD8B9D" wp14:editId="30E38D78">
            <wp:extent cx="5943600" cy="3962400"/>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0000065" w14:textId="77777777" w:rsidR="00B40456" w:rsidRDefault="00B40456">
      <w:pPr>
        <w:rPr>
          <w:rFonts w:ascii="Times New Roman" w:eastAsia="Times New Roman" w:hAnsi="Times New Roman" w:cs="Times New Roman"/>
          <w:b/>
        </w:rPr>
      </w:pPr>
    </w:p>
    <w:p w14:paraId="00000066" w14:textId="77777777" w:rsidR="00B40456" w:rsidRDefault="00B40456">
      <w:pPr>
        <w:rPr>
          <w:rFonts w:ascii="Times New Roman" w:eastAsia="Times New Roman" w:hAnsi="Times New Roman" w:cs="Times New Roman"/>
          <w:b/>
        </w:rPr>
      </w:pPr>
    </w:p>
    <w:p w14:paraId="00000067" w14:textId="77777777" w:rsidR="00B40456" w:rsidRDefault="00B40456">
      <w:pPr>
        <w:rPr>
          <w:rFonts w:ascii="Times New Roman" w:eastAsia="Times New Roman" w:hAnsi="Times New Roman" w:cs="Times New Roman"/>
          <w:b/>
        </w:rPr>
      </w:pPr>
    </w:p>
    <w:p w14:paraId="00000068" w14:textId="77777777" w:rsidR="00B40456" w:rsidRDefault="00B40456">
      <w:pPr>
        <w:rPr>
          <w:rFonts w:ascii="Times New Roman" w:eastAsia="Times New Roman" w:hAnsi="Times New Roman" w:cs="Times New Roman"/>
          <w:b/>
        </w:rPr>
      </w:pPr>
    </w:p>
    <w:p w14:paraId="00000069"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Figure 5: </w:t>
      </w:r>
      <w:r>
        <w:rPr>
          <w:rFonts w:ascii="Times New Roman" w:eastAsia="Times New Roman" w:hAnsi="Times New Roman" w:cs="Times New Roman"/>
          <w:sz w:val="24"/>
          <w:szCs w:val="24"/>
        </w:rPr>
        <w:t xml:space="preserve">Graphing the day when Ts &gt; Ta, and the green-up day across all site-years, exhibiting the strength of the hypothesis (r-squared = .759; p-value = 0) when tested across lower latitude sites. </w:t>
      </w:r>
    </w:p>
    <w:p w14:paraId="0000006A" w14:textId="77777777" w:rsidR="00B40456" w:rsidRDefault="00B40456">
      <w:pPr>
        <w:rPr>
          <w:rFonts w:ascii="Times New Roman" w:eastAsia="Times New Roman" w:hAnsi="Times New Roman" w:cs="Times New Roman"/>
          <w:sz w:val="24"/>
          <w:szCs w:val="24"/>
        </w:rPr>
      </w:pPr>
    </w:p>
    <w:p w14:paraId="0000006B" w14:textId="77777777" w:rsidR="00B40456" w:rsidRDefault="00B40456">
      <w:pPr>
        <w:rPr>
          <w:rFonts w:ascii="Times New Roman" w:eastAsia="Times New Roman" w:hAnsi="Times New Roman" w:cs="Times New Roman"/>
          <w:sz w:val="24"/>
          <w:szCs w:val="24"/>
        </w:rPr>
      </w:pPr>
    </w:p>
    <w:p w14:paraId="0000006C" w14:textId="77777777" w:rsidR="00B40456" w:rsidRDefault="00B40456">
      <w:pPr>
        <w:ind w:left="720"/>
        <w:rPr>
          <w:rFonts w:ascii="Times New Roman" w:eastAsia="Times New Roman" w:hAnsi="Times New Roman" w:cs="Times New Roman"/>
        </w:rPr>
      </w:pPr>
    </w:p>
    <w:p w14:paraId="0000006D" w14:textId="77777777" w:rsidR="00B40456" w:rsidRDefault="00B40456">
      <w:pPr>
        <w:ind w:left="720"/>
        <w:rPr>
          <w:rFonts w:ascii="Times New Roman" w:eastAsia="Times New Roman" w:hAnsi="Times New Roman" w:cs="Times New Roman"/>
        </w:rPr>
      </w:pPr>
    </w:p>
    <w:p w14:paraId="0000006E" w14:textId="77777777" w:rsidR="00B40456" w:rsidRDefault="00B40456">
      <w:pPr>
        <w:ind w:left="720"/>
        <w:rPr>
          <w:rFonts w:ascii="Times New Roman" w:eastAsia="Times New Roman" w:hAnsi="Times New Roman" w:cs="Times New Roman"/>
        </w:rPr>
      </w:pPr>
    </w:p>
    <w:p w14:paraId="0000006F" w14:textId="77777777" w:rsidR="00B40456" w:rsidRDefault="00B40456">
      <w:pPr>
        <w:ind w:left="720"/>
        <w:rPr>
          <w:rFonts w:ascii="Times New Roman" w:eastAsia="Times New Roman" w:hAnsi="Times New Roman" w:cs="Times New Roman"/>
        </w:rPr>
      </w:pPr>
    </w:p>
    <w:p w14:paraId="00000070"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proofErr w:type="gramStart"/>
      <w:r>
        <w:rPr>
          <w:rFonts w:ascii="Times New Roman" w:eastAsia="Times New Roman" w:hAnsi="Times New Roman" w:cs="Times New Roman"/>
          <w:sz w:val="24"/>
          <w:szCs w:val="24"/>
        </w:rPr>
        <w:t>In particular, a</w:t>
      </w:r>
      <w:proofErr w:type="gramEnd"/>
      <w:r>
        <w:rPr>
          <w:rFonts w:ascii="Times New Roman" w:eastAsia="Times New Roman" w:hAnsi="Times New Roman" w:cs="Times New Roman"/>
          <w:sz w:val="24"/>
          <w:szCs w:val="24"/>
        </w:rPr>
        <w:t xml:space="preserve"> surprising development was the relative weakness of our hypothesis at </w:t>
      </w:r>
      <w:proofErr w:type="spellStart"/>
      <w:r>
        <w:rPr>
          <w:rFonts w:ascii="Times New Roman" w:eastAsia="Times New Roman" w:hAnsi="Times New Roman" w:cs="Times New Roman"/>
          <w:sz w:val="24"/>
          <w:szCs w:val="24"/>
        </w:rPr>
        <w:t>Tonzi</w:t>
      </w:r>
      <w:proofErr w:type="spellEnd"/>
      <w:r>
        <w:rPr>
          <w:rFonts w:ascii="Times New Roman" w:eastAsia="Times New Roman" w:hAnsi="Times New Roman" w:cs="Times New Roman"/>
          <w:sz w:val="24"/>
          <w:szCs w:val="24"/>
        </w:rPr>
        <w:t xml:space="preserve"> Ranch, CA, in recent years. While </w:t>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et al. found the relationship to hold very well at </w:t>
      </w:r>
      <w:proofErr w:type="spellStart"/>
      <w:r>
        <w:rPr>
          <w:rFonts w:ascii="Times New Roman" w:eastAsia="Times New Roman" w:hAnsi="Times New Roman" w:cs="Times New Roman"/>
          <w:sz w:val="24"/>
          <w:szCs w:val="24"/>
        </w:rPr>
        <w:t>Tonzi</w:t>
      </w:r>
      <w:proofErr w:type="spellEnd"/>
      <w:r>
        <w:rPr>
          <w:rFonts w:ascii="Times New Roman" w:eastAsia="Times New Roman" w:hAnsi="Times New Roman" w:cs="Times New Roman"/>
          <w:sz w:val="24"/>
          <w:szCs w:val="24"/>
        </w:rPr>
        <w:t xml:space="preserve"> Ranch, new data showed the date when soil temperature crossed air temperature to skew </w:t>
      </w:r>
      <w:r>
        <w:rPr>
          <w:rFonts w:ascii="Times New Roman" w:eastAsia="Times New Roman" w:hAnsi="Times New Roman" w:cs="Times New Roman"/>
          <w:sz w:val="24"/>
          <w:szCs w:val="24"/>
        </w:rPr>
        <w:lastRenderedPageBreak/>
        <w:t xml:space="preserve">very late compared to the green-up date.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newer breaking of the hypothesis at higher latitude sites with colder winters, this change could be due to the increased intensity of drought and milder winters in California. More investigation at these sites with wider climate fluctuation could aid in understanding the new changes. </w:t>
      </w:r>
    </w:p>
    <w:p w14:paraId="00000071"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Two potential sources of error — the depth variation of soil temperature recording, and the use of </w:t>
      </w:r>
      <w:proofErr w:type="spellStart"/>
      <w:r>
        <w:rPr>
          <w:rFonts w:ascii="Times New Roman" w:eastAsia="Times New Roman" w:hAnsi="Times New Roman" w:cs="Times New Roman"/>
          <w:sz w:val="24"/>
          <w:szCs w:val="24"/>
        </w:rPr>
        <w:t>PhenoCam’s</w:t>
      </w:r>
      <w:proofErr w:type="spellEnd"/>
      <w:r>
        <w:rPr>
          <w:rFonts w:ascii="Times New Roman" w:eastAsia="Times New Roman" w:hAnsi="Times New Roman" w:cs="Times New Roman"/>
          <w:sz w:val="24"/>
          <w:szCs w:val="24"/>
        </w:rPr>
        <w:t xml:space="preserve"> green-up estimates — could potentially exist here. Due to certain soil temperature depth measurements being unavailable at some sites, the closest depth had to be substituted into an otherwise standardized dataset. Additionally, </w:t>
      </w:r>
      <w:proofErr w:type="spellStart"/>
      <w:r>
        <w:rPr>
          <w:rFonts w:ascii="Times New Roman" w:eastAsia="Times New Roman" w:hAnsi="Times New Roman" w:cs="Times New Roman"/>
          <w:sz w:val="24"/>
          <w:szCs w:val="24"/>
        </w:rPr>
        <w:t>PhenoCam’s</w:t>
      </w:r>
      <w:proofErr w:type="spellEnd"/>
      <w:r>
        <w:rPr>
          <w:rFonts w:ascii="Times New Roman" w:eastAsia="Times New Roman" w:hAnsi="Times New Roman" w:cs="Times New Roman"/>
          <w:sz w:val="24"/>
          <w:szCs w:val="24"/>
        </w:rPr>
        <w:t xml:space="preserve"> green-up estimates only serve as a proxy for the actual, quantifiable green-</w:t>
      </w:r>
      <w:proofErr w:type="spellStart"/>
      <w:r>
        <w:rPr>
          <w:rFonts w:ascii="Times New Roman" w:eastAsia="Times New Roman" w:hAnsi="Times New Roman" w:cs="Times New Roman"/>
          <w:sz w:val="24"/>
          <w:szCs w:val="24"/>
        </w:rPr>
        <w:t>up date</w:t>
      </w:r>
      <w:proofErr w:type="spellEnd"/>
      <w:r>
        <w:rPr>
          <w:rFonts w:ascii="Times New Roman" w:eastAsia="Times New Roman" w:hAnsi="Times New Roman" w:cs="Times New Roman"/>
          <w:sz w:val="24"/>
          <w:szCs w:val="24"/>
        </w:rPr>
        <w:t xml:space="preserve"> — the date when the forest transitions from a net carbon source to a net carbon sink. While the </w:t>
      </w:r>
      <w:proofErr w:type="spellStart"/>
      <w:r>
        <w:rPr>
          <w:rFonts w:ascii="Times New Roman" w:eastAsia="Times New Roman" w:hAnsi="Times New Roman" w:cs="Times New Roman"/>
          <w:sz w:val="24"/>
          <w:szCs w:val="24"/>
        </w:rPr>
        <w:t>PhenoCam’s</w:t>
      </w:r>
      <w:proofErr w:type="spellEnd"/>
      <w:r>
        <w:rPr>
          <w:rFonts w:ascii="Times New Roman" w:eastAsia="Times New Roman" w:hAnsi="Times New Roman" w:cs="Times New Roman"/>
          <w:sz w:val="24"/>
          <w:szCs w:val="24"/>
        </w:rPr>
        <w:t xml:space="preserve"> estimates vastly increase efficiency and accessibility for testing this hypothesis, their use does sacrifice some of the precision gained by using measurements of daily net ecosystem carbon exchange. </w:t>
      </w:r>
    </w:p>
    <w:p w14:paraId="00000072"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our findings suggest that this phenological rule can be applied to a vast number of sites, especially with the implementation of field validation to improve green-up day estimates and soil temperature measurements. Especially for lower latitude eastern deciduous broadleaf sites, this method could be extremely helpful in generating wide green-up estimates which can then be used to refine biogeochemical models requiring phenological input. With further refinement, this method can be quickly and easily implemented to not only estimate but also predict forest phenology and carbon cycling. </w:t>
      </w:r>
    </w:p>
    <w:p w14:paraId="00000073" w14:textId="77777777" w:rsidR="00B40456" w:rsidRDefault="00B40456">
      <w:pPr>
        <w:spacing w:line="480" w:lineRule="auto"/>
      </w:pPr>
    </w:p>
    <w:p w14:paraId="00000074" w14:textId="77777777" w:rsidR="00B40456" w:rsidRDefault="00B40456">
      <w:pPr>
        <w:spacing w:line="480" w:lineRule="auto"/>
      </w:pPr>
    </w:p>
    <w:p w14:paraId="00000075" w14:textId="77777777" w:rsidR="00B40456" w:rsidRDefault="00B40456">
      <w:pPr>
        <w:spacing w:line="480" w:lineRule="auto"/>
        <w:rPr>
          <w:rFonts w:ascii="Times New Roman" w:eastAsia="Times New Roman" w:hAnsi="Times New Roman" w:cs="Times New Roman"/>
          <w:sz w:val="26"/>
          <w:szCs w:val="26"/>
        </w:rPr>
        <w:sectPr w:rsidR="00B40456">
          <w:type w:val="continuous"/>
          <w:pgSz w:w="12240" w:h="15840"/>
          <w:pgMar w:top="1440" w:right="1440" w:bottom="1440" w:left="1440" w:header="720" w:footer="720" w:gutter="0"/>
          <w:cols w:space="720" w:equalWidth="0">
            <w:col w:w="9360" w:space="0"/>
          </w:cols>
        </w:sectPr>
      </w:pPr>
    </w:p>
    <w:p w14:paraId="00000076" w14:textId="77777777" w:rsidR="00B40456" w:rsidRDefault="00B40456">
      <w:pPr>
        <w:spacing w:line="480" w:lineRule="auto"/>
        <w:rPr>
          <w:rFonts w:ascii="Times New Roman" w:eastAsia="Times New Roman" w:hAnsi="Times New Roman" w:cs="Times New Roman"/>
        </w:rPr>
      </w:pPr>
    </w:p>
    <w:p w14:paraId="00000077" w14:textId="77777777" w:rsidR="00B40456" w:rsidRDefault="009668C9">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References </w:t>
      </w:r>
    </w:p>
    <w:p w14:paraId="00000078" w14:textId="77777777" w:rsidR="00B40456" w:rsidRDefault="00B40456">
      <w:pPr>
        <w:spacing w:line="480" w:lineRule="auto"/>
        <w:rPr>
          <w:rFonts w:ascii="Times New Roman" w:eastAsia="Times New Roman" w:hAnsi="Times New Roman" w:cs="Times New Roman"/>
          <w:sz w:val="24"/>
          <w:szCs w:val="24"/>
        </w:rPr>
      </w:pPr>
    </w:p>
    <w:p w14:paraId="00000079"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Ainsworth EA, Long SP. What have we learned from 15 years of free‐air </w:t>
      </w:r>
      <w:proofErr w:type="gramStart"/>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2</w:t>
      </w:r>
      <w:proofErr w:type="gramEnd"/>
      <w:r>
        <w:rPr>
          <w:rFonts w:ascii="Times New Roman" w:eastAsia="Times New Roman" w:hAnsi="Times New Roman" w:cs="Times New Roman"/>
          <w:sz w:val="24"/>
          <w:szCs w:val="24"/>
        </w:rPr>
        <w:t xml:space="preserve"> </w:t>
      </w:r>
    </w:p>
    <w:p w14:paraId="0000007A"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enrichment (FACE)? A meta‐analytic review of the responses of photosynthesis, canopy properties and plant production to rising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New Phytologist. 2004;165: 351-372.</w:t>
      </w:r>
    </w:p>
    <w:p w14:paraId="0000007B" w14:textId="77777777" w:rsidR="00B40456" w:rsidRDefault="00B40456">
      <w:pPr>
        <w:spacing w:line="480" w:lineRule="auto"/>
        <w:rPr>
          <w:rFonts w:ascii="Times New Roman" w:eastAsia="Times New Roman" w:hAnsi="Times New Roman" w:cs="Times New Roman"/>
          <w:sz w:val="24"/>
          <w:szCs w:val="24"/>
        </w:rPr>
      </w:pPr>
    </w:p>
    <w:p w14:paraId="0000007C" w14:textId="77777777" w:rsidR="00B40456" w:rsidRDefault="009668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Arain MA. 2018.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CA-TPD Ontario - Turkey Point Mature Deciduous, Ver. 2-5, </w:t>
      </w:r>
    </w:p>
    <w:p w14:paraId="0000007D" w14:textId="77777777" w:rsidR="00B40456" w:rsidRDefault="009668C9">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AMP, (Dataset). https://doi.org/10.17190/AMF/1246152</w:t>
      </w:r>
    </w:p>
    <w:p w14:paraId="0000007E" w14:textId="77777777" w:rsidR="00B40456" w:rsidRDefault="00B40456">
      <w:pPr>
        <w:spacing w:line="480" w:lineRule="auto"/>
        <w:rPr>
          <w:rFonts w:ascii="Times New Roman" w:eastAsia="Times New Roman" w:hAnsi="Times New Roman" w:cs="Times New Roman"/>
          <w:sz w:val="24"/>
          <w:szCs w:val="24"/>
        </w:rPr>
      </w:pPr>
    </w:p>
    <w:p w14:paraId="0000007F"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Arora V. Modeling vegetation as a dynamic component in soil-vegetation-atmosphere </w:t>
      </w:r>
    </w:p>
    <w:p w14:paraId="00000080"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schemes and hydrological models. </w:t>
      </w:r>
      <w:r>
        <w:rPr>
          <w:rFonts w:ascii="Times New Roman" w:eastAsia="Times New Roman" w:hAnsi="Times New Roman" w:cs="Times New Roman"/>
          <w:i/>
          <w:sz w:val="24"/>
          <w:szCs w:val="24"/>
        </w:rPr>
        <w:t xml:space="preserve">Rev. </w:t>
      </w:r>
      <w:proofErr w:type="spellStart"/>
      <w:r>
        <w:rPr>
          <w:rFonts w:ascii="Times New Roman" w:eastAsia="Times New Roman" w:hAnsi="Times New Roman" w:cs="Times New Roman"/>
          <w:i/>
          <w:sz w:val="24"/>
          <w:szCs w:val="24"/>
        </w:rPr>
        <w:t>Geophys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2002;40(2), 1006. doi:10.1029/2001RG000103.</w:t>
      </w:r>
    </w:p>
    <w:p w14:paraId="00000081" w14:textId="77777777" w:rsidR="00B40456" w:rsidRDefault="00B40456">
      <w:pPr>
        <w:spacing w:line="480" w:lineRule="auto"/>
        <w:rPr>
          <w:rFonts w:ascii="Times New Roman" w:eastAsia="Times New Roman" w:hAnsi="Times New Roman" w:cs="Times New Roman"/>
          <w:sz w:val="24"/>
          <w:szCs w:val="24"/>
        </w:rPr>
      </w:pPr>
    </w:p>
    <w:p w14:paraId="00000082"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DB, Black TA, Curtis PS, </w:t>
      </w:r>
      <w:proofErr w:type="spellStart"/>
      <w:r>
        <w:rPr>
          <w:rFonts w:ascii="Times New Roman" w:eastAsia="Times New Roman" w:hAnsi="Times New Roman" w:cs="Times New Roman"/>
          <w:sz w:val="24"/>
          <w:szCs w:val="24"/>
        </w:rPr>
        <w:t>Falge</w:t>
      </w:r>
      <w:proofErr w:type="spellEnd"/>
      <w:r>
        <w:rPr>
          <w:rFonts w:ascii="Times New Roman" w:eastAsia="Times New Roman" w:hAnsi="Times New Roman" w:cs="Times New Roman"/>
          <w:sz w:val="24"/>
          <w:szCs w:val="24"/>
        </w:rPr>
        <w:t xml:space="preserve"> E, Fuentes JD, </w:t>
      </w:r>
      <w:proofErr w:type="spellStart"/>
      <w:r>
        <w:rPr>
          <w:rFonts w:ascii="Times New Roman" w:eastAsia="Times New Roman" w:hAnsi="Times New Roman" w:cs="Times New Roman"/>
          <w:sz w:val="24"/>
          <w:szCs w:val="24"/>
        </w:rPr>
        <w:t>Granier</w:t>
      </w:r>
      <w:proofErr w:type="spellEnd"/>
      <w:r>
        <w:rPr>
          <w:rFonts w:ascii="Times New Roman" w:eastAsia="Times New Roman" w:hAnsi="Times New Roman" w:cs="Times New Roman"/>
          <w:sz w:val="24"/>
          <w:szCs w:val="24"/>
        </w:rPr>
        <w:t xml:space="preserve"> A, Gu L, </w:t>
      </w:r>
      <w:proofErr w:type="spellStart"/>
      <w:r>
        <w:rPr>
          <w:rFonts w:ascii="Times New Roman" w:eastAsia="Times New Roman" w:hAnsi="Times New Roman" w:cs="Times New Roman"/>
          <w:sz w:val="24"/>
          <w:szCs w:val="24"/>
        </w:rPr>
        <w:t>Knohl</w:t>
      </w:r>
      <w:proofErr w:type="spellEnd"/>
      <w:r>
        <w:rPr>
          <w:rFonts w:ascii="Times New Roman" w:eastAsia="Times New Roman" w:hAnsi="Times New Roman" w:cs="Times New Roman"/>
          <w:sz w:val="24"/>
          <w:szCs w:val="24"/>
        </w:rPr>
        <w:t xml:space="preserve"> A,</w:t>
      </w:r>
    </w:p>
    <w:p w14:paraId="00000083" w14:textId="77777777" w:rsidR="00B40456" w:rsidRDefault="009668C9">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Pilegaard</w:t>
      </w:r>
      <w:proofErr w:type="spellEnd"/>
      <w:r>
        <w:rPr>
          <w:rFonts w:ascii="Times New Roman" w:eastAsia="Times New Roman" w:hAnsi="Times New Roman" w:cs="Times New Roman"/>
          <w:sz w:val="24"/>
          <w:szCs w:val="24"/>
        </w:rPr>
        <w:t xml:space="preserve"> K, Schmid HP, </w:t>
      </w:r>
      <w:proofErr w:type="spellStart"/>
      <w:r>
        <w:rPr>
          <w:rFonts w:ascii="Times New Roman" w:eastAsia="Times New Roman" w:hAnsi="Times New Roman" w:cs="Times New Roman"/>
          <w:sz w:val="24"/>
          <w:szCs w:val="24"/>
        </w:rPr>
        <w:t>Valentini</w:t>
      </w:r>
      <w:proofErr w:type="spellEnd"/>
      <w:r>
        <w:rPr>
          <w:rFonts w:ascii="Times New Roman" w:eastAsia="Times New Roman" w:hAnsi="Times New Roman" w:cs="Times New Roman"/>
          <w:sz w:val="24"/>
          <w:szCs w:val="24"/>
        </w:rPr>
        <w:t xml:space="preserve"> R, Wilson K, </w:t>
      </w:r>
      <w:proofErr w:type="spellStart"/>
      <w:r>
        <w:rPr>
          <w:rFonts w:ascii="Times New Roman" w:eastAsia="Times New Roman" w:hAnsi="Times New Roman" w:cs="Times New Roman"/>
          <w:sz w:val="24"/>
          <w:szCs w:val="24"/>
        </w:rPr>
        <w:t>Wofsy</w:t>
      </w:r>
      <w:proofErr w:type="spellEnd"/>
      <w:r>
        <w:rPr>
          <w:rFonts w:ascii="Times New Roman" w:eastAsia="Times New Roman" w:hAnsi="Times New Roman" w:cs="Times New Roman"/>
          <w:sz w:val="24"/>
          <w:szCs w:val="24"/>
        </w:rPr>
        <w:t xml:space="preserve"> S, Xu L, Yamamoto S. Predicting the onset of net carbon uptake by deciduous forests with soil temperature and climate data: a synthesis of FLUXNET data.</w:t>
      </w:r>
      <w:r>
        <w:rPr>
          <w:rFonts w:ascii="Times New Roman" w:eastAsia="Times New Roman" w:hAnsi="Times New Roman" w:cs="Times New Roman"/>
          <w:i/>
          <w:sz w:val="24"/>
          <w:szCs w:val="24"/>
        </w:rPr>
        <w:t xml:space="preserve"> International Journal of Biometeorology</w:t>
      </w:r>
      <w:r>
        <w:rPr>
          <w:rFonts w:ascii="Times New Roman" w:eastAsia="Times New Roman" w:hAnsi="Times New Roman" w:cs="Times New Roman"/>
          <w:sz w:val="24"/>
          <w:szCs w:val="24"/>
        </w:rPr>
        <w:t>. 2005;49: 377-387.</w:t>
      </w:r>
    </w:p>
    <w:p w14:paraId="00000084" w14:textId="77777777" w:rsidR="00B40456" w:rsidRDefault="00B40456">
      <w:pPr>
        <w:spacing w:line="480" w:lineRule="auto"/>
        <w:rPr>
          <w:rFonts w:ascii="Times New Roman" w:eastAsia="Times New Roman" w:hAnsi="Times New Roman" w:cs="Times New Roman"/>
          <w:sz w:val="24"/>
          <w:szCs w:val="24"/>
        </w:rPr>
      </w:pPr>
    </w:p>
    <w:p w14:paraId="00000085"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Basler D, </w:t>
      </w:r>
      <w:proofErr w:type="spellStart"/>
      <w:r>
        <w:rPr>
          <w:rFonts w:ascii="Times New Roman" w:eastAsia="Times New Roman" w:hAnsi="Times New Roman" w:cs="Times New Roman"/>
          <w:sz w:val="24"/>
          <w:szCs w:val="24"/>
        </w:rPr>
        <w:t>Körner</w:t>
      </w:r>
      <w:proofErr w:type="spellEnd"/>
      <w:r>
        <w:rPr>
          <w:rFonts w:ascii="Times New Roman" w:eastAsia="Times New Roman" w:hAnsi="Times New Roman" w:cs="Times New Roman"/>
          <w:sz w:val="24"/>
          <w:szCs w:val="24"/>
        </w:rPr>
        <w:t xml:space="preserve"> C. 2012. Photoperiod sensitivity of bud burst in 14 temperate forest </w:t>
      </w:r>
      <w:proofErr w:type="gramStart"/>
      <w:r>
        <w:rPr>
          <w:rFonts w:ascii="Times New Roman" w:eastAsia="Times New Roman" w:hAnsi="Times New Roman" w:cs="Times New Roman"/>
          <w:sz w:val="24"/>
          <w:szCs w:val="24"/>
        </w:rPr>
        <w:t>tree</w:t>
      </w:r>
      <w:proofErr w:type="gramEnd"/>
      <w:r>
        <w:rPr>
          <w:rFonts w:ascii="Times New Roman" w:eastAsia="Times New Roman" w:hAnsi="Times New Roman" w:cs="Times New Roman"/>
          <w:sz w:val="24"/>
          <w:szCs w:val="24"/>
        </w:rPr>
        <w:t xml:space="preserve"> </w:t>
      </w:r>
    </w:p>
    <w:p w14:paraId="00000086"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 </w:t>
      </w:r>
      <w:r>
        <w:rPr>
          <w:rFonts w:ascii="Times New Roman" w:eastAsia="Times New Roman" w:hAnsi="Times New Roman" w:cs="Times New Roman"/>
          <w:i/>
          <w:sz w:val="24"/>
          <w:szCs w:val="24"/>
        </w:rPr>
        <w:t xml:space="preserve">Agric For </w:t>
      </w:r>
      <w:proofErr w:type="spellStart"/>
      <w:r>
        <w:rPr>
          <w:rFonts w:ascii="Times New Roman" w:eastAsia="Times New Roman" w:hAnsi="Times New Roman" w:cs="Times New Roman"/>
          <w:i/>
          <w:sz w:val="24"/>
          <w:szCs w:val="24"/>
        </w:rPr>
        <w:t>Meteorol</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2012;165:73</w:t>
      </w:r>
      <w:proofErr w:type="gramEnd"/>
      <w:r>
        <w:rPr>
          <w:rFonts w:ascii="Times New Roman" w:eastAsia="Times New Roman" w:hAnsi="Times New Roman" w:cs="Times New Roman"/>
          <w:sz w:val="24"/>
          <w:szCs w:val="24"/>
        </w:rPr>
        <w:t>–81.</w:t>
      </w:r>
    </w:p>
    <w:p w14:paraId="00000087" w14:textId="77777777" w:rsidR="00B40456" w:rsidRDefault="00B40456">
      <w:pPr>
        <w:spacing w:line="480" w:lineRule="auto"/>
        <w:rPr>
          <w:rFonts w:ascii="Times New Roman" w:eastAsia="Times New Roman" w:hAnsi="Times New Roman" w:cs="Times New Roman"/>
          <w:sz w:val="24"/>
          <w:szCs w:val="24"/>
        </w:rPr>
      </w:pPr>
    </w:p>
    <w:p w14:paraId="00000088"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Bernacchi</w:t>
      </w:r>
      <w:proofErr w:type="spellEnd"/>
      <w:r>
        <w:rPr>
          <w:rFonts w:ascii="Times New Roman" w:eastAsia="Times New Roman" w:hAnsi="Times New Roman" w:cs="Times New Roman"/>
          <w:sz w:val="24"/>
          <w:szCs w:val="24"/>
        </w:rPr>
        <w:t xml:space="preserve"> CJ, </w:t>
      </w:r>
      <w:proofErr w:type="spellStart"/>
      <w:r>
        <w:rPr>
          <w:rFonts w:ascii="Times New Roman" w:eastAsia="Times New Roman" w:hAnsi="Times New Roman" w:cs="Times New Roman"/>
          <w:sz w:val="24"/>
          <w:szCs w:val="24"/>
        </w:rPr>
        <w:t>Calfapietra</w:t>
      </w:r>
      <w:proofErr w:type="spellEnd"/>
      <w:r>
        <w:rPr>
          <w:rFonts w:ascii="Times New Roman" w:eastAsia="Times New Roman" w:hAnsi="Times New Roman" w:cs="Times New Roman"/>
          <w:sz w:val="24"/>
          <w:szCs w:val="24"/>
        </w:rPr>
        <w:t xml:space="preserve"> C, Davey PA, Wittig VE, </w:t>
      </w:r>
      <w:proofErr w:type="spellStart"/>
      <w:r>
        <w:rPr>
          <w:rFonts w:ascii="Times New Roman" w:eastAsia="Times New Roman" w:hAnsi="Times New Roman" w:cs="Times New Roman"/>
          <w:sz w:val="24"/>
          <w:szCs w:val="24"/>
        </w:rPr>
        <w:t>Scarascia‐Mugnozza</w:t>
      </w:r>
      <w:proofErr w:type="spellEnd"/>
      <w:r>
        <w:rPr>
          <w:rFonts w:ascii="Times New Roman" w:eastAsia="Times New Roman" w:hAnsi="Times New Roman" w:cs="Times New Roman"/>
          <w:sz w:val="24"/>
          <w:szCs w:val="24"/>
        </w:rPr>
        <w:t xml:space="preserve"> GE, Raines CA, </w:t>
      </w:r>
    </w:p>
    <w:p w14:paraId="00000089"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 SP. Photosynthesis and stomatal conductance responses of poplars to free‐air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enrichment (</w:t>
      </w:r>
      <w:proofErr w:type="spellStart"/>
      <w:r>
        <w:rPr>
          <w:rFonts w:ascii="Times New Roman" w:eastAsia="Times New Roman" w:hAnsi="Times New Roman" w:cs="Times New Roman"/>
          <w:sz w:val="24"/>
          <w:szCs w:val="24"/>
        </w:rPr>
        <w:t>PopFACE</w:t>
      </w:r>
      <w:proofErr w:type="spellEnd"/>
      <w:r>
        <w:rPr>
          <w:rFonts w:ascii="Times New Roman" w:eastAsia="Times New Roman" w:hAnsi="Times New Roman" w:cs="Times New Roman"/>
          <w:sz w:val="24"/>
          <w:szCs w:val="24"/>
        </w:rPr>
        <w:t xml:space="preserve">) during the first growth cycle and immediately following coppice. </w:t>
      </w:r>
      <w:r>
        <w:rPr>
          <w:rFonts w:ascii="Times New Roman" w:eastAsia="Times New Roman" w:hAnsi="Times New Roman" w:cs="Times New Roman"/>
          <w:i/>
          <w:sz w:val="24"/>
          <w:szCs w:val="24"/>
        </w:rPr>
        <w:t>New Phytologist.</w:t>
      </w:r>
      <w:r>
        <w:rPr>
          <w:rFonts w:ascii="Times New Roman" w:eastAsia="Times New Roman" w:hAnsi="Times New Roman" w:cs="Times New Roman"/>
          <w:sz w:val="24"/>
          <w:szCs w:val="24"/>
        </w:rPr>
        <w:t xml:space="preserve"> 2003;159: 609– 621.</w:t>
      </w:r>
    </w:p>
    <w:p w14:paraId="0000008A" w14:textId="77777777" w:rsidR="00B40456" w:rsidRDefault="00B40456">
      <w:pPr>
        <w:spacing w:line="480" w:lineRule="auto"/>
        <w:rPr>
          <w:rFonts w:ascii="Times New Roman" w:eastAsia="Times New Roman" w:hAnsi="Times New Roman" w:cs="Times New Roman"/>
          <w:sz w:val="24"/>
          <w:szCs w:val="24"/>
        </w:rPr>
      </w:pPr>
      <w:commentRangeStart w:id="0"/>
    </w:p>
    <w:p w14:paraId="0000008B" w14:textId="77777777" w:rsidR="00B40456" w:rsidRDefault="009668C9">
      <w:pPr>
        <w:spacing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Bonan</w:t>
      </w:r>
      <w:proofErr w:type="spellEnd"/>
      <w:r>
        <w:rPr>
          <w:rFonts w:ascii="Times New Roman" w:eastAsia="Times New Roman" w:hAnsi="Times New Roman" w:cs="Times New Roman"/>
          <w:sz w:val="24"/>
          <w:szCs w:val="24"/>
        </w:rPr>
        <w:t xml:space="preserve"> G. 2019. Biogeochemical Models. In </w:t>
      </w:r>
      <w:r>
        <w:rPr>
          <w:rFonts w:ascii="Times New Roman" w:eastAsia="Times New Roman" w:hAnsi="Times New Roman" w:cs="Times New Roman"/>
          <w:i/>
          <w:sz w:val="24"/>
          <w:szCs w:val="24"/>
        </w:rPr>
        <w:t xml:space="preserve">Climate Change and Terrestrial Ecosystem </w:t>
      </w:r>
    </w:p>
    <w:p w14:paraId="0000008C"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Modeling</w:t>
      </w:r>
      <w:r>
        <w:rPr>
          <w:rFonts w:ascii="Times New Roman" w:eastAsia="Times New Roman" w:hAnsi="Times New Roman" w:cs="Times New Roman"/>
          <w:sz w:val="24"/>
          <w:szCs w:val="24"/>
        </w:rPr>
        <w:t xml:space="preserve"> (pp. 301-321). Cambridge: Cambridge University Press. doi:10.1017/9781107339217.018</w:t>
      </w:r>
      <w:commentRangeEnd w:id="0"/>
      <w:r>
        <w:commentReference w:id="0"/>
      </w:r>
    </w:p>
    <w:p w14:paraId="0000008D" w14:textId="77777777" w:rsidR="00B40456" w:rsidRDefault="00B40456">
      <w:pPr>
        <w:spacing w:line="480" w:lineRule="auto"/>
        <w:rPr>
          <w:rFonts w:ascii="Times New Roman" w:eastAsia="Times New Roman" w:hAnsi="Times New Roman" w:cs="Times New Roman"/>
          <w:sz w:val="24"/>
          <w:szCs w:val="24"/>
        </w:rPr>
      </w:pPr>
    </w:p>
    <w:p w14:paraId="0000008E"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Brandt JP. The extent of the North American boreal zone. </w:t>
      </w:r>
      <w:r>
        <w:rPr>
          <w:rFonts w:ascii="Times New Roman" w:eastAsia="Times New Roman" w:hAnsi="Times New Roman" w:cs="Times New Roman"/>
          <w:i/>
          <w:sz w:val="24"/>
          <w:szCs w:val="24"/>
        </w:rPr>
        <w:t xml:space="preserve">Environmental Reviews. </w:t>
      </w:r>
      <w:r>
        <w:rPr>
          <w:rFonts w:ascii="Times New Roman" w:eastAsia="Times New Roman" w:hAnsi="Times New Roman" w:cs="Times New Roman"/>
          <w:sz w:val="24"/>
          <w:szCs w:val="24"/>
        </w:rPr>
        <w:t xml:space="preserve">2009;17, </w:t>
      </w:r>
    </w:p>
    <w:p w14:paraId="0000008F"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101-161.</w:t>
      </w:r>
    </w:p>
    <w:p w14:paraId="00000090" w14:textId="77777777" w:rsidR="00B40456" w:rsidRDefault="00B40456">
      <w:pPr>
        <w:spacing w:line="480" w:lineRule="auto"/>
        <w:rPr>
          <w:rFonts w:ascii="Times New Roman" w:eastAsia="Times New Roman" w:hAnsi="Times New Roman" w:cs="Times New Roman"/>
          <w:sz w:val="24"/>
          <w:szCs w:val="24"/>
        </w:rPr>
      </w:pPr>
    </w:p>
    <w:p w14:paraId="00000091"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Buermann</w:t>
      </w:r>
      <w:proofErr w:type="spellEnd"/>
      <w:r>
        <w:rPr>
          <w:rFonts w:ascii="Times New Roman" w:eastAsia="Times New Roman" w:hAnsi="Times New Roman" w:cs="Times New Roman"/>
          <w:sz w:val="24"/>
          <w:szCs w:val="24"/>
        </w:rPr>
        <w:t xml:space="preserve"> W, Forkel M, O’Sullivan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Widespread seasonal compensation effects </w:t>
      </w:r>
    </w:p>
    <w:p w14:paraId="00000092"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spring warming on northern plant productivity.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2018;562, 110–114. https://doi.org/10.1038/s41586-018-0555-7</w:t>
      </w:r>
    </w:p>
    <w:p w14:paraId="00000093" w14:textId="77777777" w:rsidR="00B40456" w:rsidRDefault="00B40456">
      <w:pPr>
        <w:spacing w:line="480" w:lineRule="auto"/>
        <w:rPr>
          <w:rFonts w:ascii="Times New Roman" w:eastAsia="Times New Roman" w:hAnsi="Times New Roman" w:cs="Times New Roman"/>
          <w:sz w:val="24"/>
          <w:szCs w:val="24"/>
        </w:rPr>
      </w:pPr>
    </w:p>
    <w:p w14:paraId="00000094" w14:textId="77777777" w:rsidR="00B40456" w:rsidRDefault="009668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Desai A. 2021.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US-</w:t>
      </w:r>
      <w:proofErr w:type="spellStart"/>
      <w:r>
        <w:rPr>
          <w:rFonts w:ascii="Times New Roman" w:eastAsia="Times New Roman" w:hAnsi="Times New Roman" w:cs="Times New Roman"/>
          <w:sz w:val="24"/>
          <w:szCs w:val="24"/>
          <w:highlight w:val="white"/>
        </w:rPr>
        <w:t>WCr</w:t>
      </w:r>
      <w:proofErr w:type="spellEnd"/>
      <w:r>
        <w:rPr>
          <w:rFonts w:ascii="Times New Roman" w:eastAsia="Times New Roman" w:hAnsi="Times New Roman" w:cs="Times New Roman"/>
          <w:sz w:val="24"/>
          <w:szCs w:val="24"/>
          <w:highlight w:val="white"/>
        </w:rPr>
        <w:t xml:space="preserve"> Willow Creek, Ver. 20-5,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AMP, (Dataset). </w:t>
      </w:r>
    </w:p>
    <w:p w14:paraId="00000095"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https://doi.org/10.17190/AMF/1246111</w:t>
      </w:r>
    </w:p>
    <w:p w14:paraId="00000096" w14:textId="77777777" w:rsidR="00B40456" w:rsidRDefault="00B40456">
      <w:pPr>
        <w:spacing w:line="480" w:lineRule="auto"/>
        <w:rPr>
          <w:rFonts w:ascii="Times New Roman" w:eastAsia="Times New Roman" w:hAnsi="Times New Roman" w:cs="Times New Roman"/>
          <w:sz w:val="24"/>
          <w:szCs w:val="24"/>
        </w:rPr>
      </w:pPr>
    </w:p>
    <w:p w14:paraId="00000097"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JL, Marx E, Easter M, Adler PR, </w:t>
      </w:r>
      <w:proofErr w:type="spellStart"/>
      <w:r>
        <w:rPr>
          <w:rFonts w:ascii="Times New Roman" w:eastAsia="Times New Roman" w:hAnsi="Times New Roman" w:cs="Times New Roman"/>
          <w:sz w:val="24"/>
          <w:szCs w:val="24"/>
        </w:rPr>
        <w:t>Paustian</w:t>
      </w:r>
      <w:proofErr w:type="spellEnd"/>
      <w:r>
        <w:rPr>
          <w:rFonts w:ascii="Times New Roman" w:eastAsia="Times New Roman" w:hAnsi="Times New Roman" w:cs="Times New Roman"/>
          <w:sz w:val="24"/>
          <w:szCs w:val="24"/>
        </w:rPr>
        <w:t xml:space="preserve"> K. Ecosystem model </w:t>
      </w:r>
    </w:p>
    <w:p w14:paraId="00000098"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parameterization and adaptation for sustainable cellulosic biofuel landscape design. </w:t>
      </w:r>
      <w:r>
        <w:rPr>
          <w:rFonts w:ascii="Times New Roman" w:eastAsia="Times New Roman" w:hAnsi="Times New Roman" w:cs="Times New Roman"/>
          <w:i/>
          <w:sz w:val="24"/>
          <w:szCs w:val="24"/>
        </w:rPr>
        <w:t>GCB Bioenergy.</w:t>
      </w:r>
      <w:r>
        <w:rPr>
          <w:rFonts w:ascii="Times New Roman" w:eastAsia="Times New Roman" w:hAnsi="Times New Roman" w:cs="Times New Roman"/>
          <w:sz w:val="24"/>
          <w:szCs w:val="24"/>
        </w:rPr>
        <w:t xml:space="preserve"> 2016;</w:t>
      </w: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1106–1123.</w:t>
      </w:r>
    </w:p>
    <w:p w14:paraId="00000099" w14:textId="77777777" w:rsidR="00B40456" w:rsidRDefault="00B40456">
      <w:pPr>
        <w:spacing w:line="480" w:lineRule="auto"/>
        <w:rPr>
          <w:rFonts w:ascii="Times New Roman" w:eastAsia="Times New Roman" w:hAnsi="Times New Roman" w:cs="Times New Roman"/>
          <w:sz w:val="24"/>
          <w:szCs w:val="24"/>
        </w:rPr>
      </w:pPr>
    </w:p>
    <w:p w14:paraId="0000009A"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Gonsamo</w:t>
      </w:r>
      <w:proofErr w:type="spellEnd"/>
      <w:r>
        <w:rPr>
          <w:rFonts w:ascii="Times New Roman" w:eastAsia="Times New Roman" w:hAnsi="Times New Roman" w:cs="Times New Roman"/>
          <w:sz w:val="24"/>
          <w:szCs w:val="24"/>
        </w:rPr>
        <w:t xml:space="preserve"> A, Ter-</w:t>
      </w:r>
      <w:proofErr w:type="spellStart"/>
      <w:r>
        <w:rPr>
          <w:rFonts w:ascii="Times New Roman" w:eastAsia="Times New Roman" w:hAnsi="Times New Roman" w:cs="Times New Roman"/>
          <w:sz w:val="24"/>
          <w:szCs w:val="24"/>
        </w:rPr>
        <w:t>Mikaelian</w:t>
      </w:r>
      <w:proofErr w:type="spellEnd"/>
      <w:r>
        <w:rPr>
          <w:rFonts w:ascii="Times New Roman" w:eastAsia="Times New Roman" w:hAnsi="Times New Roman" w:cs="Times New Roman"/>
          <w:sz w:val="24"/>
          <w:szCs w:val="24"/>
        </w:rPr>
        <w:t xml:space="preserve"> MT, Chen JM, Chen J. Does Earlier and Increased </w:t>
      </w:r>
    </w:p>
    <w:p w14:paraId="0000009B"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Spring Plant Growth Lead to Reduced Summer Soil Moisture and Plant Growth on Landscapes Typical of Tundra-Taiga Interface? </w:t>
      </w:r>
      <w:r>
        <w:rPr>
          <w:rFonts w:ascii="Times New Roman" w:eastAsia="Times New Roman" w:hAnsi="Times New Roman" w:cs="Times New Roman"/>
          <w:i/>
          <w:sz w:val="24"/>
          <w:szCs w:val="24"/>
        </w:rPr>
        <w:t>Remote Sensing</w:t>
      </w:r>
      <w:r>
        <w:rPr>
          <w:rFonts w:ascii="Times New Roman" w:eastAsia="Times New Roman" w:hAnsi="Times New Roman" w:cs="Times New Roman"/>
          <w:sz w:val="24"/>
          <w:szCs w:val="24"/>
        </w:rPr>
        <w:t>. 2019;11(17):1989. https://doi.org/10.3390/rs11171989</w:t>
      </w:r>
    </w:p>
    <w:p w14:paraId="0000009C" w14:textId="77777777" w:rsidR="00B40456" w:rsidRDefault="00B40456">
      <w:pPr>
        <w:spacing w:line="480" w:lineRule="auto"/>
        <w:rPr>
          <w:rFonts w:ascii="Times New Roman" w:eastAsia="Times New Roman" w:hAnsi="Times New Roman" w:cs="Times New Roman"/>
          <w:sz w:val="24"/>
          <w:szCs w:val="24"/>
        </w:rPr>
      </w:pPr>
    </w:p>
    <w:p w14:paraId="0000009D" w14:textId="77777777" w:rsidR="00B40456" w:rsidRDefault="00141EB5">
      <w:pPr>
        <w:spacing w:line="480" w:lineRule="auto"/>
        <w:rPr>
          <w:rFonts w:ascii="Times New Roman" w:eastAsia="Times New Roman" w:hAnsi="Times New Roman" w:cs="Times New Roman"/>
          <w:sz w:val="24"/>
          <w:szCs w:val="24"/>
        </w:rPr>
      </w:pPr>
      <w:hyperlink r:id="rId31">
        <w:proofErr w:type="spellStart"/>
        <w:r w:rsidR="009668C9">
          <w:rPr>
            <w:rFonts w:ascii="Times New Roman" w:eastAsia="Times New Roman" w:hAnsi="Times New Roman" w:cs="Times New Roman"/>
            <w:sz w:val="24"/>
            <w:szCs w:val="24"/>
          </w:rPr>
          <w:t>Gonsamo</w:t>
        </w:r>
        <w:proofErr w:type="spellEnd"/>
      </w:hyperlink>
      <w:r w:rsidR="009668C9">
        <w:rPr>
          <w:rFonts w:ascii="Times New Roman" w:eastAsia="Times New Roman" w:hAnsi="Times New Roman" w:cs="Times New Roman"/>
          <w:sz w:val="24"/>
          <w:szCs w:val="24"/>
        </w:rPr>
        <w:t xml:space="preserve"> A,  </w:t>
      </w:r>
      <w:hyperlink r:id="rId32">
        <w:r w:rsidR="009668C9">
          <w:rPr>
            <w:rFonts w:ascii="Times New Roman" w:eastAsia="Times New Roman" w:hAnsi="Times New Roman" w:cs="Times New Roman"/>
            <w:sz w:val="24"/>
            <w:szCs w:val="24"/>
          </w:rPr>
          <w:t>Chen</w:t>
        </w:r>
      </w:hyperlink>
      <w:r w:rsidR="009668C9">
        <w:rPr>
          <w:rFonts w:ascii="Times New Roman" w:eastAsia="Times New Roman" w:hAnsi="Times New Roman" w:cs="Times New Roman"/>
          <w:sz w:val="24"/>
          <w:szCs w:val="24"/>
        </w:rPr>
        <w:t xml:space="preserve"> JM, </w:t>
      </w:r>
      <w:hyperlink r:id="rId33">
        <w:proofErr w:type="spellStart"/>
        <w:r w:rsidR="009668C9">
          <w:rPr>
            <w:rFonts w:ascii="Times New Roman" w:eastAsia="Times New Roman" w:hAnsi="Times New Roman" w:cs="Times New Roman"/>
            <w:sz w:val="24"/>
            <w:szCs w:val="24"/>
          </w:rPr>
          <w:t>Ooi</w:t>
        </w:r>
        <w:proofErr w:type="spellEnd"/>
      </w:hyperlink>
      <w:r w:rsidR="009668C9">
        <w:rPr>
          <w:rFonts w:ascii="Times New Roman" w:eastAsia="Times New Roman" w:hAnsi="Times New Roman" w:cs="Times New Roman"/>
          <w:sz w:val="24"/>
          <w:szCs w:val="24"/>
        </w:rPr>
        <w:t xml:space="preserve"> YW. 2017. Peak season plant activity shift towards spring is </w:t>
      </w:r>
    </w:p>
    <w:p w14:paraId="0000009E"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reflected by increasing carbon uptake by extratropical ecosystems.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2017;24: 2117-2128.</w:t>
      </w:r>
    </w:p>
    <w:p w14:paraId="0000009F" w14:textId="77777777" w:rsidR="00B40456" w:rsidRDefault="00B40456">
      <w:pPr>
        <w:spacing w:line="480" w:lineRule="auto"/>
        <w:ind w:left="720"/>
        <w:rPr>
          <w:rFonts w:ascii="Times New Roman" w:eastAsia="Times New Roman" w:hAnsi="Times New Roman" w:cs="Times New Roman"/>
          <w:sz w:val="24"/>
          <w:szCs w:val="24"/>
        </w:rPr>
      </w:pPr>
    </w:p>
    <w:p w14:paraId="000000A0" w14:textId="77777777" w:rsidR="00B40456" w:rsidRDefault="009668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Gough C, </w:t>
      </w:r>
      <w:proofErr w:type="spellStart"/>
      <w:r>
        <w:rPr>
          <w:rFonts w:ascii="Times New Roman" w:eastAsia="Times New Roman" w:hAnsi="Times New Roman" w:cs="Times New Roman"/>
          <w:sz w:val="24"/>
          <w:szCs w:val="24"/>
          <w:highlight w:val="white"/>
        </w:rPr>
        <w:t>Bohrer</w:t>
      </w:r>
      <w:proofErr w:type="spellEnd"/>
      <w:r>
        <w:rPr>
          <w:rFonts w:ascii="Times New Roman" w:eastAsia="Times New Roman" w:hAnsi="Times New Roman" w:cs="Times New Roman"/>
          <w:sz w:val="24"/>
          <w:szCs w:val="24"/>
          <w:highlight w:val="white"/>
        </w:rPr>
        <w:t xml:space="preserve"> G, Curtis P.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US-UMB Univ. of Mich. Biological </w:t>
      </w:r>
    </w:p>
    <w:p w14:paraId="000000A1"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Station, Ver. 16-5,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AMP, (Dataset). 2021. https://doi.org/10.17190/AMF/1246107</w:t>
      </w:r>
    </w:p>
    <w:p w14:paraId="000000A2" w14:textId="77777777" w:rsidR="00B40456" w:rsidRDefault="00B40456">
      <w:pPr>
        <w:spacing w:line="480" w:lineRule="auto"/>
        <w:rPr>
          <w:rFonts w:ascii="Times New Roman" w:eastAsia="Times New Roman" w:hAnsi="Times New Roman" w:cs="Times New Roman"/>
          <w:sz w:val="24"/>
          <w:szCs w:val="24"/>
        </w:rPr>
      </w:pPr>
    </w:p>
    <w:p w14:paraId="000000A3"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Griffis</w:t>
      </w:r>
      <w:proofErr w:type="spellEnd"/>
      <w:r>
        <w:rPr>
          <w:rFonts w:ascii="Times New Roman" w:eastAsia="Times New Roman" w:hAnsi="Times New Roman" w:cs="Times New Roman"/>
          <w:sz w:val="24"/>
          <w:szCs w:val="24"/>
        </w:rPr>
        <w:t xml:space="preserve"> TJ, Black TA, Morgenstern K, Barr AG, </w:t>
      </w:r>
      <w:proofErr w:type="spellStart"/>
      <w:r>
        <w:rPr>
          <w:rFonts w:ascii="Times New Roman" w:eastAsia="Times New Roman" w:hAnsi="Times New Roman" w:cs="Times New Roman"/>
          <w:sz w:val="24"/>
          <w:szCs w:val="24"/>
        </w:rPr>
        <w:t>Nesic</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Drewitt</w:t>
      </w:r>
      <w:proofErr w:type="spellEnd"/>
      <w:r>
        <w:rPr>
          <w:rFonts w:ascii="Times New Roman" w:eastAsia="Times New Roman" w:hAnsi="Times New Roman" w:cs="Times New Roman"/>
          <w:sz w:val="24"/>
          <w:szCs w:val="24"/>
        </w:rPr>
        <w:t xml:space="preserve"> GB, Gaumont-</w:t>
      </w:r>
      <w:proofErr w:type="spellStart"/>
      <w:r>
        <w:rPr>
          <w:rFonts w:ascii="Times New Roman" w:eastAsia="Times New Roman" w:hAnsi="Times New Roman" w:cs="Times New Roman"/>
          <w:sz w:val="24"/>
          <w:szCs w:val="24"/>
        </w:rPr>
        <w:t>Guay</w:t>
      </w:r>
      <w:proofErr w:type="spellEnd"/>
      <w:r>
        <w:rPr>
          <w:rFonts w:ascii="Times New Roman" w:eastAsia="Times New Roman" w:hAnsi="Times New Roman" w:cs="Times New Roman"/>
          <w:sz w:val="24"/>
          <w:szCs w:val="24"/>
        </w:rPr>
        <w:t xml:space="preserve"> D, </w:t>
      </w:r>
    </w:p>
    <w:p w14:paraId="000000A4"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McCaughey JH. </w:t>
      </w:r>
      <w:proofErr w:type="spellStart"/>
      <w:r>
        <w:rPr>
          <w:rFonts w:ascii="Times New Roman" w:eastAsia="Times New Roman" w:hAnsi="Times New Roman" w:cs="Times New Roman"/>
          <w:sz w:val="24"/>
          <w:szCs w:val="24"/>
        </w:rPr>
        <w:t>Ecophysiological</w:t>
      </w:r>
      <w:proofErr w:type="spellEnd"/>
      <w:r>
        <w:rPr>
          <w:rFonts w:ascii="Times New Roman" w:eastAsia="Times New Roman" w:hAnsi="Times New Roman" w:cs="Times New Roman"/>
          <w:sz w:val="24"/>
          <w:szCs w:val="24"/>
        </w:rPr>
        <w:t xml:space="preserve"> controls on the carbon balances of three southern boreal forests. </w:t>
      </w:r>
      <w:r>
        <w:rPr>
          <w:rFonts w:ascii="Times New Roman" w:eastAsia="Times New Roman" w:hAnsi="Times New Roman" w:cs="Times New Roman"/>
          <w:i/>
          <w:sz w:val="24"/>
          <w:szCs w:val="24"/>
        </w:rPr>
        <w:t xml:space="preserve">Agric For </w:t>
      </w:r>
      <w:proofErr w:type="spellStart"/>
      <w:r>
        <w:rPr>
          <w:rFonts w:ascii="Times New Roman" w:eastAsia="Times New Roman" w:hAnsi="Times New Roman" w:cs="Times New Roman"/>
          <w:i/>
          <w:sz w:val="24"/>
          <w:szCs w:val="24"/>
        </w:rPr>
        <w:t>Meteorol</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2003;117: 53–71</w:t>
      </w:r>
    </w:p>
    <w:p w14:paraId="000000A5" w14:textId="77777777" w:rsidR="00B40456" w:rsidRDefault="00B40456">
      <w:pPr>
        <w:spacing w:line="480" w:lineRule="auto"/>
        <w:rPr>
          <w:rFonts w:ascii="Times New Roman" w:eastAsia="Times New Roman" w:hAnsi="Times New Roman" w:cs="Times New Roman"/>
          <w:sz w:val="24"/>
          <w:szCs w:val="24"/>
        </w:rPr>
      </w:pPr>
    </w:p>
    <w:p w14:paraId="000000A6"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Ibáñez I, Primack RB, Miller-Rushing AJ, Ellwood E, Higuchi H, Lee SD, </w:t>
      </w:r>
      <w:proofErr w:type="spellStart"/>
      <w:r>
        <w:rPr>
          <w:rFonts w:ascii="Times New Roman" w:eastAsia="Times New Roman" w:hAnsi="Times New Roman" w:cs="Times New Roman"/>
          <w:sz w:val="24"/>
          <w:szCs w:val="24"/>
        </w:rPr>
        <w:t>Kobori</w:t>
      </w:r>
      <w:proofErr w:type="spellEnd"/>
      <w:r>
        <w:rPr>
          <w:rFonts w:ascii="Times New Roman" w:eastAsia="Times New Roman" w:hAnsi="Times New Roman" w:cs="Times New Roman"/>
          <w:sz w:val="24"/>
          <w:szCs w:val="24"/>
        </w:rPr>
        <w:t xml:space="preserve"> H, and </w:t>
      </w:r>
    </w:p>
    <w:p w14:paraId="000000A7" w14:textId="77777777" w:rsidR="00B40456" w:rsidRDefault="009668C9">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Silander</w:t>
      </w:r>
      <w:proofErr w:type="spellEnd"/>
      <w:r>
        <w:rPr>
          <w:rFonts w:ascii="Times New Roman" w:eastAsia="Times New Roman" w:hAnsi="Times New Roman" w:cs="Times New Roman"/>
          <w:sz w:val="24"/>
          <w:szCs w:val="24"/>
        </w:rPr>
        <w:t xml:space="preserve"> JA. Forecasting phenology under global warming. </w:t>
      </w:r>
      <w:r>
        <w:rPr>
          <w:rFonts w:ascii="Times New Roman" w:eastAsia="Times New Roman" w:hAnsi="Times New Roman" w:cs="Times New Roman"/>
          <w:i/>
          <w:sz w:val="24"/>
          <w:szCs w:val="24"/>
        </w:rPr>
        <w:t xml:space="preserve">Phil. Trans. R. Soc. B. </w:t>
      </w:r>
      <w:r>
        <w:rPr>
          <w:rFonts w:ascii="Times New Roman" w:eastAsia="Times New Roman" w:hAnsi="Times New Roman" w:cs="Times New Roman"/>
          <w:sz w:val="24"/>
          <w:szCs w:val="24"/>
        </w:rPr>
        <w:t>2010;365: 3247–3260</w:t>
      </w:r>
    </w:p>
    <w:p w14:paraId="000000A8" w14:textId="77777777" w:rsidR="00B40456" w:rsidRDefault="00B40456">
      <w:pPr>
        <w:spacing w:line="480" w:lineRule="auto"/>
        <w:rPr>
          <w:rFonts w:ascii="Times New Roman" w:eastAsia="Times New Roman" w:hAnsi="Times New Roman" w:cs="Times New Roman"/>
          <w:sz w:val="24"/>
          <w:szCs w:val="24"/>
        </w:rPr>
      </w:pPr>
    </w:p>
    <w:p w14:paraId="000000A9"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IPCC. Climate Change and Land: an IPCC special report on climate change, </w:t>
      </w:r>
    </w:p>
    <w:p w14:paraId="000000AA"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desertification, land degradation, sustainable land management, food security, and greenhouse gas fluxes in terrestrial ecosystems. 2019. In press.</w:t>
      </w:r>
    </w:p>
    <w:p w14:paraId="000000AB" w14:textId="77777777" w:rsidR="00B40456" w:rsidRDefault="00B40456">
      <w:pPr>
        <w:spacing w:line="480" w:lineRule="auto"/>
        <w:rPr>
          <w:rFonts w:ascii="Times New Roman" w:eastAsia="Times New Roman" w:hAnsi="Times New Roman" w:cs="Times New Roman"/>
          <w:sz w:val="24"/>
          <w:szCs w:val="24"/>
        </w:rPr>
      </w:pPr>
    </w:p>
    <w:p w14:paraId="000000AC"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Jeong</w:t>
      </w:r>
      <w:proofErr w:type="spellEnd"/>
      <w:r>
        <w:rPr>
          <w:rFonts w:ascii="Times New Roman" w:eastAsia="Times New Roman" w:hAnsi="Times New Roman" w:cs="Times New Roman"/>
          <w:sz w:val="24"/>
          <w:szCs w:val="24"/>
        </w:rPr>
        <w:t xml:space="preserve"> SJ, Ho CH, </w:t>
      </w:r>
      <w:proofErr w:type="spellStart"/>
      <w:r>
        <w:rPr>
          <w:rFonts w:ascii="Times New Roman" w:eastAsia="Times New Roman" w:hAnsi="Times New Roman" w:cs="Times New Roman"/>
          <w:sz w:val="24"/>
          <w:szCs w:val="24"/>
        </w:rPr>
        <w:t>Gim</w:t>
      </w:r>
      <w:proofErr w:type="spellEnd"/>
      <w:r>
        <w:rPr>
          <w:rFonts w:ascii="Times New Roman" w:eastAsia="Times New Roman" w:hAnsi="Times New Roman" w:cs="Times New Roman"/>
          <w:sz w:val="24"/>
          <w:szCs w:val="24"/>
        </w:rPr>
        <w:t xml:space="preserve"> HJ, Brown ME. Phenology Shifts at Start Vs. End of </w:t>
      </w:r>
    </w:p>
    <w:p w14:paraId="000000AD"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Growing Season in Temperate Vegetation over the Northern Hemisphere for the Period 1982-2008. </w:t>
      </w:r>
      <w:r>
        <w:rPr>
          <w:rFonts w:ascii="Times New Roman" w:eastAsia="Times New Roman" w:hAnsi="Times New Roman" w:cs="Times New Roman"/>
          <w:i/>
          <w:sz w:val="24"/>
          <w:szCs w:val="24"/>
        </w:rPr>
        <w:t>Glob. Chang. Biol.</w:t>
      </w:r>
      <w:r>
        <w:rPr>
          <w:rFonts w:ascii="Times New Roman" w:eastAsia="Times New Roman" w:hAnsi="Times New Roman" w:cs="Times New Roman"/>
          <w:sz w:val="24"/>
          <w:szCs w:val="24"/>
        </w:rPr>
        <w:t xml:space="preserve"> 2011;17, 2385–2399.</w:t>
      </w:r>
    </w:p>
    <w:p w14:paraId="000000AE" w14:textId="77777777" w:rsidR="00B40456" w:rsidRDefault="00B40456">
      <w:pPr>
        <w:spacing w:line="480" w:lineRule="auto"/>
        <w:rPr>
          <w:rFonts w:ascii="Times New Roman" w:eastAsia="Times New Roman" w:hAnsi="Times New Roman" w:cs="Times New Roman"/>
          <w:sz w:val="24"/>
          <w:szCs w:val="24"/>
        </w:rPr>
      </w:pPr>
    </w:p>
    <w:p w14:paraId="000000AF" w14:textId="77777777" w:rsidR="00B40456" w:rsidRDefault="009668C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S, </w:t>
      </w:r>
      <w:proofErr w:type="spellStart"/>
      <w:r>
        <w:rPr>
          <w:rFonts w:ascii="Times New Roman" w:eastAsia="Times New Roman" w:hAnsi="Times New Roman" w:cs="Times New Roman"/>
          <w:sz w:val="24"/>
          <w:szCs w:val="24"/>
        </w:rPr>
        <w:t>Baldocchi</w:t>
      </w:r>
      <w:proofErr w:type="spellEnd"/>
      <w:r>
        <w:rPr>
          <w:rFonts w:ascii="Times New Roman" w:eastAsia="Times New Roman" w:hAnsi="Times New Roman" w:cs="Times New Roman"/>
          <w:sz w:val="24"/>
          <w:szCs w:val="24"/>
        </w:rPr>
        <w:t xml:space="preserve"> DB, Wolf S, </w:t>
      </w:r>
      <w:proofErr w:type="spellStart"/>
      <w:r>
        <w:rPr>
          <w:rFonts w:ascii="Times New Roman" w:eastAsia="Times New Roman" w:hAnsi="Times New Roman" w:cs="Times New Roman"/>
          <w:sz w:val="24"/>
          <w:szCs w:val="24"/>
        </w:rPr>
        <w:t>Verfaillie</w:t>
      </w:r>
      <w:proofErr w:type="spellEnd"/>
      <w:r>
        <w:rPr>
          <w:rFonts w:ascii="Times New Roman" w:eastAsia="Times New Roman" w:hAnsi="Times New Roman" w:cs="Times New Roman"/>
          <w:sz w:val="24"/>
          <w:szCs w:val="24"/>
        </w:rPr>
        <w:t xml:space="preserve"> J. Slow ecosystem responses </w:t>
      </w:r>
    </w:p>
    <w:p w14:paraId="000000B0" w14:textId="77777777" w:rsidR="00B40456" w:rsidRDefault="009668C9">
      <w:pPr>
        <w:shd w:val="clear" w:color="auto" w:fill="FFFFFF"/>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conditionally regulate annual carbon balance over 15 years in Californian oak-grass savanna. </w:t>
      </w:r>
      <w:r>
        <w:rPr>
          <w:rFonts w:ascii="Times New Roman" w:eastAsia="Times New Roman" w:hAnsi="Times New Roman" w:cs="Times New Roman"/>
          <w:i/>
          <w:sz w:val="24"/>
          <w:szCs w:val="24"/>
        </w:rPr>
        <w:t>Agricultural and Forest Meteorology.</w:t>
      </w:r>
      <w:r>
        <w:rPr>
          <w:rFonts w:ascii="Times New Roman" w:eastAsia="Times New Roman" w:hAnsi="Times New Roman" w:cs="Times New Roman"/>
          <w:sz w:val="24"/>
          <w:szCs w:val="24"/>
        </w:rPr>
        <w:t xml:space="preserve"> 2016; 252-264.</w:t>
      </w:r>
    </w:p>
    <w:p w14:paraId="000000B1" w14:textId="77777777" w:rsidR="00B40456" w:rsidRDefault="00B40456">
      <w:pPr>
        <w:shd w:val="clear" w:color="auto" w:fill="FFFFFF"/>
        <w:spacing w:line="480" w:lineRule="auto"/>
        <w:ind w:left="720"/>
        <w:rPr>
          <w:rFonts w:ascii="Times New Roman" w:eastAsia="Times New Roman" w:hAnsi="Times New Roman" w:cs="Times New Roman"/>
          <w:sz w:val="24"/>
          <w:szCs w:val="24"/>
        </w:rPr>
      </w:pPr>
    </w:p>
    <w:p w14:paraId="000000B2" w14:textId="77777777" w:rsidR="00B40456" w:rsidRDefault="009668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 S, </w:t>
      </w:r>
      <w:proofErr w:type="spellStart"/>
      <w:r>
        <w:rPr>
          <w:rFonts w:ascii="Times New Roman" w:eastAsia="Times New Roman" w:hAnsi="Times New Roman" w:cs="Times New Roman"/>
          <w:sz w:val="24"/>
          <w:szCs w:val="24"/>
          <w:highlight w:val="white"/>
        </w:rPr>
        <w:t>Liukang</w:t>
      </w:r>
      <w:proofErr w:type="spellEnd"/>
      <w:r>
        <w:rPr>
          <w:rFonts w:ascii="Times New Roman" w:eastAsia="Times New Roman" w:hAnsi="Times New Roman" w:cs="Times New Roman"/>
          <w:sz w:val="24"/>
          <w:szCs w:val="24"/>
          <w:highlight w:val="white"/>
        </w:rPr>
        <w:t xml:space="preserve"> X, </w:t>
      </w:r>
      <w:proofErr w:type="spellStart"/>
      <w:r>
        <w:rPr>
          <w:rFonts w:ascii="Times New Roman" w:eastAsia="Times New Roman" w:hAnsi="Times New Roman" w:cs="Times New Roman"/>
          <w:sz w:val="24"/>
          <w:szCs w:val="24"/>
          <w:highlight w:val="white"/>
        </w:rPr>
        <w:t>Verfaillie</w:t>
      </w:r>
      <w:proofErr w:type="spellEnd"/>
      <w:r>
        <w:rPr>
          <w:rFonts w:ascii="Times New Roman" w:eastAsia="Times New Roman" w:hAnsi="Times New Roman" w:cs="Times New Roman"/>
          <w:sz w:val="24"/>
          <w:szCs w:val="24"/>
          <w:highlight w:val="white"/>
        </w:rPr>
        <w:t xml:space="preserve"> J, </w:t>
      </w:r>
      <w:proofErr w:type="spellStart"/>
      <w:r>
        <w:rPr>
          <w:rFonts w:ascii="Times New Roman" w:eastAsia="Times New Roman" w:hAnsi="Times New Roman" w:cs="Times New Roman"/>
          <w:sz w:val="24"/>
          <w:szCs w:val="24"/>
          <w:highlight w:val="white"/>
        </w:rPr>
        <w:t>Baldocchi</w:t>
      </w:r>
      <w:proofErr w:type="spellEnd"/>
      <w:r>
        <w:rPr>
          <w:rFonts w:ascii="Times New Roman" w:eastAsia="Times New Roman" w:hAnsi="Times New Roman" w:cs="Times New Roman"/>
          <w:sz w:val="24"/>
          <w:szCs w:val="24"/>
          <w:highlight w:val="white"/>
        </w:rPr>
        <w:t xml:space="preserve"> D.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US-Ton </w:t>
      </w:r>
      <w:proofErr w:type="spellStart"/>
      <w:r>
        <w:rPr>
          <w:rFonts w:ascii="Times New Roman" w:eastAsia="Times New Roman" w:hAnsi="Times New Roman" w:cs="Times New Roman"/>
          <w:sz w:val="24"/>
          <w:szCs w:val="24"/>
          <w:highlight w:val="white"/>
        </w:rPr>
        <w:t>Tonzi</w:t>
      </w:r>
      <w:proofErr w:type="spellEnd"/>
      <w:r>
        <w:rPr>
          <w:rFonts w:ascii="Times New Roman" w:eastAsia="Times New Roman" w:hAnsi="Times New Roman" w:cs="Times New Roman"/>
          <w:sz w:val="24"/>
          <w:szCs w:val="24"/>
          <w:highlight w:val="white"/>
        </w:rPr>
        <w:t xml:space="preserve"> Ranch, Ver. </w:t>
      </w:r>
    </w:p>
    <w:p w14:paraId="000000B3"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12-5,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AMP, (Dataset). 2020. https://doi.org/10.17190/AMF/1245971</w:t>
      </w:r>
    </w:p>
    <w:p w14:paraId="000000B4" w14:textId="77777777" w:rsidR="00B40456" w:rsidRDefault="00B40456">
      <w:pPr>
        <w:spacing w:line="480" w:lineRule="auto"/>
        <w:rPr>
          <w:rFonts w:ascii="Times New Roman" w:eastAsia="Times New Roman" w:hAnsi="Times New Roman" w:cs="Times New Roman"/>
          <w:sz w:val="24"/>
          <w:szCs w:val="24"/>
        </w:rPr>
      </w:pPr>
    </w:p>
    <w:p w14:paraId="000000B5"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SJ, </w:t>
      </w:r>
      <w:proofErr w:type="spellStart"/>
      <w:r>
        <w:rPr>
          <w:rFonts w:ascii="Times New Roman" w:eastAsia="Times New Roman" w:hAnsi="Times New Roman" w:cs="Times New Roman"/>
          <w:sz w:val="24"/>
          <w:szCs w:val="24"/>
        </w:rPr>
        <w:t>Guralnick</w:t>
      </w:r>
      <w:proofErr w:type="spellEnd"/>
      <w:r>
        <w:rPr>
          <w:rFonts w:ascii="Times New Roman" w:eastAsia="Times New Roman" w:hAnsi="Times New Roman" w:cs="Times New Roman"/>
          <w:sz w:val="24"/>
          <w:szCs w:val="24"/>
        </w:rPr>
        <w:t xml:space="preserve"> RP, Tingley MW, </w:t>
      </w:r>
      <w:proofErr w:type="spellStart"/>
      <w:r>
        <w:rPr>
          <w:rFonts w:ascii="Times New Roman" w:eastAsia="Times New Roman" w:hAnsi="Times New Roman" w:cs="Times New Roman"/>
          <w:sz w:val="24"/>
          <w:szCs w:val="24"/>
        </w:rPr>
        <w:t>Otegui</w:t>
      </w:r>
      <w:proofErr w:type="spellEnd"/>
      <w:r>
        <w:rPr>
          <w:rFonts w:ascii="Times New Roman" w:eastAsia="Times New Roman" w:hAnsi="Times New Roman" w:cs="Times New Roman"/>
          <w:sz w:val="24"/>
          <w:szCs w:val="24"/>
        </w:rPr>
        <w:t xml:space="preserve"> J, Withey JC, Elmendorf SC, </w:t>
      </w:r>
    </w:p>
    <w:p w14:paraId="000000B6"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ME, </w:t>
      </w:r>
      <w:proofErr w:type="spellStart"/>
      <w:r>
        <w:rPr>
          <w:rFonts w:ascii="Times New Roman" w:eastAsia="Times New Roman" w:hAnsi="Times New Roman" w:cs="Times New Roman"/>
          <w:sz w:val="24"/>
          <w:szCs w:val="24"/>
        </w:rPr>
        <w:t>Leyk</w:t>
      </w:r>
      <w:proofErr w:type="spellEnd"/>
      <w:r>
        <w:rPr>
          <w:rFonts w:ascii="Times New Roman" w:eastAsia="Times New Roman" w:hAnsi="Times New Roman" w:cs="Times New Roman"/>
          <w:sz w:val="24"/>
          <w:szCs w:val="24"/>
        </w:rPr>
        <w:t xml:space="preserve"> S, Pearse IS, and Schneider DC. Increasing phenological asynchrony between spring green-up and arrival of migratory birds.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2017;7.</w:t>
      </w:r>
    </w:p>
    <w:p w14:paraId="000000B7" w14:textId="77777777" w:rsidR="00B40456" w:rsidRDefault="00B40456">
      <w:pPr>
        <w:spacing w:line="480" w:lineRule="auto"/>
        <w:ind w:left="720"/>
        <w:rPr>
          <w:rFonts w:ascii="Times New Roman" w:eastAsia="Times New Roman" w:hAnsi="Times New Roman" w:cs="Times New Roman"/>
          <w:sz w:val="24"/>
          <w:szCs w:val="24"/>
        </w:rPr>
      </w:pPr>
    </w:p>
    <w:p w14:paraId="000000B8" w14:textId="77777777" w:rsidR="00B40456" w:rsidRDefault="009668C9">
      <w:pPr>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MeyersT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US-</w:t>
      </w:r>
      <w:proofErr w:type="spellStart"/>
      <w:r>
        <w:rPr>
          <w:rFonts w:ascii="Times New Roman" w:eastAsia="Times New Roman" w:hAnsi="Times New Roman" w:cs="Times New Roman"/>
          <w:sz w:val="24"/>
          <w:szCs w:val="24"/>
          <w:highlight w:val="white"/>
        </w:rPr>
        <w:t>ChR</w:t>
      </w:r>
      <w:proofErr w:type="spellEnd"/>
      <w:r>
        <w:rPr>
          <w:rFonts w:ascii="Times New Roman" w:eastAsia="Times New Roman" w:hAnsi="Times New Roman" w:cs="Times New Roman"/>
          <w:sz w:val="24"/>
          <w:szCs w:val="24"/>
          <w:highlight w:val="white"/>
        </w:rPr>
        <w:t xml:space="preserve"> Chestnut Ridge, Ver. 2-1,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AMP, (Dataset). 2016. </w:t>
      </w:r>
    </w:p>
    <w:p w14:paraId="000000B9"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https://doi.org/10.17190/AMF/1246044</w:t>
      </w:r>
    </w:p>
    <w:p w14:paraId="000000BA" w14:textId="77777777" w:rsidR="00B40456" w:rsidRDefault="00B40456">
      <w:pPr>
        <w:spacing w:line="480" w:lineRule="auto"/>
        <w:rPr>
          <w:rFonts w:ascii="Times New Roman" w:eastAsia="Times New Roman" w:hAnsi="Times New Roman" w:cs="Times New Roman"/>
          <w:sz w:val="24"/>
          <w:szCs w:val="24"/>
        </w:rPr>
      </w:pPr>
    </w:p>
    <w:p w14:paraId="000000BB" w14:textId="77777777" w:rsidR="00B40456" w:rsidRDefault="009668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Novick K, Phillips R.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US-MMS Morgan Monroe State Forest, Ver. 18-5, </w:t>
      </w:r>
    </w:p>
    <w:p w14:paraId="000000BC" w14:textId="77777777" w:rsidR="00B40456" w:rsidRDefault="009668C9">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AMP, (Dataset). 2020. https://doi.org/10.17190/AMF/1246080</w:t>
      </w:r>
    </w:p>
    <w:p w14:paraId="000000BD" w14:textId="77777777" w:rsidR="00B40456" w:rsidRDefault="00B40456">
      <w:pPr>
        <w:spacing w:line="480" w:lineRule="auto"/>
        <w:rPr>
          <w:rFonts w:ascii="Times New Roman" w:eastAsia="Times New Roman" w:hAnsi="Times New Roman" w:cs="Times New Roman"/>
          <w:sz w:val="24"/>
          <w:szCs w:val="24"/>
        </w:rPr>
      </w:pPr>
    </w:p>
    <w:p w14:paraId="000000BE" w14:textId="77777777" w:rsidR="00B40456" w:rsidRDefault="009668C9">
      <w:pPr>
        <w:shd w:val="clear" w:color="auto" w:fill="FFFFFF"/>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Ouimette</w:t>
      </w:r>
      <w:proofErr w:type="spellEnd"/>
      <w:r>
        <w:rPr>
          <w:rFonts w:ascii="Times New Roman" w:eastAsia="Times New Roman" w:hAnsi="Times New Roman" w:cs="Times New Roman"/>
          <w:sz w:val="24"/>
          <w:szCs w:val="24"/>
        </w:rPr>
        <w:t xml:space="preserve"> AP, </w:t>
      </w:r>
      <w:proofErr w:type="spellStart"/>
      <w:r>
        <w:rPr>
          <w:rFonts w:ascii="Times New Roman" w:eastAsia="Times New Roman" w:hAnsi="Times New Roman" w:cs="Times New Roman"/>
          <w:sz w:val="24"/>
          <w:szCs w:val="24"/>
        </w:rPr>
        <w:t>Ollinger</w:t>
      </w:r>
      <w:proofErr w:type="spellEnd"/>
      <w:r>
        <w:rPr>
          <w:rFonts w:ascii="Times New Roman" w:eastAsia="Times New Roman" w:hAnsi="Times New Roman" w:cs="Times New Roman"/>
          <w:sz w:val="24"/>
          <w:szCs w:val="24"/>
        </w:rPr>
        <w:t xml:space="preserve"> SV., Richardson AD, Hollinger DY, Keenan TF, </w:t>
      </w:r>
      <w:proofErr w:type="spellStart"/>
      <w:r>
        <w:rPr>
          <w:rFonts w:ascii="Times New Roman" w:eastAsia="Times New Roman" w:hAnsi="Times New Roman" w:cs="Times New Roman"/>
          <w:sz w:val="24"/>
          <w:szCs w:val="24"/>
        </w:rPr>
        <w:t>Lepine</w:t>
      </w:r>
      <w:proofErr w:type="spellEnd"/>
      <w:r>
        <w:rPr>
          <w:rFonts w:ascii="Times New Roman" w:eastAsia="Times New Roman" w:hAnsi="Times New Roman" w:cs="Times New Roman"/>
          <w:sz w:val="24"/>
          <w:szCs w:val="24"/>
        </w:rPr>
        <w:t xml:space="preserve"> LC, </w:t>
      </w:r>
    </w:p>
    <w:p w14:paraId="000000BF" w14:textId="77777777" w:rsidR="00B40456" w:rsidRDefault="009668C9">
      <w:pPr>
        <w:shd w:val="clear" w:color="auto" w:fill="FFFFFF"/>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Vadeboncoeur MA. Carbon Fluxes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Interannual Drivers In A Temperate Forest Ecosystem Assessed Through Comparison Of Top-Down And Bottom-Up Approaches, </w:t>
      </w:r>
      <w:r>
        <w:rPr>
          <w:rFonts w:ascii="Times New Roman" w:eastAsia="Times New Roman" w:hAnsi="Times New Roman" w:cs="Times New Roman"/>
          <w:i/>
          <w:sz w:val="24"/>
          <w:szCs w:val="24"/>
        </w:rPr>
        <w:t>Agricultural and Forest Meteorology</w:t>
      </w:r>
      <w:r>
        <w:rPr>
          <w:rFonts w:ascii="Times New Roman" w:eastAsia="Times New Roman" w:hAnsi="Times New Roman" w:cs="Times New Roman"/>
          <w:sz w:val="24"/>
          <w:szCs w:val="24"/>
        </w:rPr>
        <w:t>. 2018; 256-257, 420-430.</w:t>
      </w:r>
    </w:p>
    <w:p w14:paraId="000000C0" w14:textId="77777777" w:rsidR="00B40456" w:rsidRDefault="00B40456">
      <w:pPr>
        <w:spacing w:line="480" w:lineRule="auto"/>
        <w:rPr>
          <w:rFonts w:ascii="Times New Roman" w:eastAsia="Times New Roman" w:hAnsi="Times New Roman" w:cs="Times New Roman"/>
          <w:sz w:val="24"/>
          <w:szCs w:val="24"/>
        </w:rPr>
      </w:pPr>
    </w:p>
    <w:p w14:paraId="000000C1"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Piao S, </w:t>
      </w:r>
      <w:proofErr w:type="spellStart"/>
      <w:r>
        <w:rPr>
          <w:rFonts w:ascii="Times New Roman" w:eastAsia="Times New Roman" w:hAnsi="Times New Roman" w:cs="Times New Roman"/>
          <w:sz w:val="24"/>
          <w:szCs w:val="24"/>
        </w:rPr>
        <w:t>Ciais</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Friedlingstein</w:t>
      </w:r>
      <w:proofErr w:type="spellEnd"/>
      <w:r>
        <w:rPr>
          <w:rFonts w:ascii="Times New Roman" w:eastAsia="Times New Roman" w:hAnsi="Times New Roman" w:cs="Times New Roman"/>
          <w:sz w:val="24"/>
          <w:szCs w:val="24"/>
        </w:rPr>
        <w:t xml:space="preserve"> P et al. Net carbon dioxide losses of northern ecosystems </w:t>
      </w:r>
    </w:p>
    <w:p w14:paraId="000000C2"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autumn warming. </w:t>
      </w:r>
      <w:r>
        <w:rPr>
          <w:rFonts w:ascii="Times New Roman" w:eastAsia="Times New Roman" w:hAnsi="Times New Roman" w:cs="Times New Roman"/>
          <w:i/>
          <w:sz w:val="24"/>
          <w:szCs w:val="24"/>
        </w:rPr>
        <w:t xml:space="preserve">Nature. </w:t>
      </w:r>
      <w:r>
        <w:rPr>
          <w:rFonts w:ascii="Times New Roman" w:eastAsia="Times New Roman" w:hAnsi="Times New Roman" w:cs="Times New Roman"/>
          <w:sz w:val="24"/>
          <w:szCs w:val="24"/>
        </w:rPr>
        <w:t>2008;451: 49–52 https://doi.org/10.1038/nature06444</w:t>
      </w:r>
    </w:p>
    <w:p w14:paraId="000000C3" w14:textId="77777777" w:rsidR="00B40456" w:rsidRDefault="00B40456">
      <w:pPr>
        <w:spacing w:line="480" w:lineRule="auto"/>
        <w:rPr>
          <w:rFonts w:ascii="Times New Roman" w:eastAsia="Times New Roman" w:hAnsi="Times New Roman" w:cs="Times New Roman"/>
          <w:sz w:val="24"/>
          <w:szCs w:val="24"/>
        </w:rPr>
      </w:pPr>
    </w:p>
    <w:p w14:paraId="000000C4" w14:textId="77777777" w:rsidR="00B40456" w:rsidRDefault="00141EB5">
      <w:pPr>
        <w:spacing w:line="480" w:lineRule="auto"/>
      </w:pPr>
      <w:hyperlink r:id="rId34">
        <w:r w:rsidR="009668C9">
          <w:rPr>
            <w:rFonts w:ascii="Times New Roman" w:eastAsia="Times New Roman" w:hAnsi="Times New Roman" w:cs="Times New Roman"/>
            <w:sz w:val="24"/>
            <w:szCs w:val="24"/>
          </w:rPr>
          <w:t xml:space="preserve">Richardson AD, </w:t>
        </w:r>
        <w:proofErr w:type="spellStart"/>
        <w:r w:rsidR="009668C9">
          <w:rPr>
            <w:rFonts w:ascii="Times New Roman" w:eastAsia="Times New Roman" w:hAnsi="Times New Roman" w:cs="Times New Roman"/>
            <w:sz w:val="24"/>
            <w:szCs w:val="24"/>
          </w:rPr>
          <w:t>Hufkens</w:t>
        </w:r>
        <w:proofErr w:type="spellEnd"/>
        <w:r w:rsidR="009668C9">
          <w:rPr>
            <w:rFonts w:ascii="Times New Roman" w:eastAsia="Times New Roman" w:hAnsi="Times New Roman" w:cs="Times New Roman"/>
            <w:sz w:val="24"/>
            <w:szCs w:val="24"/>
          </w:rPr>
          <w:t xml:space="preserve"> K, Milliman T, </w:t>
        </w:r>
        <w:proofErr w:type="spellStart"/>
        <w:r w:rsidR="009668C9">
          <w:rPr>
            <w:rFonts w:ascii="Times New Roman" w:eastAsia="Times New Roman" w:hAnsi="Times New Roman" w:cs="Times New Roman"/>
            <w:sz w:val="24"/>
            <w:szCs w:val="24"/>
          </w:rPr>
          <w:t>Aubrecht</w:t>
        </w:r>
        <w:proofErr w:type="spellEnd"/>
        <w:r w:rsidR="009668C9">
          <w:rPr>
            <w:rFonts w:ascii="Times New Roman" w:eastAsia="Times New Roman" w:hAnsi="Times New Roman" w:cs="Times New Roman"/>
            <w:sz w:val="24"/>
            <w:szCs w:val="24"/>
          </w:rPr>
          <w:t xml:space="preserve"> DM, Chen M, Gray JM, Johnston</w:t>
        </w:r>
      </w:hyperlink>
      <w:r w:rsidR="009668C9">
        <w:t xml:space="preserve"> </w:t>
      </w:r>
    </w:p>
    <w:p w14:paraId="000000C5" w14:textId="77777777" w:rsidR="00B40456" w:rsidRDefault="00141EB5">
      <w:pPr>
        <w:spacing w:line="480" w:lineRule="auto"/>
        <w:ind w:left="720"/>
        <w:rPr>
          <w:rFonts w:ascii="Times New Roman" w:eastAsia="Times New Roman" w:hAnsi="Times New Roman" w:cs="Times New Roman"/>
          <w:sz w:val="24"/>
          <w:szCs w:val="24"/>
        </w:rPr>
      </w:pPr>
      <w:hyperlink r:id="rId35">
        <w:r w:rsidR="009668C9">
          <w:rPr>
            <w:rFonts w:ascii="Times New Roman" w:eastAsia="Times New Roman" w:hAnsi="Times New Roman" w:cs="Times New Roman"/>
            <w:sz w:val="24"/>
            <w:szCs w:val="24"/>
          </w:rPr>
          <w:t xml:space="preserve">MR, Keenan TF, Klosterman ST, </w:t>
        </w:r>
        <w:proofErr w:type="spellStart"/>
        <w:r w:rsidR="009668C9">
          <w:rPr>
            <w:rFonts w:ascii="Times New Roman" w:eastAsia="Times New Roman" w:hAnsi="Times New Roman" w:cs="Times New Roman"/>
            <w:sz w:val="24"/>
            <w:szCs w:val="24"/>
          </w:rPr>
          <w:t>Kosmala</w:t>
        </w:r>
        <w:proofErr w:type="spellEnd"/>
        <w:r w:rsidR="009668C9">
          <w:rPr>
            <w:rFonts w:ascii="Times New Roman" w:eastAsia="Times New Roman" w:hAnsi="Times New Roman" w:cs="Times New Roman"/>
            <w:sz w:val="24"/>
            <w:szCs w:val="24"/>
          </w:rPr>
          <w:t xml:space="preserve"> M, </w:t>
        </w:r>
        <w:proofErr w:type="spellStart"/>
        <w:r w:rsidR="009668C9">
          <w:rPr>
            <w:rFonts w:ascii="Times New Roman" w:eastAsia="Times New Roman" w:hAnsi="Times New Roman" w:cs="Times New Roman"/>
            <w:sz w:val="24"/>
            <w:szCs w:val="24"/>
          </w:rPr>
          <w:t>Melaas</w:t>
        </w:r>
        <w:proofErr w:type="spellEnd"/>
        <w:r w:rsidR="009668C9">
          <w:rPr>
            <w:rFonts w:ascii="Times New Roman" w:eastAsia="Times New Roman" w:hAnsi="Times New Roman" w:cs="Times New Roman"/>
            <w:sz w:val="24"/>
            <w:szCs w:val="24"/>
          </w:rPr>
          <w:t xml:space="preserve"> EK, </w:t>
        </w:r>
        <w:proofErr w:type="spellStart"/>
        <w:r w:rsidR="009668C9">
          <w:rPr>
            <w:rFonts w:ascii="Times New Roman" w:eastAsia="Times New Roman" w:hAnsi="Times New Roman" w:cs="Times New Roman"/>
            <w:sz w:val="24"/>
            <w:szCs w:val="24"/>
          </w:rPr>
          <w:t>Friedl</w:t>
        </w:r>
        <w:proofErr w:type="spellEnd"/>
        <w:r w:rsidR="009668C9">
          <w:rPr>
            <w:rFonts w:ascii="Times New Roman" w:eastAsia="Times New Roman" w:hAnsi="Times New Roman" w:cs="Times New Roman"/>
            <w:sz w:val="24"/>
            <w:szCs w:val="24"/>
          </w:rPr>
          <w:t xml:space="preserve"> MA, </w:t>
        </w:r>
        <w:proofErr w:type="spellStart"/>
        <w:r w:rsidR="009668C9">
          <w:rPr>
            <w:rFonts w:ascii="Times New Roman" w:eastAsia="Times New Roman" w:hAnsi="Times New Roman" w:cs="Times New Roman"/>
            <w:sz w:val="24"/>
            <w:szCs w:val="24"/>
          </w:rPr>
          <w:t>Frolking</w:t>
        </w:r>
        <w:proofErr w:type="spellEnd"/>
        <w:r w:rsidR="009668C9">
          <w:rPr>
            <w:rFonts w:ascii="Times New Roman" w:eastAsia="Times New Roman" w:hAnsi="Times New Roman" w:cs="Times New Roman"/>
            <w:sz w:val="24"/>
            <w:szCs w:val="24"/>
          </w:rPr>
          <w:t xml:space="preserve"> S. Tracking vegetation phenology across diverse North American biomes using </w:t>
        </w:r>
        <w:proofErr w:type="spellStart"/>
        <w:r w:rsidR="009668C9">
          <w:rPr>
            <w:rFonts w:ascii="Times New Roman" w:eastAsia="Times New Roman" w:hAnsi="Times New Roman" w:cs="Times New Roman"/>
            <w:sz w:val="24"/>
            <w:szCs w:val="24"/>
          </w:rPr>
          <w:t>PhenoCam</w:t>
        </w:r>
        <w:proofErr w:type="spellEnd"/>
        <w:r w:rsidR="009668C9">
          <w:rPr>
            <w:rFonts w:ascii="Times New Roman" w:eastAsia="Times New Roman" w:hAnsi="Times New Roman" w:cs="Times New Roman"/>
            <w:sz w:val="24"/>
            <w:szCs w:val="24"/>
          </w:rPr>
          <w:t xml:space="preserve"> imagery. </w:t>
        </w:r>
      </w:hyperlink>
      <w:hyperlink r:id="rId36">
        <w:r w:rsidR="009668C9">
          <w:rPr>
            <w:rFonts w:ascii="Times New Roman" w:eastAsia="Times New Roman" w:hAnsi="Times New Roman" w:cs="Times New Roman"/>
            <w:i/>
            <w:sz w:val="24"/>
            <w:szCs w:val="24"/>
          </w:rPr>
          <w:t>Scientific Data</w:t>
        </w:r>
      </w:hyperlink>
      <w:r w:rsidR="009668C9">
        <w:rPr>
          <w:rFonts w:ascii="Times New Roman" w:eastAsia="Times New Roman" w:hAnsi="Times New Roman" w:cs="Times New Roman"/>
          <w:sz w:val="24"/>
          <w:szCs w:val="24"/>
        </w:rPr>
        <w:t xml:space="preserve">. </w:t>
      </w:r>
      <w:hyperlink r:id="rId37">
        <w:r w:rsidR="009668C9">
          <w:rPr>
            <w:rFonts w:ascii="Times New Roman" w:eastAsia="Times New Roman" w:hAnsi="Times New Roman" w:cs="Times New Roman"/>
            <w:sz w:val="24"/>
            <w:szCs w:val="24"/>
          </w:rPr>
          <w:t>2018</w:t>
        </w:r>
      </w:hyperlink>
      <w:r w:rsidR="009668C9">
        <w:rPr>
          <w:rFonts w:ascii="Times New Roman" w:eastAsia="Times New Roman" w:hAnsi="Times New Roman" w:cs="Times New Roman"/>
          <w:sz w:val="24"/>
          <w:szCs w:val="24"/>
        </w:rPr>
        <w:t>;5.</w:t>
      </w:r>
    </w:p>
    <w:p w14:paraId="000000C6" w14:textId="77777777" w:rsidR="00B40456" w:rsidRDefault="00B40456">
      <w:pPr>
        <w:spacing w:line="480" w:lineRule="auto"/>
        <w:rPr>
          <w:rFonts w:ascii="Times New Roman" w:eastAsia="Times New Roman" w:hAnsi="Times New Roman" w:cs="Times New Roman"/>
          <w:sz w:val="24"/>
          <w:szCs w:val="24"/>
        </w:rPr>
      </w:pPr>
    </w:p>
    <w:p w14:paraId="000000C7" w14:textId="77777777" w:rsidR="00B40456" w:rsidRDefault="009668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Richardson A, Hollinger D.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US-Bar Bartlett Experimental Forest, Ver. </w:t>
      </w:r>
    </w:p>
    <w:p w14:paraId="000000C8"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5-5,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AMP, (Dataset). 2019. https://doi.org/10.17190/AMF/1246030</w:t>
      </w:r>
    </w:p>
    <w:p w14:paraId="000000C9" w14:textId="77777777" w:rsidR="00B40456" w:rsidRDefault="00B40456">
      <w:pPr>
        <w:spacing w:line="480" w:lineRule="auto"/>
        <w:rPr>
          <w:rFonts w:ascii="Times New Roman" w:eastAsia="Times New Roman" w:hAnsi="Times New Roman" w:cs="Times New Roman"/>
          <w:sz w:val="24"/>
          <w:szCs w:val="24"/>
        </w:rPr>
      </w:pPr>
    </w:p>
    <w:p w14:paraId="000000CA"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Samish RM. Dormancy in woody plants.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Rev. Plant Physiol. Plant Mol. Biol.</w:t>
      </w:r>
      <w:r>
        <w:rPr>
          <w:rFonts w:ascii="Times New Roman" w:eastAsia="Times New Roman" w:hAnsi="Times New Roman" w:cs="Times New Roman"/>
          <w:sz w:val="24"/>
          <w:szCs w:val="24"/>
        </w:rPr>
        <w:t xml:space="preserve"> 1954;5: 183-204.</w:t>
      </w:r>
    </w:p>
    <w:p w14:paraId="000000CB" w14:textId="77777777" w:rsidR="00B40456" w:rsidRDefault="00B40456">
      <w:pPr>
        <w:spacing w:line="480" w:lineRule="auto"/>
        <w:rPr>
          <w:rFonts w:ascii="Times New Roman" w:eastAsia="Times New Roman" w:hAnsi="Times New Roman" w:cs="Times New Roman"/>
          <w:sz w:val="24"/>
          <w:szCs w:val="24"/>
        </w:rPr>
      </w:pPr>
    </w:p>
    <w:p w14:paraId="000000CC"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Santanello</w:t>
      </w:r>
      <w:proofErr w:type="spellEnd"/>
      <w:r>
        <w:rPr>
          <w:rFonts w:ascii="Times New Roman" w:eastAsia="Times New Roman" w:hAnsi="Times New Roman" w:cs="Times New Roman"/>
          <w:sz w:val="24"/>
          <w:szCs w:val="24"/>
        </w:rPr>
        <w:t xml:space="preserve"> JA, </w:t>
      </w:r>
      <w:proofErr w:type="spellStart"/>
      <w:r>
        <w:rPr>
          <w:rFonts w:ascii="Times New Roman" w:eastAsia="Times New Roman" w:hAnsi="Times New Roman" w:cs="Times New Roman"/>
          <w:sz w:val="24"/>
          <w:szCs w:val="24"/>
        </w:rPr>
        <w:t>Friedl</w:t>
      </w:r>
      <w:proofErr w:type="spellEnd"/>
      <w:r>
        <w:rPr>
          <w:rFonts w:ascii="Times New Roman" w:eastAsia="Times New Roman" w:hAnsi="Times New Roman" w:cs="Times New Roman"/>
          <w:sz w:val="24"/>
          <w:szCs w:val="24"/>
        </w:rPr>
        <w:t xml:space="preserve"> MA, </w:t>
      </w:r>
      <w:proofErr w:type="spellStart"/>
      <w:r>
        <w:rPr>
          <w:rFonts w:ascii="Times New Roman" w:eastAsia="Times New Roman" w:hAnsi="Times New Roman" w:cs="Times New Roman"/>
          <w:sz w:val="24"/>
          <w:szCs w:val="24"/>
        </w:rPr>
        <w:t>Ek</w:t>
      </w:r>
      <w:proofErr w:type="spellEnd"/>
      <w:r>
        <w:rPr>
          <w:rFonts w:ascii="Times New Roman" w:eastAsia="Times New Roman" w:hAnsi="Times New Roman" w:cs="Times New Roman"/>
          <w:sz w:val="24"/>
          <w:szCs w:val="24"/>
        </w:rPr>
        <w:t xml:space="preserve"> MB. Convective planetary boundary layer interactions </w:t>
      </w:r>
    </w:p>
    <w:p w14:paraId="000000CD"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land surface at diurnal time scales: diagnostics and feedbacks.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Hydrometeorol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2007;8: 1082–1097.</w:t>
      </w:r>
    </w:p>
    <w:p w14:paraId="000000CE" w14:textId="77777777" w:rsidR="00B40456" w:rsidRDefault="00B40456">
      <w:pPr>
        <w:spacing w:line="480" w:lineRule="auto"/>
        <w:rPr>
          <w:rFonts w:ascii="Times New Roman" w:eastAsia="Times New Roman" w:hAnsi="Times New Roman" w:cs="Times New Roman"/>
          <w:sz w:val="24"/>
          <w:szCs w:val="24"/>
        </w:rPr>
      </w:pPr>
    </w:p>
    <w:p w14:paraId="000000CF" w14:textId="77777777" w:rsidR="00B40456" w:rsidRDefault="009668C9">
      <w:pPr>
        <w:spacing w:after="240" w:line="480" w:lineRule="auto"/>
        <w:ind w:right="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Saure</w:t>
      </w:r>
      <w:proofErr w:type="spellEnd"/>
      <w:r>
        <w:rPr>
          <w:rFonts w:ascii="Times New Roman" w:eastAsia="Times New Roman" w:hAnsi="Times New Roman" w:cs="Times New Roman"/>
          <w:sz w:val="24"/>
          <w:szCs w:val="24"/>
        </w:rPr>
        <w:t xml:space="preserve"> MC. Dormancy release in deciduous fruit trees. </w:t>
      </w:r>
      <w:proofErr w:type="spellStart"/>
      <w:r>
        <w:rPr>
          <w:rFonts w:ascii="Times New Roman" w:eastAsia="Times New Roman" w:hAnsi="Times New Roman" w:cs="Times New Roman"/>
          <w:i/>
          <w:sz w:val="24"/>
          <w:szCs w:val="24"/>
        </w:rPr>
        <w:t>Hortic</w:t>
      </w:r>
      <w:proofErr w:type="spellEnd"/>
      <w:r>
        <w:rPr>
          <w:rFonts w:ascii="Times New Roman" w:eastAsia="Times New Roman" w:hAnsi="Times New Roman" w:cs="Times New Roman"/>
          <w:i/>
          <w:sz w:val="24"/>
          <w:szCs w:val="24"/>
        </w:rPr>
        <w:t>. Rev.</w:t>
      </w:r>
      <w:r>
        <w:rPr>
          <w:rFonts w:ascii="Times New Roman" w:eastAsia="Times New Roman" w:hAnsi="Times New Roman" w:cs="Times New Roman"/>
          <w:sz w:val="24"/>
          <w:szCs w:val="24"/>
        </w:rPr>
        <w:t xml:space="preserve"> 1985;7: 239-300.</w:t>
      </w:r>
    </w:p>
    <w:p w14:paraId="000000D0" w14:textId="77777777" w:rsidR="00B40456" w:rsidRDefault="009668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Seyednasrollah</w:t>
      </w:r>
      <w:proofErr w:type="spellEnd"/>
      <w:r>
        <w:rPr>
          <w:rFonts w:ascii="Times New Roman" w:eastAsia="Times New Roman" w:hAnsi="Times New Roman" w:cs="Times New Roman"/>
          <w:sz w:val="24"/>
          <w:szCs w:val="24"/>
        </w:rPr>
        <w:t xml:space="preserve"> B, et al. </w:t>
      </w:r>
      <w:proofErr w:type="spellStart"/>
      <w:r>
        <w:rPr>
          <w:rFonts w:ascii="Times New Roman" w:eastAsia="Times New Roman" w:hAnsi="Times New Roman" w:cs="Times New Roman"/>
          <w:sz w:val="24"/>
          <w:szCs w:val="24"/>
        </w:rPr>
        <w:t>PhenoCam</w:t>
      </w:r>
      <w:proofErr w:type="spellEnd"/>
      <w:r>
        <w:rPr>
          <w:rFonts w:ascii="Times New Roman" w:eastAsia="Times New Roman" w:hAnsi="Times New Roman" w:cs="Times New Roman"/>
          <w:sz w:val="24"/>
          <w:szCs w:val="24"/>
        </w:rPr>
        <w:t xml:space="preserve"> Dataset v2.0: Vegetation Phenology from Digital </w:t>
      </w:r>
    </w:p>
    <w:p w14:paraId="000000D1"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Camera Imagery, 2000-2018. ORNL DAAC, Oak Ridge, Tennessee, USA. 2019. https://doi.org/10.3334/ORNLDAAC/1674</w:t>
      </w:r>
    </w:p>
    <w:p w14:paraId="000000D2" w14:textId="77777777" w:rsidR="00B40456" w:rsidRDefault="00B40456">
      <w:pPr>
        <w:spacing w:line="480" w:lineRule="auto"/>
        <w:rPr>
          <w:rFonts w:ascii="Times New Roman" w:eastAsia="Times New Roman" w:hAnsi="Times New Roman" w:cs="Times New Roman"/>
          <w:sz w:val="24"/>
          <w:szCs w:val="24"/>
        </w:rPr>
      </w:pPr>
    </w:p>
    <w:p w14:paraId="000000D3"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Tanja S, Berninger F, </w:t>
      </w:r>
      <w:proofErr w:type="spellStart"/>
      <w:r>
        <w:rPr>
          <w:rFonts w:ascii="Times New Roman" w:eastAsia="Times New Roman" w:hAnsi="Times New Roman" w:cs="Times New Roman"/>
          <w:sz w:val="24"/>
          <w:szCs w:val="24"/>
        </w:rPr>
        <w:t>Vesala</w:t>
      </w:r>
      <w:proofErr w:type="spellEnd"/>
      <w:r>
        <w:rPr>
          <w:rFonts w:ascii="Times New Roman" w:eastAsia="Times New Roman" w:hAnsi="Times New Roman" w:cs="Times New Roman"/>
          <w:sz w:val="24"/>
          <w:szCs w:val="24"/>
        </w:rPr>
        <w:t xml:space="preserve"> T et al. Air temperature triggers the recovery of evergreen </w:t>
      </w:r>
    </w:p>
    <w:p w14:paraId="000000D4"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boreal forest photosynthesis in spring. Global Change Biol. 2003;9: 1410-1426</w:t>
      </w:r>
    </w:p>
    <w:p w14:paraId="000000D5" w14:textId="77777777" w:rsidR="00B40456" w:rsidRDefault="00B40456">
      <w:pPr>
        <w:spacing w:line="480" w:lineRule="auto"/>
        <w:rPr>
          <w:rFonts w:ascii="Times New Roman" w:eastAsia="Times New Roman" w:hAnsi="Times New Roman" w:cs="Times New Roman"/>
          <w:sz w:val="24"/>
          <w:szCs w:val="24"/>
        </w:rPr>
      </w:pPr>
    </w:p>
    <w:p w14:paraId="000000D6"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M, Running S, Thornton P. The impact of growing season length variability </w:t>
      </w:r>
    </w:p>
    <w:p w14:paraId="000000D7"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carbon assimilation and evapotranspiration over 88 years in the eastern US deciduous forest. </w:t>
      </w:r>
      <w:r>
        <w:rPr>
          <w:rFonts w:ascii="Times New Roman" w:eastAsia="Times New Roman" w:hAnsi="Times New Roman" w:cs="Times New Roman"/>
          <w:i/>
          <w:sz w:val="24"/>
          <w:szCs w:val="24"/>
        </w:rPr>
        <w:t xml:space="preserve">Int J </w:t>
      </w:r>
      <w:proofErr w:type="spellStart"/>
      <w:r>
        <w:rPr>
          <w:rFonts w:ascii="Times New Roman" w:eastAsia="Times New Roman" w:hAnsi="Times New Roman" w:cs="Times New Roman"/>
          <w:i/>
          <w:sz w:val="24"/>
          <w:szCs w:val="24"/>
        </w:rPr>
        <w:t>Biometeorol</w:t>
      </w:r>
      <w:proofErr w:type="spellEnd"/>
      <w:r>
        <w:rPr>
          <w:rFonts w:ascii="Times New Roman" w:eastAsia="Times New Roman" w:hAnsi="Times New Roman" w:cs="Times New Roman"/>
          <w:sz w:val="24"/>
          <w:szCs w:val="24"/>
        </w:rPr>
        <w:t xml:space="preserve"> 1999;42: 139–145.</w:t>
      </w:r>
    </w:p>
    <w:p w14:paraId="000000D8" w14:textId="77777777" w:rsidR="00B40456" w:rsidRDefault="00B40456">
      <w:pPr>
        <w:spacing w:line="480" w:lineRule="auto"/>
        <w:rPr>
          <w:rFonts w:ascii="Times New Roman" w:eastAsia="Times New Roman" w:hAnsi="Times New Roman" w:cs="Times New Roman"/>
          <w:sz w:val="24"/>
          <w:szCs w:val="24"/>
        </w:rPr>
      </w:pPr>
    </w:p>
    <w:p w14:paraId="000000D9" w14:textId="77777777" w:rsidR="00B40456" w:rsidRDefault="009668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Wood J, </w:t>
      </w:r>
      <w:proofErr w:type="spellStart"/>
      <w:r>
        <w:rPr>
          <w:rFonts w:ascii="Times New Roman" w:eastAsia="Times New Roman" w:hAnsi="Times New Roman" w:cs="Times New Roman"/>
          <w:sz w:val="24"/>
          <w:szCs w:val="24"/>
          <w:highlight w:val="white"/>
        </w:rPr>
        <w:t>Lianhong</w:t>
      </w:r>
      <w:proofErr w:type="spellEnd"/>
      <w:r>
        <w:rPr>
          <w:rFonts w:ascii="Times New Roman" w:eastAsia="Times New Roman" w:hAnsi="Times New Roman" w:cs="Times New Roman"/>
          <w:sz w:val="24"/>
          <w:szCs w:val="24"/>
          <w:highlight w:val="white"/>
        </w:rPr>
        <w:t xml:space="preserve"> G.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US-</w:t>
      </w:r>
      <w:proofErr w:type="spellStart"/>
      <w:r>
        <w:rPr>
          <w:rFonts w:ascii="Times New Roman" w:eastAsia="Times New Roman" w:hAnsi="Times New Roman" w:cs="Times New Roman"/>
          <w:sz w:val="24"/>
          <w:szCs w:val="24"/>
          <w:highlight w:val="white"/>
        </w:rPr>
        <w:t>MOz</w:t>
      </w:r>
      <w:proofErr w:type="spellEnd"/>
      <w:r>
        <w:rPr>
          <w:rFonts w:ascii="Times New Roman" w:eastAsia="Times New Roman" w:hAnsi="Times New Roman" w:cs="Times New Roman"/>
          <w:sz w:val="24"/>
          <w:szCs w:val="24"/>
          <w:highlight w:val="white"/>
        </w:rPr>
        <w:t xml:space="preserve"> Missouri Ozark Site, Ver. 8-5, </w:t>
      </w:r>
      <w:proofErr w:type="spellStart"/>
      <w:r>
        <w:rPr>
          <w:rFonts w:ascii="Times New Roman" w:eastAsia="Times New Roman" w:hAnsi="Times New Roman" w:cs="Times New Roman"/>
          <w:sz w:val="24"/>
          <w:szCs w:val="24"/>
          <w:highlight w:val="white"/>
        </w:rPr>
        <w:t>AmeriFlux</w:t>
      </w:r>
      <w:proofErr w:type="spellEnd"/>
      <w:r>
        <w:rPr>
          <w:rFonts w:ascii="Times New Roman" w:eastAsia="Times New Roman" w:hAnsi="Times New Roman" w:cs="Times New Roman"/>
          <w:sz w:val="24"/>
          <w:szCs w:val="24"/>
          <w:highlight w:val="white"/>
        </w:rPr>
        <w:t xml:space="preserve"> </w:t>
      </w:r>
    </w:p>
    <w:p w14:paraId="000000DA" w14:textId="77777777" w:rsidR="00B40456" w:rsidRDefault="009668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AMP, (Dataset). 2019. https://doi.org/10.17190/AMF/1246081</w:t>
      </w:r>
    </w:p>
    <w:p w14:paraId="000000DB" w14:textId="77777777" w:rsidR="00B40456" w:rsidRDefault="00B40456">
      <w:pPr>
        <w:spacing w:line="480" w:lineRule="auto"/>
        <w:rPr>
          <w:rFonts w:ascii="Times New Roman" w:eastAsia="Times New Roman" w:hAnsi="Times New Roman" w:cs="Times New Roman"/>
          <w:sz w:val="24"/>
          <w:szCs w:val="24"/>
        </w:rPr>
      </w:pPr>
    </w:p>
    <w:p w14:paraId="000000DC"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XY, </w:t>
      </w:r>
      <w:proofErr w:type="spellStart"/>
      <w:r>
        <w:rPr>
          <w:rFonts w:ascii="Times New Roman" w:eastAsia="Times New Roman" w:hAnsi="Times New Roman" w:cs="Times New Roman"/>
          <w:sz w:val="24"/>
          <w:szCs w:val="24"/>
        </w:rPr>
        <w:t>Friedl</w:t>
      </w:r>
      <w:proofErr w:type="spellEnd"/>
      <w:r>
        <w:rPr>
          <w:rFonts w:ascii="Times New Roman" w:eastAsia="Times New Roman" w:hAnsi="Times New Roman" w:cs="Times New Roman"/>
          <w:sz w:val="24"/>
          <w:szCs w:val="24"/>
        </w:rPr>
        <w:t xml:space="preserve"> MA, Schaaf CB, Strahler AH. Climate Controls on Vegetation </w:t>
      </w:r>
    </w:p>
    <w:p w14:paraId="000000DD"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Phenological Patterns in Northern Mid- and High Latitudes Inferred from Modis Data. </w:t>
      </w:r>
      <w:r>
        <w:rPr>
          <w:rFonts w:ascii="Times New Roman" w:eastAsia="Times New Roman" w:hAnsi="Times New Roman" w:cs="Times New Roman"/>
          <w:i/>
          <w:sz w:val="24"/>
          <w:szCs w:val="24"/>
        </w:rPr>
        <w:t>Glob. Chang. Biol.</w:t>
      </w:r>
      <w:r>
        <w:rPr>
          <w:rFonts w:ascii="Times New Roman" w:eastAsia="Times New Roman" w:hAnsi="Times New Roman" w:cs="Times New Roman"/>
          <w:sz w:val="24"/>
          <w:szCs w:val="24"/>
        </w:rPr>
        <w:t xml:space="preserve"> 2004;10: 1133–1145.</w:t>
      </w:r>
    </w:p>
    <w:p w14:paraId="000000DE" w14:textId="77777777" w:rsidR="00B40456" w:rsidRDefault="00B40456">
      <w:pPr>
        <w:spacing w:line="480" w:lineRule="auto"/>
        <w:rPr>
          <w:rFonts w:ascii="Times New Roman" w:eastAsia="Times New Roman" w:hAnsi="Times New Roman" w:cs="Times New Roman"/>
          <w:sz w:val="24"/>
          <w:szCs w:val="24"/>
        </w:rPr>
      </w:pPr>
    </w:p>
    <w:p w14:paraId="000000DF" w14:textId="77777777" w:rsidR="00B40456" w:rsidRDefault="009668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L, </w:t>
      </w:r>
      <w:proofErr w:type="spellStart"/>
      <w:r>
        <w:rPr>
          <w:rFonts w:ascii="Times New Roman" w:eastAsia="Times New Roman" w:hAnsi="Times New Roman" w:cs="Times New Roman"/>
          <w:sz w:val="24"/>
          <w:szCs w:val="24"/>
        </w:rPr>
        <w:t>Juenger</w:t>
      </w:r>
      <w:proofErr w:type="spellEnd"/>
      <w:r>
        <w:rPr>
          <w:rFonts w:ascii="Times New Roman" w:eastAsia="Times New Roman" w:hAnsi="Times New Roman" w:cs="Times New Roman"/>
          <w:sz w:val="24"/>
          <w:szCs w:val="24"/>
        </w:rPr>
        <w:t xml:space="preserve"> TE, Osorio JM et al. Sensitivity Analysis of the APEX Model for </w:t>
      </w:r>
    </w:p>
    <w:p w14:paraId="000000E0" w14:textId="77777777" w:rsidR="00B40456" w:rsidRDefault="009668C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Assessing Sustainability of Switchgrass Grown for Biofuel Production in Central Texas. </w:t>
      </w:r>
      <w:proofErr w:type="spellStart"/>
      <w:r>
        <w:rPr>
          <w:rFonts w:ascii="Times New Roman" w:eastAsia="Times New Roman" w:hAnsi="Times New Roman" w:cs="Times New Roman"/>
          <w:i/>
          <w:sz w:val="24"/>
          <w:szCs w:val="24"/>
        </w:rPr>
        <w:t>Bioenerg</w:t>
      </w:r>
      <w:proofErr w:type="spellEnd"/>
      <w:r>
        <w:rPr>
          <w:rFonts w:ascii="Times New Roman" w:eastAsia="Times New Roman" w:hAnsi="Times New Roman" w:cs="Times New Roman"/>
          <w:i/>
          <w:sz w:val="24"/>
          <w:szCs w:val="24"/>
        </w:rPr>
        <w:t>. Res.</w:t>
      </w:r>
      <w:r>
        <w:rPr>
          <w:rFonts w:ascii="Times New Roman" w:eastAsia="Times New Roman" w:hAnsi="Times New Roman" w:cs="Times New Roman"/>
          <w:sz w:val="24"/>
          <w:szCs w:val="24"/>
        </w:rPr>
        <w:t xml:space="preserve"> 2018;11: 69–85 https://doi.org/10.1007/s12155-017-9878-8</w:t>
      </w:r>
    </w:p>
    <w:p w14:paraId="000000E1" w14:textId="77777777" w:rsidR="00B40456" w:rsidRDefault="00B40456">
      <w:pPr>
        <w:spacing w:line="480" w:lineRule="auto"/>
        <w:rPr>
          <w:rFonts w:ascii="Times New Roman" w:eastAsia="Times New Roman" w:hAnsi="Times New Roman" w:cs="Times New Roman"/>
          <w:sz w:val="24"/>
          <w:szCs w:val="24"/>
        </w:rPr>
      </w:pPr>
    </w:p>
    <w:sectPr w:rsidR="00B40456">
      <w:type w:val="continuous"/>
      <w:pgSz w:w="12240" w:h="15840"/>
      <w:pgMar w:top="1440" w:right="1440" w:bottom="1440" w:left="1440" w:header="720" w:footer="720" w:gutter="0"/>
      <w:cols w:space="720" w:equalWidth="0">
        <w:col w:w="936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ly Klinek" w:date="2021-06-14T20:01:00Z" w:initials="">
    <w:p w14:paraId="000000E3" w14:textId="77777777" w:rsidR="00B40456" w:rsidRDefault="009668C9">
      <w:pPr>
        <w:widowControl w:val="0"/>
        <w:pBdr>
          <w:top w:val="nil"/>
          <w:left w:val="nil"/>
          <w:bottom w:val="nil"/>
          <w:right w:val="nil"/>
          <w:between w:val="nil"/>
        </w:pBdr>
        <w:spacing w:line="240" w:lineRule="auto"/>
        <w:rPr>
          <w:color w:val="000000"/>
        </w:rPr>
      </w:pPr>
      <w:r>
        <w:rPr>
          <w:color w:val="000000"/>
        </w:rPr>
        <w:t>unsure about this one's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3" w16cid:durableId="247AE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AC09C" w14:textId="77777777" w:rsidR="00A27D1A" w:rsidRDefault="00A27D1A">
      <w:pPr>
        <w:spacing w:line="240" w:lineRule="auto"/>
      </w:pPr>
      <w:r>
        <w:separator/>
      </w:r>
    </w:p>
  </w:endnote>
  <w:endnote w:type="continuationSeparator" w:id="0">
    <w:p w14:paraId="346836C7" w14:textId="77777777" w:rsidR="00A27D1A" w:rsidRDefault="00A27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2" w14:textId="49B6AC50" w:rsidR="00B40456" w:rsidRDefault="009668C9">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85E1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EFE1" w14:textId="77777777" w:rsidR="00A27D1A" w:rsidRDefault="00A27D1A">
      <w:pPr>
        <w:spacing w:line="240" w:lineRule="auto"/>
      </w:pPr>
      <w:r>
        <w:separator/>
      </w:r>
    </w:p>
  </w:footnote>
  <w:footnote w:type="continuationSeparator" w:id="0">
    <w:p w14:paraId="55853340" w14:textId="77777777" w:rsidR="00A27D1A" w:rsidRDefault="00A27D1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56"/>
    <w:rsid w:val="0000791E"/>
    <w:rsid w:val="00026E43"/>
    <w:rsid w:val="000D47E9"/>
    <w:rsid w:val="000E71DF"/>
    <w:rsid w:val="000F145E"/>
    <w:rsid w:val="00121536"/>
    <w:rsid w:val="00141EB5"/>
    <w:rsid w:val="00192523"/>
    <w:rsid w:val="001B59E3"/>
    <w:rsid w:val="002106BC"/>
    <w:rsid w:val="00285D21"/>
    <w:rsid w:val="00390237"/>
    <w:rsid w:val="003D7519"/>
    <w:rsid w:val="004013EF"/>
    <w:rsid w:val="004015E4"/>
    <w:rsid w:val="00436090"/>
    <w:rsid w:val="00485E16"/>
    <w:rsid w:val="004C41FA"/>
    <w:rsid w:val="00585518"/>
    <w:rsid w:val="0066782A"/>
    <w:rsid w:val="00682C12"/>
    <w:rsid w:val="006B20F2"/>
    <w:rsid w:val="006F1601"/>
    <w:rsid w:val="00820EED"/>
    <w:rsid w:val="00841F3F"/>
    <w:rsid w:val="009231D5"/>
    <w:rsid w:val="0094544B"/>
    <w:rsid w:val="009668C9"/>
    <w:rsid w:val="009C6A35"/>
    <w:rsid w:val="009D243D"/>
    <w:rsid w:val="00A01C2C"/>
    <w:rsid w:val="00A27D1A"/>
    <w:rsid w:val="00A576D5"/>
    <w:rsid w:val="00A67653"/>
    <w:rsid w:val="00B40456"/>
    <w:rsid w:val="00BF4A7D"/>
    <w:rsid w:val="00C14512"/>
    <w:rsid w:val="00C92BB8"/>
    <w:rsid w:val="00CD4FEE"/>
    <w:rsid w:val="00D4224E"/>
    <w:rsid w:val="00E44DC2"/>
    <w:rsid w:val="00F5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796D"/>
  <w15:docId w15:val="{3FB27E29-F1BD-D04D-9646-6EA469E1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nature.com/articles/sdata201828"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5.png"/><Relationship Id="rId33" Type="http://schemas.openxmlformats.org/officeDocument/2006/relationships/hyperlink" Target="https://onlinelibrary.wiley.com/action/doSearch?ContribAuthorStored=Ooi%2C+Ying+W"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customXml" Target="ink/ink2.xml"/><Relationship Id="rId29" Type="http://schemas.microsoft.com/office/2011/relationships/commentsExtended" Target="commentsExtended.xml"/><Relationship Id="rId1" Type="http://schemas.openxmlformats.org/officeDocument/2006/relationships/styles" Target="styles.xml"/><Relationship Id="rId6" Type="http://schemas.openxmlformats.org/officeDocument/2006/relationships/hyperlink" Target="mailto:lklinek@berkeley.edu"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onlinelibrary.wiley.com/action/doSearch?ContribAuthorStored=Chen%2C+Jing+M" TargetMode="External"/><Relationship Id="rId37" Type="http://schemas.openxmlformats.org/officeDocument/2006/relationships/hyperlink" Target="https://www.nature.com/articles/sdata201828"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customXml" Target="ink/ink3.xml"/><Relationship Id="rId28" Type="http://schemas.openxmlformats.org/officeDocument/2006/relationships/comments" Target="comments.xml"/><Relationship Id="rId36" Type="http://schemas.openxmlformats.org/officeDocument/2006/relationships/hyperlink" Target="https://www.nature.com/articles/sdata201828"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onlinelibrary.wiley.com/action/doSearch?ContribAuthorStored=Gonsamo%2C+Alemu"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microsoft.com/office/2016/09/relationships/commentsIds" Target="commentsIds.xml"/><Relationship Id="rId35" Type="http://schemas.openxmlformats.org/officeDocument/2006/relationships/hyperlink" Target="https://www.nature.com/articles/sdata201828" TargetMode="External"/><Relationship Id="rId8" Type="http://schemas.openxmlformats.org/officeDocument/2006/relationships/image" Target="media/image1.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9T07:25:33.797"/>
    </inkml:context>
    <inkml:brush xml:id="br0">
      <inkml:brushProperty name="width" value="0.2" units="cm"/>
      <inkml:brushProperty name="height" value="0.2" units="cm"/>
      <inkml:brushProperty name="color" value="#FFFFFF"/>
    </inkml:brush>
  </inkml:definitions>
  <inkml:trace contextRef="#ctx0" brushRef="#br0">110 46 24575,'35'0'0,"-3"0"0,-1 0 0,-5 0 0,-3 0 0,15 0 0,-16 0 0,12 0 0,-15 0 0,-1 0 0,-3 0 0,-3 0 0,-4 0 0,-1 0 0,-1 0 0,2 0 0,-23 0 0,10 0 0,-16 0 0,16 0 0,-2 0 0,1 0 0,-5 0 0,3 0 0,-3 0 0,0-2 0,-1 1 0,1-2 0,0 1 0,0 1 0,-3-4 0,4 4 0,-3-4 0,4 5 0,1-3 0,0 1 0,3 1 0,0-1 0,0 2 0,0 0 0,0 0 0,0 0 0,0 0 0,0-2 0,0 1 0,0-1 0,-3 2 0,2 0 0,-2 0 0,1 0 0,1 0 0,-5 0 0,3 0 0,-1 0 0,-1 0 0,4 0 0,-2 0 0,3 0 0,0 0 0,0 0 0,0 0 0,0 0 0,0 0 0,-3 0 0,0 0 0,0 0 0,-3 0 0,3 0 0,-1 0 0,1 0 0,3 0 0,0 0 0,21 0 0,-11 0 0,18 0 0,-14 0 0,2 0 0,0 0 0,0 0 0,4 0 0,0 0 0,7 0 0,-3-5 0,3 3 0,-3-3 0,-1 5 0,1 0 0,-4 0 0,-1 0 0,-3 0 0,0 0 0,-2 0 0,1 0 0,-1 0 0,-1 0 0,3 0 0,-6 0 0,6 0 0,-5 0 0,1 0 0,1 0 0,-2 0 0,2 0 0,-3 0 0,0 0 0,0 0 0,0 0 0,0 0 0,0 0 0,0 0 0,3 0 0,-3 0 0,3 0 0,-3 0 0,0 0 0,0 0 0,0 0 0,0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9T07:29:04.933"/>
    </inkml:context>
    <inkml:brush xml:id="br0">
      <inkml:brushProperty name="width" value="0.2" units="cm"/>
      <inkml:brushProperty name="height" value="0.2" units="cm"/>
      <inkml:brushProperty name="color" value="#FFFFFF"/>
    </inkml:brush>
  </inkml:definitions>
  <inkml:trace contextRef="#ctx0" brushRef="#br0">0 26 24575,'17'0'0,"-2"0"0,-6 0 0,-2 0 0,-2 0 0,0 0 0,0 0 0,0 2 0,0-2 0,0 5 0,0-5 0,0 3 0,0-3 0,0 2 0,0-2 0,0 3 0,0-3 0,0 0 0,0 2 0,0-1 0,1 1 0,-1-2 0,0 0 0,0 2 0,0-1 0,0 1 0,0-2 0,0 0 0,0 0 0,0 0 0,0 0 0,0 0 0,0 0 0,0 0 0,0 0 0,0 0 0,0 0 0,0 0 0,0 0 0,0 0 0,0 0 0,0 0 0,0 0 0,1 0 0,-1 0 0,0 0 0,0 0 0,0 0 0,0 0 0,0 0 0,0 0 0,0 0 0,0 0 0,0 0 0,0 0 0,0 0 0,0 0 0,0 0 0,0 0 0,0 0 0,0 0 0,0 0 0,0 0 0,0 0 0,0 0 0,0 0 0,1 0 0,-1 0 0,0 0 0,0 0 0,0 0 0,0 0 0,0 0 0,0 0 0,0 0 0,0 0 0,0 0 0,0 0 0,0 0 0,0 0 0,0 0 0,0 0 0,0 0 0,0 0 0,0 0 0,0 0 0,0 0 0,0 0 0,-2-7 0,-1 3 0,-2-5 0,-2 4 0,-1 0 0,-2 2 0,0-2 0,0 5 0,0-5 0,0 5 0,0-3 0,0 3 0,0 0 0,0 0 0,0 0 0,0 0 0,0 0 0,0 0 0,0 0 0,0 0 0,0 0 0,0 0 0,0 0 0,0 0 0,0 0 0,0 0 0,-1 0 0,1 0 0,0 0 0,0 0 0,0 0 0,0 0 0,0 0 0,0 0 0,0 0 0,0 3 0,0-3 0,0 2 0,0-2 0,0 0 0,0 0 0,0 0 0,0 0 0,0 0 0,0 0 0,0 0 0,0 0 0,0 0 0,0 0 0,-1 0 0,1 0 0,0 0 0,0 3 0,0-3 0,0 3 0,0-3 0,0 0 0,0 0 0,0 0 0,0 0 0,0 0 0,0 0 0,0 0 0,0 0 0,0 0 0,0 0 0,0 0 0,0 0 0,0 0 0,0 0 0,0 0 0,0 0 0,-1 0 0,1 0 0,0 0 0,0 0 0,0 0 0,0 0 0,0 0 0,0 0 0,0 0 0,0 0 0,0 0 0,0 0 0,0 0 0,0 0 0,0 0 0,0-3 0,0 3 0,0-5 0,0 5 0,0-5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9T07:29:18.443"/>
    </inkml:context>
    <inkml:brush xml:id="br0">
      <inkml:brushProperty name="width" value="0.2" units="cm"/>
      <inkml:brushProperty name="height" value="0.2" units="cm"/>
      <inkml:brushProperty name="color" value="#FFFFFF"/>
    </inkml:brush>
  </inkml:definitions>
  <inkml:trace contextRef="#ctx0" brushRef="#br0">0 0 24575,'17'0'0,"-2"0"0,-10 0 0,0 0 0,0 0 0,0 0 0,0 0 0,0 0 0,0 0 0,0 0 0,0 0 0,0 0 0,3 0 0,-2 0 0,5 0 0,-6 0 0,3 0 0,-3 0 0,0 0 0,0 0 0,0 0 0,0 0 0,1 0 0,-1 0 0,0 0 0,0 0 0,0 0 0,0 0 0,0 0 0,0 0 0,0 0 0,0 0 0,0 0 0,0 0 0,0 0 0,0 0 0,0 0 0,1 0 0,-1 0 0,0 0 0,0 0 0,0 3 0,0-3 0,0 3 0,0-3 0,0 0 0,0 0 0,0 0 0,0 0 0,0 2 0,0-1 0,1 1 0,-1-2 0,0 0 0,0 0 0,0 0 0,0 0 0,0 0 0,0 0 0,0 3 0,0-2 0,0 1 0,0-2 0,0 0 0,0 0 0,0 0 0,1 0 0,-1 0 0,0 0 0,0 0 0,0 0 0,0 0 0,0 0 0,0 0 0,0 0 0,0 0 0,0 0 0,0 0 0,0 0 0,0 0 0,0 0 0,1 3 0,-1 0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25</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Aadiraj Batlaw</dc:creator>
  <cp:keywords/>
  <dc:description/>
  <cp:lastModifiedBy>Aadiraj Batlaw</cp:lastModifiedBy>
  <cp:revision>16</cp:revision>
  <cp:lastPrinted>2021-06-28T22:18:00Z</cp:lastPrinted>
  <dcterms:created xsi:type="dcterms:W3CDTF">2021-06-21T20:06:00Z</dcterms:created>
  <dcterms:modified xsi:type="dcterms:W3CDTF">2021-08-09T07:30:00Z</dcterms:modified>
</cp:coreProperties>
</file>