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99F7" w14:textId="77777777" w:rsidR="009E514E" w:rsidRDefault="004847DE">
      <w:pPr>
        <w:spacing w:before="960"/>
      </w:pPr>
      <w:r>
        <w:rPr>
          <w:rFonts w:ascii="Aptos Display" w:hAnsi="Aptos Display"/>
          <w:b/>
          <w:color w:val="16324F"/>
          <w:sz w:val="62"/>
        </w:rPr>
        <w:t>EV SMART</w:t>
      </w:r>
      <w:r>
        <w:rPr>
          <w:rFonts w:ascii="Aptos Display" w:hAnsi="Aptos Display"/>
          <w:b/>
          <w:color w:val="16324F"/>
          <w:sz w:val="62"/>
        </w:rPr>
        <w:br/>
        <w:t>CHARGING</w:t>
      </w:r>
    </w:p>
    <w:p w14:paraId="7C33709E" w14:textId="77777777" w:rsidR="009E514E" w:rsidRDefault="004847DE">
      <w:pPr>
        <w:spacing w:after="360"/>
      </w:pPr>
      <w:r>
        <w:rPr>
          <w:b/>
          <w:color w:val="1D5D8F"/>
          <w:sz w:val="38"/>
        </w:rPr>
        <w:t>Four-Person Technical Roadmap</w:t>
      </w:r>
    </w:p>
    <w:p w14:paraId="5C746012" w14:textId="77777777" w:rsidR="009E514E" w:rsidRDefault="004847DE">
      <w:pPr>
        <w:spacing w:after="400"/>
      </w:pPr>
      <w:r>
        <w:rPr>
          <w:sz w:val="24"/>
        </w:rPr>
        <w:t>A practical implementation guide covering strategy ownership, forecasting, perfect-foresight comparison, testing, tools and integration.</w:t>
      </w:r>
    </w:p>
    <w:tbl>
      <w:tblPr>
        <w:tblW w:w="0" w:type="auto"/>
        <w:jc w:val="center"/>
        <w:tblLook w:val="04A0" w:firstRow="1" w:lastRow="0" w:firstColumn="1" w:lastColumn="0" w:noHBand="0" w:noVBand="1"/>
      </w:tblPr>
      <w:tblGrid>
        <w:gridCol w:w="9994"/>
      </w:tblGrid>
      <w:tr w:rsidR="009E514E" w14:paraId="5857B673" w14:textId="77777777">
        <w:trPr>
          <w:jc w:val="center"/>
        </w:trPr>
        <w:tc>
          <w:tcPr>
            <w:tcW w:w="9994" w:type="dxa"/>
            <w:shd w:val="clear" w:color="auto" w:fill="EAF3F8"/>
            <w:tcMar>
              <w:top w:w="140" w:type="dxa"/>
              <w:left w:w="170" w:type="dxa"/>
              <w:bottom w:w="140" w:type="dxa"/>
              <w:right w:w="170" w:type="dxa"/>
            </w:tcMar>
          </w:tcPr>
          <w:p w14:paraId="77968A59" w14:textId="77777777" w:rsidR="009E514E" w:rsidRDefault="004847DE">
            <w:pPr>
              <w:spacing w:after="60"/>
            </w:pPr>
            <w:r>
              <w:rPr>
                <w:b/>
                <w:color w:val="16324F"/>
              </w:rPr>
              <w:t>Project scope</w:t>
            </w:r>
          </w:p>
          <w:p w14:paraId="6546632E" w14:textId="77777777" w:rsidR="009E514E" w:rsidRDefault="004847DE">
            <w:pPr>
              <w:spacing w:after="0"/>
            </w:pPr>
            <w:r>
              <w:t>Implement three charging strategies: (1) uncontrolled charging, (2) Time-of-Use (TOU) charging, and (3) LP-based smart charging. Separately, compare forecast-based LP with perfect-foresight LP. Perfect foresight is a benchmark mode of the same LP scheduler, not a fourth charging strategy.</w:t>
            </w:r>
          </w:p>
        </w:tc>
      </w:tr>
    </w:tbl>
    <w:p w14:paraId="37FF3258" w14:textId="77777777" w:rsidR="009E514E" w:rsidRDefault="009E514E">
      <w:pPr>
        <w:spacing w:after="0"/>
      </w:pPr>
    </w:p>
    <w:p w14:paraId="543B2845" w14:textId="77777777" w:rsidR="009E514E" w:rsidRDefault="004847DE">
      <w:pPr>
        <w:pStyle w:val="Heading2"/>
      </w:pPr>
      <w:r>
        <w:t>How to use this document</w:t>
      </w:r>
    </w:p>
    <w:p w14:paraId="7C84B1C9" w14:textId="77777777" w:rsidR="009E514E" w:rsidRDefault="004847DE">
      <w:r>
        <w:t>Each role has a clear owner, step-by-step tasks, tools, deliverables, completion criteria and common failure points. The modeling decisions are finalized in Section 13; only data-dependent adaptations remain after the dataset is inspected.</w:t>
      </w:r>
    </w:p>
    <w:p w14:paraId="09A55A3E" w14:textId="77777777" w:rsidR="009E514E" w:rsidRDefault="004847DE">
      <w:pPr>
        <w:pStyle w:val="SmallNote"/>
      </w:pPr>
      <w:r>
        <w:t>Prepared for: Group 10 • Electric Vehicles coursework</w:t>
      </w:r>
    </w:p>
    <w:p w14:paraId="2783B77E" w14:textId="77777777" w:rsidR="009E514E" w:rsidRDefault="004847DE">
      <w:r>
        <w:br w:type="page"/>
      </w:r>
    </w:p>
    <w:p w14:paraId="032334BE" w14:textId="77777777" w:rsidR="009E514E" w:rsidRDefault="004847DE">
      <w:pPr>
        <w:pStyle w:val="Heading1"/>
      </w:pPr>
      <w:r>
        <w:lastRenderedPageBreak/>
        <w:t>1. Project overview and division of responsibility</w:t>
      </w:r>
    </w:p>
    <w:p w14:paraId="78AB19F0" w14:textId="41C4ACEE" w:rsidR="009E514E" w:rsidRDefault="004847DE">
      <w:r>
        <w:t xml:space="preserve">The project studies how the timing of EV charging affects electricity cost, peak grid demand, solar utilization, grid imports and grid-related CO₂ emissions. The three strategies must be evaluated on the same scenarios so that observed </w:t>
      </w:r>
      <w:r w:rsidR="000D3E80">
        <w:t>d</w:t>
      </w:r>
      <w:r>
        <w:t>ifferences are attributable to the charging strategy rather than to different inputs.</w:t>
      </w:r>
    </w:p>
    <w:tbl>
      <w:tblPr>
        <w:tblStyle w:val="TableGrid"/>
        <w:tblW w:w="0" w:type="auto"/>
        <w:jc w:val="center"/>
        <w:tblLayout w:type="fixed"/>
        <w:tblLook w:val="04A0" w:firstRow="1" w:lastRow="0" w:firstColumn="1" w:lastColumn="0" w:noHBand="0" w:noVBand="1"/>
      </w:tblPr>
      <w:tblGrid>
        <w:gridCol w:w="2232"/>
        <w:gridCol w:w="4608"/>
        <w:gridCol w:w="2880"/>
      </w:tblGrid>
      <w:tr w:rsidR="009E514E" w14:paraId="3781AE2B" w14:textId="77777777">
        <w:trPr>
          <w:tblHeader/>
          <w:jc w:val="center"/>
        </w:trPr>
        <w:tc>
          <w:tcPr>
            <w:tcW w:w="2232" w:type="dxa"/>
            <w:shd w:val="clear" w:color="auto" w:fill="16324F"/>
            <w:tcMar>
              <w:top w:w="90" w:type="dxa"/>
              <w:left w:w="100" w:type="dxa"/>
              <w:bottom w:w="90" w:type="dxa"/>
              <w:right w:w="100" w:type="dxa"/>
            </w:tcMar>
            <w:vAlign w:val="center"/>
          </w:tcPr>
          <w:p w14:paraId="570EFFE1" w14:textId="77777777" w:rsidR="009E514E" w:rsidRDefault="004847DE">
            <w:pPr>
              <w:spacing w:after="0"/>
            </w:pPr>
            <w:r>
              <w:rPr>
                <w:b/>
                <w:color w:val="FFFFFF"/>
                <w:sz w:val="17"/>
              </w:rPr>
              <w:t>Role</w:t>
            </w:r>
          </w:p>
        </w:tc>
        <w:tc>
          <w:tcPr>
            <w:tcW w:w="4608" w:type="dxa"/>
            <w:shd w:val="clear" w:color="auto" w:fill="16324F"/>
            <w:tcMar>
              <w:top w:w="90" w:type="dxa"/>
              <w:left w:w="100" w:type="dxa"/>
              <w:bottom w:w="90" w:type="dxa"/>
              <w:right w:w="100" w:type="dxa"/>
            </w:tcMar>
            <w:vAlign w:val="center"/>
          </w:tcPr>
          <w:p w14:paraId="757B36AC" w14:textId="77777777" w:rsidR="009E514E" w:rsidRDefault="004847DE">
            <w:pPr>
              <w:spacing w:after="0"/>
            </w:pPr>
            <w:r>
              <w:rPr>
                <w:b/>
                <w:color w:val="FFFFFF"/>
                <w:sz w:val="17"/>
              </w:rPr>
              <w:t>Primary ownership</w:t>
            </w:r>
          </w:p>
        </w:tc>
        <w:tc>
          <w:tcPr>
            <w:tcW w:w="2880" w:type="dxa"/>
            <w:shd w:val="clear" w:color="auto" w:fill="16324F"/>
            <w:tcMar>
              <w:top w:w="90" w:type="dxa"/>
              <w:left w:w="100" w:type="dxa"/>
              <w:bottom w:w="90" w:type="dxa"/>
              <w:right w:w="100" w:type="dxa"/>
            </w:tcMar>
            <w:vAlign w:val="center"/>
          </w:tcPr>
          <w:p w14:paraId="12ED5FD2" w14:textId="77777777" w:rsidR="009E514E" w:rsidRDefault="004847DE">
            <w:pPr>
              <w:spacing w:after="0"/>
            </w:pPr>
            <w:r>
              <w:rPr>
                <w:b/>
                <w:color w:val="FFFFFF"/>
                <w:sz w:val="17"/>
              </w:rPr>
              <w:t>Main output</w:t>
            </w:r>
          </w:p>
        </w:tc>
      </w:tr>
      <w:tr w:rsidR="009E514E" w14:paraId="03FE1DC4" w14:textId="77777777">
        <w:trPr>
          <w:jc w:val="center"/>
        </w:trPr>
        <w:tc>
          <w:tcPr>
            <w:tcW w:w="2232" w:type="dxa"/>
            <w:tcMar>
              <w:top w:w="90" w:type="dxa"/>
              <w:left w:w="100" w:type="dxa"/>
              <w:bottom w:w="90" w:type="dxa"/>
              <w:right w:w="100" w:type="dxa"/>
            </w:tcMar>
          </w:tcPr>
          <w:p w14:paraId="050367EA" w14:textId="77777777" w:rsidR="009E514E" w:rsidRDefault="004847DE">
            <w:pPr>
              <w:spacing w:after="20"/>
            </w:pPr>
            <w:r>
              <w:rPr>
                <w:sz w:val="17"/>
              </w:rPr>
              <w:t>Member 1 — Uncontrolled charging</w:t>
            </w:r>
          </w:p>
        </w:tc>
        <w:tc>
          <w:tcPr>
            <w:tcW w:w="4608" w:type="dxa"/>
            <w:tcMar>
              <w:top w:w="90" w:type="dxa"/>
              <w:left w:w="100" w:type="dxa"/>
              <w:bottom w:w="90" w:type="dxa"/>
              <w:right w:w="100" w:type="dxa"/>
            </w:tcMar>
          </w:tcPr>
          <w:p w14:paraId="6EB629A3" w14:textId="77777777" w:rsidR="009E514E" w:rsidRDefault="004847DE">
            <w:pPr>
              <w:spacing w:after="20"/>
            </w:pPr>
            <w:r>
              <w:rPr>
                <w:sz w:val="17"/>
              </w:rPr>
              <w:t>Implement the immediate-charging baseline and validate its schedule.</w:t>
            </w:r>
          </w:p>
        </w:tc>
        <w:tc>
          <w:tcPr>
            <w:tcW w:w="2880" w:type="dxa"/>
            <w:tcMar>
              <w:top w:w="90" w:type="dxa"/>
              <w:left w:w="100" w:type="dxa"/>
              <w:bottom w:w="90" w:type="dxa"/>
              <w:right w:w="100" w:type="dxa"/>
            </w:tcMar>
          </w:tcPr>
          <w:p w14:paraId="5D6843CE" w14:textId="77777777" w:rsidR="009E514E" w:rsidRDefault="004847DE">
            <w:pPr>
              <w:spacing w:after="20"/>
            </w:pPr>
            <w:r>
              <w:rPr>
                <w:sz w:val="17"/>
              </w:rPr>
              <w:t>Runnable baseline scheduler and tests.</w:t>
            </w:r>
          </w:p>
        </w:tc>
      </w:tr>
      <w:tr w:rsidR="009E514E" w14:paraId="7D4BDF4E" w14:textId="77777777">
        <w:trPr>
          <w:jc w:val="center"/>
        </w:trPr>
        <w:tc>
          <w:tcPr>
            <w:tcW w:w="2232" w:type="dxa"/>
            <w:shd w:val="clear" w:color="auto" w:fill="F3F6F8"/>
            <w:tcMar>
              <w:top w:w="90" w:type="dxa"/>
              <w:left w:w="100" w:type="dxa"/>
              <w:bottom w:w="90" w:type="dxa"/>
              <w:right w:w="100" w:type="dxa"/>
            </w:tcMar>
          </w:tcPr>
          <w:p w14:paraId="46C89935" w14:textId="77777777" w:rsidR="009E514E" w:rsidRDefault="004847DE">
            <w:pPr>
              <w:spacing w:after="20"/>
            </w:pPr>
            <w:r>
              <w:rPr>
                <w:sz w:val="17"/>
              </w:rPr>
              <w:t>Member 2 — TOU charging</w:t>
            </w:r>
          </w:p>
        </w:tc>
        <w:tc>
          <w:tcPr>
            <w:tcW w:w="4608" w:type="dxa"/>
            <w:shd w:val="clear" w:color="auto" w:fill="F3F6F8"/>
            <w:tcMar>
              <w:top w:w="90" w:type="dxa"/>
              <w:left w:w="100" w:type="dxa"/>
              <w:bottom w:w="90" w:type="dxa"/>
              <w:right w:w="100" w:type="dxa"/>
            </w:tcMar>
          </w:tcPr>
          <w:p w14:paraId="18AA5827" w14:textId="77777777" w:rsidR="009E514E" w:rsidRDefault="004847DE">
            <w:pPr>
              <w:spacing w:after="20"/>
            </w:pPr>
            <w:r>
              <w:rPr>
                <w:sz w:val="17"/>
              </w:rPr>
              <w:t>Implement price-aware scheduling with EV constraints.</w:t>
            </w:r>
          </w:p>
        </w:tc>
        <w:tc>
          <w:tcPr>
            <w:tcW w:w="2880" w:type="dxa"/>
            <w:shd w:val="clear" w:color="auto" w:fill="F3F6F8"/>
            <w:tcMar>
              <w:top w:w="90" w:type="dxa"/>
              <w:left w:w="100" w:type="dxa"/>
              <w:bottom w:w="90" w:type="dxa"/>
              <w:right w:w="100" w:type="dxa"/>
            </w:tcMar>
          </w:tcPr>
          <w:p w14:paraId="5A049819" w14:textId="77777777" w:rsidR="009E514E" w:rsidRDefault="004847DE">
            <w:pPr>
              <w:spacing w:after="20"/>
            </w:pPr>
            <w:r>
              <w:rPr>
                <w:sz w:val="17"/>
              </w:rPr>
              <w:t>Runnable TOU scheduler and tests.</w:t>
            </w:r>
          </w:p>
        </w:tc>
      </w:tr>
      <w:tr w:rsidR="009E514E" w14:paraId="74F72DFF" w14:textId="77777777">
        <w:trPr>
          <w:jc w:val="center"/>
        </w:trPr>
        <w:tc>
          <w:tcPr>
            <w:tcW w:w="2232" w:type="dxa"/>
            <w:tcMar>
              <w:top w:w="90" w:type="dxa"/>
              <w:left w:w="100" w:type="dxa"/>
              <w:bottom w:w="90" w:type="dxa"/>
              <w:right w:w="100" w:type="dxa"/>
            </w:tcMar>
          </w:tcPr>
          <w:p w14:paraId="62C2A693" w14:textId="77777777" w:rsidR="009E514E" w:rsidRDefault="004847DE">
            <w:pPr>
              <w:spacing w:after="20"/>
            </w:pPr>
            <w:r>
              <w:rPr>
                <w:sz w:val="17"/>
              </w:rPr>
              <w:t>Member 3 — LP smart charging</w:t>
            </w:r>
          </w:p>
        </w:tc>
        <w:tc>
          <w:tcPr>
            <w:tcW w:w="4608" w:type="dxa"/>
            <w:tcMar>
              <w:top w:w="90" w:type="dxa"/>
              <w:left w:w="100" w:type="dxa"/>
              <w:bottom w:w="90" w:type="dxa"/>
              <w:right w:w="100" w:type="dxa"/>
            </w:tcMar>
          </w:tcPr>
          <w:p w14:paraId="607D3D54" w14:textId="77777777" w:rsidR="009E514E" w:rsidRDefault="004847DE">
            <w:pPr>
              <w:spacing w:after="20"/>
            </w:pPr>
            <w:r>
              <w:rPr>
                <w:sz w:val="17"/>
              </w:rPr>
              <w:t>Implement the mathematical optimization model and solver.</w:t>
            </w:r>
          </w:p>
        </w:tc>
        <w:tc>
          <w:tcPr>
            <w:tcW w:w="2880" w:type="dxa"/>
            <w:tcMar>
              <w:top w:w="90" w:type="dxa"/>
              <w:left w:w="100" w:type="dxa"/>
              <w:bottom w:w="90" w:type="dxa"/>
              <w:right w:w="100" w:type="dxa"/>
            </w:tcMar>
          </w:tcPr>
          <w:p w14:paraId="3FA696E2" w14:textId="77777777" w:rsidR="009E514E" w:rsidRDefault="004847DE">
            <w:pPr>
              <w:spacing w:after="20"/>
            </w:pPr>
            <w:r>
              <w:rPr>
                <w:sz w:val="17"/>
              </w:rPr>
              <w:t>Runnable LP scheduler, formulation and feasibility tests.</w:t>
            </w:r>
          </w:p>
        </w:tc>
      </w:tr>
      <w:tr w:rsidR="009E514E" w14:paraId="24E2227D" w14:textId="77777777">
        <w:trPr>
          <w:jc w:val="center"/>
        </w:trPr>
        <w:tc>
          <w:tcPr>
            <w:tcW w:w="2232" w:type="dxa"/>
            <w:shd w:val="clear" w:color="auto" w:fill="F3F6F8"/>
            <w:tcMar>
              <w:top w:w="90" w:type="dxa"/>
              <w:left w:w="100" w:type="dxa"/>
              <w:bottom w:w="90" w:type="dxa"/>
              <w:right w:w="100" w:type="dxa"/>
            </w:tcMar>
          </w:tcPr>
          <w:p w14:paraId="49AC7DEE" w14:textId="170BC3DF" w:rsidR="009E514E" w:rsidRDefault="004847DE">
            <w:pPr>
              <w:spacing w:after="20"/>
            </w:pPr>
            <w:r>
              <w:rPr>
                <w:sz w:val="17"/>
              </w:rPr>
              <w:t>Member 4 — Data</w:t>
            </w:r>
            <w:r w:rsidR="00622723">
              <w:rPr>
                <w:sz w:val="17"/>
              </w:rPr>
              <w:t>set</w:t>
            </w:r>
            <w:r w:rsidR="00E435C9">
              <w:rPr>
                <w:sz w:val="17"/>
              </w:rPr>
              <w:t xml:space="preserve"> acquisition</w:t>
            </w:r>
            <w:r>
              <w:rPr>
                <w:sz w:val="17"/>
              </w:rPr>
              <w:t xml:space="preserve"> &amp; perfect foresight</w:t>
            </w:r>
          </w:p>
        </w:tc>
        <w:tc>
          <w:tcPr>
            <w:tcW w:w="4608" w:type="dxa"/>
            <w:shd w:val="clear" w:color="auto" w:fill="F3F6F8"/>
            <w:tcMar>
              <w:top w:w="90" w:type="dxa"/>
              <w:left w:w="100" w:type="dxa"/>
              <w:bottom w:w="90" w:type="dxa"/>
              <w:right w:w="100" w:type="dxa"/>
            </w:tcMar>
          </w:tcPr>
          <w:p w14:paraId="7967FBAF" w14:textId="77777777" w:rsidR="009E514E" w:rsidRDefault="004847DE">
            <w:pPr>
              <w:spacing w:after="20"/>
            </w:pPr>
            <w:r>
              <w:rPr>
                <w:sz w:val="17"/>
              </w:rPr>
              <w:t>Prepare the common data, build forecasts, run the two LP information modes and coordinate evaluation.</w:t>
            </w:r>
          </w:p>
        </w:tc>
        <w:tc>
          <w:tcPr>
            <w:tcW w:w="2880" w:type="dxa"/>
            <w:shd w:val="clear" w:color="auto" w:fill="F3F6F8"/>
            <w:tcMar>
              <w:top w:w="90" w:type="dxa"/>
              <w:left w:w="100" w:type="dxa"/>
              <w:bottom w:w="90" w:type="dxa"/>
              <w:right w:w="100" w:type="dxa"/>
            </w:tcMar>
          </w:tcPr>
          <w:p w14:paraId="252F5BD1" w14:textId="77777777" w:rsidR="009E514E" w:rsidRDefault="004847DE">
            <w:pPr>
              <w:spacing w:after="20"/>
            </w:pPr>
            <w:r>
              <w:rPr>
                <w:sz w:val="17"/>
              </w:rPr>
              <w:t>Processed scenarios, forecasts and forecast-vs-perfect-foresight results.</w:t>
            </w:r>
          </w:p>
        </w:tc>
      </w:tr>
    </w:tbl>
    <w:p w14:paraId="1251ECC8" w14:textId="77777777" w:rsidR="009E514E" w:rsidRDefault="009E514E">
      <w:pPr>
        <w:spacing w:after="0"/>
      </w:pPr>
    </w:p>
    <w:p w14:paraId="6BF56030" w14:textId="77777777" w:rsidR="009E514E" w:rsidRDefault="004847DE">
      <w:pPr>
        <w:pStyle w:val="Heading2"/>
      </w:pPr>
      <w:r>
        <w:t>Important project decisions</w:t>
      </w:r>
    </w:p>
    <w:tbl>
      <w:tblPr>
        <w:tblStyle w:val="TableGrid"/>
        <w:tblW w:w="0" w:type="auto"/>
        <w:jc w:val="center"/>
        <w:tblLayout w:type="fixed"/>
        <w:tblLook w:val="04A0" w:firstRow="1" w:lastRow="0" w:firstColumn="1" w:lastColumn="0" w:noHBand="0" w:noVBand="1"/>
      </w:tblPr>
      <w:tblGrid>
        <w:gridCol w:w="2160"/>
        <w:gridCol w:w="3168"/>
        <w:gridCol w:w="4392"/>
      </w:tblGrid>
      <w:tr w:rsidR="009E514E" w14:paraId="073AD37F" w14:textId="77777777">
        <w:trPr>
          <w:tblHeader/>
          <w:jc w:val="center"/>
        </w:trPr>
        <w:tc>
          <w:tcPr>
            <w:tcW w:w="2160" w:type="dxa"/>
            <w:shd w:val="clear" w:color="auto" w:fill="16324F"/>
            <w:tcMar>
              <w:top w:w="90" w:type="dxa"/>
              <w:left w:w="100" w:type="dxa"/>
              <w:bottom w:w="90" w:type="dxa"/>
              <w:right w:w="100" w:type="dxa"/>
            </w:tcMar>
            <w:vAlign w:val="center"/>
          </w:tcPr>
          <w:p w14:paraId="3F77FFBB" w14:textId="77777777" w:rsidR="009E514E" w:rsidRDefault="004847DE">
            <w:pPr>
              <w:spacing w:after="0"/>
            </w:pPr>
            <w:r>
              <w:rPr>
                <w:b/>
                <w:color w:val="FFFFFF"/>
                <w:sz w:val="17"/>
              </w:rPr>
              <w:t>Decision</w:t>
            </w:r>
          </w:p>
        </w:tc>
        <w:tc>
          <w:tcPr>
            <w:tcW w:w="3168" w:type="dxa"/>
            <w:shd w:val="clear" w:color="auto" w:fill="16324F"/>
            <w:tcMar>
              <w:top w:w="90" w:type="dxa"/>
              <w:left w:w="100" w:type="dxa"/>
              <w:bottom w:w="90" w:type="dxa"/>
              <w:right w:w="100" w:type="dxa"/>
            </w:tcMar>
            <w:vAlign w:val="center"/>
          </w:tcPr>
          <w:p w14:paraId="799A9128" w14:textId="77777777" w:rsidR="009E514E" w:rsidRDefault="004847DE">
            <w:pPr>
              <w:spacing w:after="0"/>
            </w:pPr>
            <w:r>
              <w:rPr>
                <w:b/>
                <w:color w:val="FFFFFF"/>
                <w:sz w:val="17"/>
              </w:rPr>
              <w:t>Current status</w:t>
            </w:r>
          </w:p>
        </w:tc>
        <w:tc>
          <w:tcPr>
            <w:tcW w:w="4392" w:type="dxa"/>
            <w:shd w:val="clear" w:color="auto" w:fill="16324F"/>
            <w:tcMar>
              <w:top w:w="90" w:type="dxa"/>
              <w:left w:w="100" w:type="dxa"/>
              <w:bottom w:w="90" w:type="dxa"/>
              <w:right w:w="100" w:type="dxa"/>
            </w:tcMar>
            <w:vAlign w:val="center"/>
          </w:tcPr>
          <w:p w14:paraId="39BF9EC6" w14:textId="77777777" w:rsidR="009E514E" w:rsidRDefault="004847DE">
            <w:pPr>
              <w:spacing w:after="0"/>
            </w:pPr>
            <w:r>
              <w:rPr>
                <w:b/>
                <w:color w:val="FFFFFF"/>
                <w:sz w:val="17"/>
              </w:rPr>
              <w:t>Required action</w:t>
            </w:r>
          </w:p>
        </w:tc>
      </w:tr>
      <w:tr w:rsidR="009E514E" w14:paraId="2BDD59D9" w14:textId="77777777">
        <w:trPr>
          <w:jc w:val="center"/>
        </w:trPr>
        <w:tc>
          <w:tcPr>
            <w:tcW w:w="2160" w:type="dxa"/>
            <w:tcMar>
              <w:top w:w="90" w:type="dxa"/>
              <w:left w:w="100" w:type="dxa"/>
              <w:bottom w:w="90" w:type="dxa"/>
              <w:right w:w="100" w:type="dxa"/>
            </w:tcMar>
          </w:tcPr>
          <w:p w14:paraId="76D06023" w14:textId="77777777" w:rsidR="009E514E" w:rsidRDefault="004847DE">
            <w:pPr>
              <w:spacing w:after="20"/>
            </w:pPr>
            <w:r>
              <w:rPr>
                <w:sz w:val="17"/>
              </w:rPr>
              <w:t>Charging strategies</w:t>
            </w:r>
          </w:p>
        </w:tc>
        <w:tc>
          <w:tcPr>
            <w:tcW w:w="3168" w:type="dxa"/>
            <w:tcMar>
              <w:top w:w="90" w:type="dxa"/>
              <w:left w:w="100" w:type="dxa"/>
              <w:bottom w:w="90" w:type="dxa"/>
              <w:right w:w="100" w:type="dxa"/>
            </w:tcMar>
          </w:tcPr>
          <w:p w14:paraId="330516FA" w14:textId="77777777" w:rsidR="009E514E" w:rsidRDefault="004847DE">
            <w:pPr>
              <w:spacing w:after="20"/>
            </w:pPr>
            <w:r>
              <w:rPr>
                <w:sz w:val="17"/>
              </w:rPr>
              <w:t>Fixed: uncontrolled, TOU and LP smart charging.</w:t>
            </w:r>
          </w:p>
        </w:tc>
        <w:tc>
          <w:tcPr>
            <w:tcW w:w="4392" w:type="dxa"/>
            <w:tcMar>
              <w:top w:w="90" w:type="dxa"/>
              <w:left w:w="100" w:type="dxa"/>
              <w:bottom w:w="90" w:type="dxa"/>
              <w:right w:w="100" w:type="dxa"/>
            </w:tcMar>
          </w:tcPr>
          <w:p w14:paraId="654F3CD3" w14:textId="77777777" w:rsidR="009E514E" w:rsidRDefault="004847DE">
            <w:pPr>
              <w:spacing w:after="20"/>
            </w:pPr>
            <w:r>
              <w:rPr>
                <w:sz w:val="17"/>
              </w:rPr>
              <w:t>Do not add a fourth baseline unless the scope changes.</w:t>
            </w:r>
          </w:p>
        </w:tc>
      </w:tr>
      <w:tr w:rsidR="009E514E" w14:paraId="7657AFCD" w14:textId="77777777">
        <w:trPr>
          <w:jc w:val="center"/>
        </w:trPr>
        <w:tc>
          <w:tcPr>
            <w:tcW w:w="2160" w:type="dxa"/>
            <w:shd w:val="clear" w:color="auto" w:fill="F3F6F8"/>
            <w:tcMar>
              <w:top w:w="90" w:type="dxa"/>
              <w:left w:w="100" w:type="dxa"/>
              <w:bottom w:w="90" w:type="dxa"/>
              <w:right w:w="100" w:type="dxa"/>
            </w:tcMar>
          </w:tcPr>
          <w:p w14:paraId="65CCA296" w14:textId="77777777" w:rsidR="009E514E" w:rsidRDefault="004847DE">
            <w:pPr>
              <w:spacing w:after="20"/>
            </w:pPr>
            <w:r>
              <w:rPr>
                <w:sz w:val="17"/>
              </w:rPr>
              <w:t>LP objective</w:t>
            </w:r>
          </w:p>
        </w:tc>
        <w:tc>
          <w:tcPr>
            <w:tcW w:w="3168" w:type="dxa"/>
            <w:shd w:val="clear" w:color="auto" w:fill="F3F6F8"/>
            <w:tcMar>
              <w:top w:w="90" w:type="dxa"/>
              <w:left w:w="100" w:type="dxa"/>
              <w:bottom w:w="90" w:type="dxa"/>
              <w:right w:w="100" w:type="dxa"/>
            </w:tcMar>
          </w:tcPr>
          <w:p w14:paraId="76863CA4" w14:textId="77777777" w:rsidR="009E514E" w:rsidRDefault="004847DE">
            <w:r>
              <w:t>Finalized: normalized objective with weights 1:5:2.</w:t>
            </w:r>
          </w:p>
        </w:tc>
        <w:tc>
          <w:tcPr>
            <w:tcW w:w="4392" w:type="dxa"/>
            <w:shd w:val="clear" w:color="auto" w:fill="F3F6F8"/>
            <w:tcMar>
              <w:top w:w="90" w:type="dxa"/>
              <w:left w:w="100" w:type="dxa"/>
              <w:bottom w:w="90" w:type="dxa"/>
              <w:right w:w="100" w:type="dxa"/>
            </w:tcMar>
          </w:tcPr>
          <w:p w14:paraId="16D14BDA" w14:textId="77777777" w:rsidR="009E514E" w:rsidRDefault="004847DE">
            <w:r>
              <w:t>Implement the exact expressions and reference scales in Section 13.</w:t>
            </w:r>
          </w:p>
        </w:tc>
      </w:tr>
      <w:tr w:rsidR="009E514E" w14:paraId="6DD7D36A" w14:textId="77777777">
        <w:trPr>
          <w:jc w:val="center"/>
        </w:trPr>
        <w:tc>
          <w:tcPr>
            <w:tcW w:w="2160" w:type="dxa"/>
            <w:tcMar>
              <w:top w:w="90" w:type="dxa"/>
              <w:left w:w="100" w:type="dxa"/>
              <w:bottom w:w="90" w:type="dxa"/>
              <w:right w:w="100" w:type="dxa"/>
            </w:tcMar>
          </w:tcPr>
          <w:p w14:paraId="1D0041DD" w14:textId="77777777" w:rsidR="009E514E" w:rsidRDefault="004847DE">
            <w:pPr>
              <w:spacing w:after="20"/>
            </w:pPr>
            <w:r>
              <w:rPr>
                <w:sz w:val="17"/>
              </w:rPr>
              <w:t>Forecast targets</w:t>
            </w:r>
          </w:p>
        </w:tc>
        <w:tc>
          <w:tcPr>
            <w:tcW w:w="3168" w:type="dxa"/>
            <w:tcMar>
              <w:top w:w="90" w:type="dxa"/>
              <w:left w:w="100" w:type="dxa"/>
              <w:bottom w:w="90" w:type="dxa"/>
              <w:right w:w="100" w:type="dxa"/>
            </w:tcMar>
          </w:tcPr>
          <w:p w14:paraId="2DEB6E76" w14:textId="77777777" w:rsidR="009E514E" w:rsidRDefault="004847DE">
            <w:r>
              <w:t>Solar is mandatory; base load is forecast if a suitable historical series exists.</w:t>
            </w:r>
          </w:p>
        </w:tc>
        <w:tc>
          <w:tcPr>
            <w:tcW w:w="4392" w:type="dxa"/>
            <w:tcMar>
              <w:top w:w="90" w:type="dxa"/>
              <w:left w:w="100" w:type="dxa"/>
              <w:bottom w:w="90" w:type="dxa"/>
              <w:right w:w="100" w:type="dxa"/>
            </w:tcMar>
          </w:tcPr>
          <w:p w14:paraId="3BF98108" w14:textId="77777777" w:rsidR="009E514E" w:rsidRDefault="004847DE">
            <w:r>
              <w:t>Tariff and EV-session fields are treated as known inputs.</w:t>
            </w:r>
          </w:p>
        </w:tc>
      </w:tr>
      <w:tr w:rsidR="009E514E" w14:paraId="74CB48AB" w14:textId="77777777">
        <w:trPr>
          <w:jc w:val="center"/>
        </w:trPr>
        <w:tc>
          <w:tcPr>
            <w:tcW w:w="2160" w:type="dxa"/>
            <w:shd w:val="clear" w:color="auto" w:fill="F3F6F8"/>
            <w:tcMar>
              <w:top w:w="90" w:type="dxa"/>
              <w:left w:w="100" w:type="dxa"/>
              <w:bottom w:w="90" w:type="dxa"/>
              <w:right w:w="100" w:type="dxa"/>
            </w:tcMar>
          </w:tcPr>
          <w:p w14:paraId="0BD67C9A" w14:textId="77777777" w:rsidR="009E514E" w:rsidRDefault="004847DE">
            <w:pPr>
              <w:spacing w:after="20"/>
            </w:pPr>
            <w:r>
              <w:rPr>
                <w:sz w:val="17"/>
              </w:rPr>
              <w:t>Dataset and geography</w:t>
            </w:r>
          </w:p>
        </w:tc>
        <w:tc>
          <w:tcPr>
            <w:tcW w:w="3168" w:type="dxa"/>
            <w:shd w:val="clear" w:color="auto" w:fill="F3F6F8"/>
            <w:tcMar>
              <w:top w:w="90" w:type="dxa"/>
              <w:left w:w="100" w:type="dxa"/>
              <w:bottom w:w="90" w:type="dxa"/>
              <w:right w:w="100" w:type="dxa"/>
            </w:tcMar>
          </w:tcPr>
          <w:p w14:paraId="3E76D36C" w14:textId="77777777" w:rsidR="009E514E" w:rsidRDefault="004847DE">
            <w:r>
              <w:t>Dataset acquisition pending.</w:t>
            </w:r>
          </w:p>
        </w:tc>
        <w:tc>
          <w:tcPr>
            <w:tcW w:w="4392" w:type="dxa"/>
            <w:shd w:val="clear" w:color="auto" w:fill="F3F6F8"/>
            <w:tcMar>
              <w:top w:w="90" w:type="dxa"/>
              <w:left w:w="100" w:type="dxa"/>
              <w:bottom w:w="90" w:type="dxa"/>
              <w:right w:w="100" w:type="dxa"/>
            </w:tcMar>
          </w:tcPr>
          <w:p w14:paraId="6F99A7E7" w14:textId="77777777" w:rsidR="009E514E" w:rsidRDefault="004847DE">
            <w:r>
              <w:t>Use one coherent location/time period; inspect availability and units before final processing.</w:t>
            </w:r>
          </w:p>
        </w:tc>
      </w:tr>
      <w:tr w:rsidR="009E514E" w14:paraId="29E427E3" w14:textId="77777777">
        <w:trPr>
          <w:jc w:val="center"/>
        </w:trPr>
        <w:tc>
          <w:tcPr>
            <w:tcW w:w="2160" w:type="dxa"/>
            <w:tcMar>
              <w:top w:w="90" w:type="dxa"/>
              <w:left w:w="100" w:type="dxa"/>
              <w:bottom w:w="90" w:type="dxa"/>
              <w:right w:w="100" w:type="dxa"/>
            </w:tcMar>
          </w:tcPr>
          <w:p w14:paraId="35AFBCC9" w14:textId="77777777" w:rsidR="009E514E" w:rsidRDefault="004847DE">
            <w:pPr>
              <w:spacing w:after="20"/>
            </w:pPr>
            <w:r>
              <w:rPr>
                <w:sz w:val="17"/>
              </w:rPr>
              <w:t>Emission factor</w:t>
            </w:r>
          </w:p>
        </w:tc>
        <w:tc>
          <w:tcPr>
            <w:tcW w:w="3168" w:type="dxa"/>
            <w:tcMar>
              <w:top w:w="90" w:type="dxa"/>
              <w:left w:w="100" w:type="dxa"/>
              <w:bottom w:w="90" w:type="dxa"/>
              <w:right w:w="100" w:type="dxa"/>
            </w:tcMar>
          </w:tcPr>
          <w:p w14:paraId="31EA3DD1" w14:textId="77777777" w:rsidR="009E514E" w:rsidRDefault="004847DE">
            <w:r>
              <w:t>0.4 kg CO₂/kWh as a declared scenario assumption unless a location-matched official factor is available.</w:t>
            </w:r>
          </w:p>
        </w:tc>
        <w:tc>
          <w:tcPr>
            <w:tcW w:w="4392" w:type="dxa"/>
            <w:tcMar>
              <w:top w:w="90" w:type="dxa"/>
              <w:left w:w="100" w:type="dxa"/>
              <w:bottom w:w="90" w:type="dxa"/>
              <w:right w:w="100" w:type="dxa"/>
            </w:tcMar>
          </w:tcPr>
          <w:p w14:paraId="025249C1" w14:textId="77777777" w:rsidR="009E514E" w:rsidRDefault="004847DE">
            <w:r>
              <w:t>Document the source or label it explicitly as an assumption.</w:t>
            </w:r>
          </w:p>
        </w:tc>
      </w:tr>
    </w:tbl>
    <w:p w14:paraId="30DB00D7" w14:textId="77777777" w:rsidR="009E514E" w:rsidRDefault="009E514E">
      <w:pPr>
        <w:spacing w:after="0"/>
      </w:pPr>
    </w:p>
    <w:tbl>
      <w:tblPr>
        <w:tblW w:w="0" w:type="auto"/>
        <w:jc w:val="center"/>
        <w:tblLook w:val="04A0" w:firstRow="1" w:lastRow="0" w:firstColumn="1" w:lastColumn="0" w:noHBand="0" w:noVBand="1"/>
      </w:tblPr>
      <w:tblGrid>
        <w:gridCol w:w="9994"/>
      </w:tblGrid>
      <w:tr w:rsidR="009E514E" w14:paraId="06C4EFA6" w14:textId="77777777">
        <w:trPr>
          <w:jc w:val="center"/>
        </w:trPr>
        <w:tc>
          <w:tcPr>
            <w:tcW w:w="9994" w:type="dxa"/>
            <w:shd w:val="clear" w:color="auto" w:fill="FFF4DE"/>
            <w:tcMar>
              <w:top w:w="140" w:type="dxa"/>
              <w:left w:w="170" w:type="dxa"/>
              <w:bottom w:w="140" w:type="dxa"/>
              <w:right w:w="170" w:type="dxa"/>
            </w:tcMar>
          </w:tcPr>
          <w:p w14:paraId="5CBC0CA0" w14:textId="77777777" w:rsidR="009E514E" w:rsidRDefault="004847DE">
            <w:pPr>
              <w:spacing w:after="60"/>
            </w:pPr>
            <w:r>
              <w:rPr>
                <w:b/>
                <w:color w:val="16324F"/>
              </w:rPr>
              <w:t>Core fairness rule</w:t>
            </w:r>
          </w:p>
          <w:p w14:paraId="353D2BC5" w14:textId="77777777" w:rsidR="009E514E" w:rsidRDefault="004847DE">
            <w:pPr>
              <w:spacing w:after="0"/>
            </w:pPr>
            <w:r>
              <w:t>All strategies must use the same EV sessions, time horizon, time-slot length, charger limits, required energy, tariff and relevant environmental inputs. The forecast-based and perfect-foresight LP runs must use the same LP formulation and differ only in the future input information supplied to the scheduler.</w:t>
            </w:r>
          </w:p>
        </w:tc>
      </w:tr>
    </w:tbl>
    <w:p w14:paraId="4C2A66EE" w14:textId="77777777" w:rsidR="009E514E" w:rsidRDefault="009E514E">
      <w:pPr>
        <w:spacing w:after="0"/>
      </w:pPr>
    </w:p>
    <w:p w14:paraId="170CE273" w14:textId="77777777" w:rsidR="00D63FFE" w:rsidRDefault="00D63FFE">
      <w:pPr>
        <w:spacing w:after="0"/>
      </w:pPr>
    </w:p>
    <w:p w14:paraId="21704864" w14:textId="77777777" w:rsidR="00D63FFE" w:rsidRDefault="00D63FFE">
      <w:pPr>
        <w:spacing w:after="0"/>
      </w:pPr>
    </w:p>
    <w:p w14:paraId="11BB9813" w14:textId="77777777" w:rsidR="009E514E" w:rsidRDefault="004847DE">
      <w:pPr>
        <w:pStyle w:val="Heading1"/>
      </w:pPr>
      <w:r>
        <w:lastRenderedPageBreak/>
        <w:t>2. Recommended tools and technologies</w:t>
      </w:r>
    </w:p>
    <w:tbl>
      <w:tblPr>
        <w:tblStyle w:val="TableGrid"/>
        <w:tblW w:w="0" w:type="auto"/>
        <w:jc w:val="center"/>
        <w:tblLayout w:type="fixed"/>
        <w:tblLook w:val="04A0" w:firstRow="1" w:lastRow="0" w:firstColumn="1" w:lastColumn="0" w:noHBand="0" w:noVBand="1"/>
      </w:tblPr>
      <w:tblGrid>
        <w:gridCol w:w="1944"/>
        <w:gridCol w:w="2880"/>
        <w:gridCol w:w="4896"/>
      </w:tblGrid>
      <w:tr w:rsidR="009E514E" w14:paraId="38D481F9" w14:textId="77777777">
        <w:trPr>
          <w:tblHeader/>
          <w:jc w:val="center"/>
        </w:trPr>
        <w:tc>
          <w:tcPr>
            <w:tcW w:w="1944" w:type="dxa"/>
            <w:shd w:val="clear" w:color="auto" w:fill="16324F"/>
            <w:tcMar>
              <w:top w:w="90" w:type="dxa"/>
              <w:left w:w="100" w:type="dxa"/>
              <w:bottom w:w="90" w:type="dxa"/>
              <w:right w:w="100" w:type="dxa"/>
            </w:tcMar>
            <w:vAlign w:val="center"/>
          </w:tcPr>
          <w:p w14:paraId="64C5BBAF" w14:textId="77777777" w:rsidR="009E514E" w:rsidRDefault="004847DE">
            <w:pPr>
              <w:spacing w:after="0"/>
            </w:pPr>
            <w:r>
              <w:rPr>
                <w:b/>
                <w:color w:val="FFFFFF"/>
                <w:sz w:val="17"/>
              </w:rPr>
              <w:t>Need</w:t>
            </w:r>
          </w:p>
        </w:tc>
        <w:tc>
          <w:tcPr>
            <w:tcW w:w="2880" w:type="dxa"/>
            <w:shd w:val="clear" w:color="auto" w:fill="16324F"/>
            <w:tcMar>
              <w:top w:w="90" w:type="dxa"/>
              <w:left w:w="100" w:type="dxa"/>
              <w:bottom w:w="90" w:type="dxa"/>
              <w:right w:w="100" w:type="dxa"/>
            </w:tcMar>
            <w:vAlign w:val="center"/>
          </w:tcPr>
          <w:p w14:paraId="10BE1DEA" w14:textId="77777777" w:rsidR="009E514E" w:rsidRDefault="004847DE">
            <w:pPr>
              <w:spacing w:after="0"/>
            </w:pPr>
            <w:r>
              <w:rPr>
                <w:b/>
                <w:color w:val="FFFFFF"/>
                <w:sz w:val="17"/>
              </w:rPr>
              <w:t>Recommended tool</w:t>
            </w:r>
          </w:p>
        </w:tc>
        <w:tc>
          <w:tcPr>
            <w:tcW w:w="4896" w:type="dxa"/>
            <w:shd w:val="clear" w:color="auto" w:fill="16324F"/>
            <w:tcMar>
              <w:top w:w="90" w:type="dxa"/>
              <w:left w:w="100" w:type="dxa"/>
              <w:bottom w:w="90" w:type="dxa"/>
              <w:right w:w="100" w:type="dxa"/>
            </w:tcMar>
            <w:vAlign w:val="center"/>
          </w:tcPr>
          <w:p w14:paraId="688E5EB7" w14:textId="77777777" w:rsidR="009E514E" w:rsidRDefault="004847DE">
            <w:pPr>
              <w:spacing w:after="0"/>
            </w:pPr>
            <w:r>
              <w:rPr>
                <w:b/>
                <w:color w:val="FFFFFF"/>
                <w:sz w:val="17"/>
              </w:rPr>
              <w:t>How it will be used</w:t>
            </w:r>
          </w:p>
        </w:tc>
      </w:tr>
      <w:tr w:rsidR="009E514E" w14:paraId="5C28DD48" w14:textId="77777777">
        <w:trPr>
          <w:jc w:val="center"/>
        </w:trPr>
        <w:tc>
          <w:tcPr>
            <w:tcW w:w="1944" w:type="dxa"/>
            <w:tcMar>
              <w:top w:w="90" w:type="dxa"/>
              <w:left w:w="100" w:type="dxa"/>
              <w:bottom w:w="90" w:type="dxa"/>
              <w:right w:w="100" w:type="dxa"/>
            </w:tcMar>
          </w:tcPr>
          <w:p w14:paraId="4B8B1216" w14:textId="77777777" w:rsidR="009E514E" w:rsidRDefault="004847DE">
            <w:pPr>
              <w:spacing w:after="20"/>
            </w:pPr>
            <w:r>
              <w:rPr>
                <w:sz w:val="17"/>
              </w:rPr>
              <w:t>Programming</w:t>
            </w:r>
          </w:p>
        </w:tc>
        <w:tc>
          <w:tcPr>
            <w:tcW w:w="2880" w:type="dxa"/>
            <w:tcMar>
              <w:top w:w="90" w:type="dxa"/>
              <w:left w:w="100" w:type="dxa"/>
              <w:bottom w:w="90" w:type="dxa"/>
              <w:right w:w="100" w:type="dxa"/>
            </w:tcMar>
          </w:tcPr>
          <w:p w14:paraId="3141ADA9" w14:textId="77777777" w:rsidR="009E514E" w:rsidRDefault="004847DE">
            <w:pPr>
              <w:spacing w:after="20"/>
            </w:pPr>
            <w:r>
              <w:rPr>
                <w:sz w:val="17"/>
              </w:rPr>
              <w:t>Python 3.11 or a version supported by the chosen packages</w:t>
            </w:r>
          </w:p>
        </w:tc>
        <w:tc>
          <w:tcPr>
            <w:tcW w:w="4896" w:type="dxa"/>
            <w:tcMar>
              <w:top w:w="90" w:type="dxa"/>
              <w:left w:w="100" w:type="dxa"/>
              <w:bottom w:w="90" w:type="dxa"/>
              <w:right w:w="100" w:type="dxa"/>
            </w:tcMar>
          </w:tcPr>
          <w:p w14:paraId="3FAFF3CD" w14:textId="77777777" w:rsidR="009E514E" w:rsidRDefault="004847DE">
            <w:pPr>
              <w:spacing w:after="20"/>
            </w:pPr>
            <w:r>
              <w:rPr>
                <w:sz w:val="17"/>
              </w:rPr>
              <w:t>All strategy, forecasting and evaluation code.</w:t>
            </w:r>
          </w:p>
        </w:tc>
      </w:tr>
      <w:tr w:rsidR="009E514E" w14:paraId="7E697F90" w14:textId="77777777">
        <w:trPr>
          <w:jc w:val="center"/>
        </w:trPr>
        <w:tc>
          <w:tcPr>
            <w:tcW w:w="1944" w:type="dxa"/>
            <w:shd w:val="clear" w:color="auto" w:fill="F3F6F8"/>
            <w:tcMar>
              <w:top w:w="90" w:type="dxa"/>
              <w:left w:w="100" w:type="dxa"/>
              <w:bottom w:w="90" w:type="dxa"/>
              <w:right w:w="100" w:type="dxa"/>
            </w:tcMar>
          </w:tcPr>
          <w:p w14:paraId="26BDFCE2" w14:textId="77777777" w:rsidR="009E514E" w:rsidRDefault="004847DE">
            <w:pPr>
              <w:spacing w:after="20"/>
            </w:pPr>
            <w:r>
              <w:rPr>
                <w:sz w:val="17"/>
              </w:rPr>
              <w:t>Tabular data</w:t>
            </w:r>
          </w:p>
        </w:tc>
        <w:tc>
          <w:tcPr>
            <w:tcW w:w="2880" w:type="dxa"/>
            <w:shd w:val="clear" w:color="auto" w:fill="F3F6F8"/>
            <w:tcMar>
              <w:top w:w="90" w:type="dxa"/>
              <w:left w:w="100" w:type="dxa"/>
              <w:bottom w:w="90" w:type="dxa"/>
              <w:right w:w="100" w:type="dxa"/>
            </w:tcMar>
          </w:tcPr>
          <w:p w14:paraId="619B28E4" w14:textId="77777777" w:rsidR="009E514E" w:rsidRDefault="004847DE">
            <w:pPr>
              <w:spacing w:after="20"/>
            </w:pPr>
            <w:r>
              <w:rPr>
                <w:sz w:val="17"/>
              </w:rPr>
              <w:t>pandas, NumPy</w:t>
            </w:r>
          </w:p>
        </w:tc>
        <w:tc>
          <w:tcPr>
            <w:tcW w:w="4896" w:type="dxa"/>
            <w:shd w:val="clear" w:color="auto" w:fill="F3F6F8"/>
            <w:tcMar>
              <w:top w:w="90" w:type="dxa"/>
              <w:left w:w="100" w:type="dxa"/>
              <w:bottom w:w="90" w:type="dxa"/>
              <w:right w:w="100" w:type="dxa"/>
            </w:tcMar>
          </w:tcPr>
          <w:p w14:paraId="187C94E9" w14:textId="77777777" w:rsidR="009E514E" w:rsidRDefault="004847DE">
            <w:pPr>
              <w:spacing w:after="20"/>
            </w:pPr>
            <w:r>
              <w:rPr>
                <w:sz w:val="17"/>
              </w:rPr>
              <w:t>CSV loading, timestamp handling, arrays and calculations.</w:t>
            </w:r>
          </w:p>
        </w:tc>
      </w:tr>
      <w:tr w:rsidR="009E514E" w14:paraId="1168ED11" w14:textId="77777777">
        <w:trPr>
          <w:jc w:val="center"/>
        </w:trPr>
        <w:tc>
          <w:tcPr>
            <w:tcW w:w="1944" w:type="dxa"/>
            <w:tcMar>
              <w:top w:w="90" w:type="dxa"/>
              <w:left w:w="100" w:type="dxa"/>
              <w:bottom w:w="90" w:type="dxa"/>
              <w:right w:w="100" w:type="dxa"/>
            </w:tcMar>
          </w:tcPr>
          <w:p w14:paraId="304FBE1C" w14:textId="77777777" w:rsidR="009E514E" w:rsidRDefault="004847DE">
            <w:pPr>
              <w:spacing w:after="20"/>
            </w:pPr>
            <w:r>
              <w:rPr>
                <w:sz w:val="17"/>
              </w:rPr>
              <w:t>LP optimization</w:t>
            </w:r>
          </w:p>
        </w:tc>
        <w:tc>
          <w:tcPr>
            <w:tcW w:w="2880" w:type="dxa"/>
            <w:tcMar>
              <w:top w:w="90" w:type="dxa"/>
              <w:left w:w="100" w:type="dxa"/>
              <w:bottom w:w="90" w:type="dxa"/>
              <w:right w:w="100" w:type="dxa"/>
            </w:tcMar>
          </w:tcPr>
          <w:p w14:paraId="7E3D0951" w14:textId="77777777" w:rsidR="009E514E" w:rsidRDefault="004847DE">
            <w:pPr>
              <w:spacing w:after="20"/>
            </w:pPr>
            <w:r>
              <w:rPr>
                <w:sz w:val="17"/>
              </w:rPr>
              <w:t>PuLP + CBC</w:t>
            </w:r>
          </w:p>
        </w:tc>
        <w:tc>
          <w:tcPr>
            <w:tcW w:w="4896" w:type="dxa"/>
            <w:tcMar>
              <w:top w:w="90" w:type="dxa"/>
              <w:left w:w="100" w:type="dxa"/>
              <w:bottom w:w="90" w:type="dxa"/>
              <w:right w:w="100" w:type="dxa"/>
            </w:tcMar>
          </w:tcPr>
          <w:p w14:paraId="069B5DC4" w14:textId="77777777" w:rsidR="009E514E" w:rsidRDefault="004847DE">
            <w:pPr>
              <w:spacing w:after="20"/>
            </w:pPr>
            <w:r>
              <w:rPr>
                <w:sz w:val="17"/>
              </w:rPr>
              <w:t>Define continuous decision variables, linear constraints and objective; solve the LP.</w:t>
            </w:r>
          </w:p>
        </w:tc>
      </w:tr>
      <w:tr w:rsidR="009E514E" w14:paraId="25D5E2DD" w14:textId="77777777">
        <w:trPr>
          <w:jc w:val="center"/>
        </w:trPr>
        <w:tc>
          <w:tcPr>
            <w:tcW w:w="1944" w:type="dxa"/>
            <w:shd w:val="clear" w:color="auto" w:fill="F3F6F8"/>
            <w:tcMar>
              <w:top w:w="90" w:type="dxa"/>
              <w:left w:w="100" w:type="dxa"/>
              <w:bottom w:w="90" w:type="dxa"/>
              <w:right w:w="100" w:type="dxa"/>
            </w:tcMar>
          </w:tcPr>
          <w:p w14:paraId="015B55E2" w14:textId="77777777" w:rsidR="009E514E" w:rsidRDefault="004847DE">
            <w:pPr>
              <w:spacing w:after="20"/>
            </w:pPr>
            <w:r>
              <w:rPr>
                <w:sz w:val="17"/>
              </w:rPr>
              <w:t>Forecasting</w:t>
            </w:r>
          </w:p>
        </w:tc>
        <w:tc>
          <w:tcPr>
            <w:tcW w:w="2880" w:type="dxa"/>
            <w:shd w:val="clear" w:color="auto" w:fill="F3F6F8"/>
            <w:tcMar>
              <w:top w:w="90" w:type="dxa"/>
              <w:left w:w="100" w:type="dxa"/>
              <w:bottom w:w="90" w:type="dxa"/>
              <w:right w:w="100" w:type="dxa"/>
            </w:tcMar>
          </w:tcPr>
          <w:p w14:paraId="27FA7520" w14:textId="77777777" w:rsidR="009E514E" w:rsidRDefault="004847DE">
            <w:pPr>
              <w:spacing w:after="20"/>
            </w:pPr>
            <w:r>
              <w:rPr>
                <w:sz w:val="17"/>
              </w:rPr>
              <w:t>scikit-learn</w:t>
            </w:r>
          </w:p>
        </w:tc>
        <w:tc>
          <w:tcPr>
            <w:tcW w:w="4896" w:type="dxa"/>
            <w:shd w:val="clear" w:color="auto" w:fill="F3F6F8"/>
            <w:tcMar>
              <w:top w:w="90" w:type="dxa"/>
              <w:left w:w="100" w:type="dxa"/>
              <w:bottom w:w="90" w:type="dxa"/>
              <w:right w:w="100" w:type="dxa"/>
            </w:tcMar>
          </w:tcPr>
          <w:p w14:paraId="4E6C250A" w14:textId="77777777" w:rsidR="009E514E" w:rsidRDefault="004847DE">
            <w:pPr>
              <w:spacing w:after="20"/>
            </w:pPr>
            <w:r>
              <w:rPr>
                <w:sz w:val="17"/>
              </w:rPr>
              <w:t>Baseline and regression model; train/validation/test evaluation.</w:t>
            </w:r>
          </w:p>
        </w:tc>
      </w:tr>
      <w:tr w:rsidR="009E514E" w14:paraId="1B1D4932" w14:textId="77777777">
        <w:trPr>
          <w:jc w:val="center"/>
        </w:trPr>
        <w:tc>
          <w:tcPr>
            <w:tcW w:w="1944" w:type="dxa"/>
            <w:tcMar>
              <w:top w:w="90" w:type="dxa"/>
              <w:left w:w="100" w:type="dxa"/>
              <w:bottom w:w="90" w:type="dxa"/>
              <w:right w:w="100" w:type="dxa"/>
            </w:tcMar>
          </w:tcPr>
          <w:p w14:paraId="196CFB93" w14:textId="77777777" w:rsidR="009E514E" w:rsidRDefault="004847DE">
            <w:pPr>
              <w:spacing w:after="20"/>
            </w:pPr>
            <w:r>
              <w:rPr>
                <w:sz w:val="17"/>
              </w:rPr>
              <w:t>Plots</w:t>
            </w:r>
          </w:p>
        </w:tc>
        <w:tc>
          <w:tcPr>
            <w:tcW w:w="2880" w:type="dxa"/>
            <w:tcMar>
              <w:top w:w="90" w:type="dxa"/>
              <w:left w:w="100" w:type="dxa"/>
              <w:bottom w:w="90" w:type="dxa"/>
              <w:right w:w="100" w:type="dxa"/>
            </w:tcMar>
          </w:tcPr>
          <w:p w14:paraId="04FBEE3A" w14:textId="77777777" w:rsidR="009E514E" w:rsidRDefault="004847DE">
            <w:pPr>
              <w:spacing w:after="20"/>
            </w:pPr>
            <w:r>
              <w:rPr>
                <w:sz w:val="17"/>
              </w:rPr>
              <w:t>Matplotlib</w:t>
            </w:r>
          </w:p>
        </w:tc>
        <w:tc>
          <w:tcPr>
            <w:tcW w:w="4896" w:type="dxa"/>
            <w:tcMar>
              <w:top w:w="90" w:type="dxa"/>
              <w:left w:w="100" w:type="dxa"/>
              <w:bottom w:w="90" w:type="dxa"/>
              <w:right w:w="100" w:type="dxa"/>
            </w:tcMar>
          </w:tcPr>
          <w:p w14:paraId="4FEEE6E9" w14:textId="77777777" w:rsidR="009E514E" w:rsidRDefault="004847DE">
            <w:pPr>
              <w:spacing w:after="20"/>
            </w:pPr>
            <w:r>
              <w:rPr>
                <w:sz w:val="17"/>
              </w:rPr>
              <w:t>Grid-load profiles, forecasts and metric comparisons.</w:t>
            </w:r>
          </w:p>
        </w:tc>
      </w:tr>
      <w:tr w:rsidR="009E514E" w14:paraId="070C382E" w14:textId="77777777">
        <w:trPr>
          <w:jc w:val="center"/>
        </w:trPr>
        <w:tc>
          <w:tcPr>
            <w:tcW w:w="1944" w:type="dxa"/>
            <w:shd w:val="clear" w:color="auto" w:fill="F3F6F8"/>
            <w:tcMar>
              <w:top w:w="90" w:type="dxa"/>
              <w:left w:w="100" w:type="dxa"/>
              <w:bottom w:w="90" w:type="dxa"/>
              <w:right w:w="100" w:type="dxa"/>
            </w:tcMar>
          </w:tcPr>
          <w:p w14:paraId="4D8DC0C1" w14:textId="77777777" w:rsidR="009E514E" w:rsidRDefault="004847DE">
            <w:pPr>
              <w:spacing w:after="20"/>
            </w:pPr>
            <w:r>
              <w:rPr>
                <w:sz w:val="17"/>
              </w:rPr>
              <w:t>Version control</w:t>
            </w:r>
          </w:p>
        </w:tc>
        <w:tc>
          <w:tcPr>
            <w:tcW w:w="2880" w:type="dxa"/>
            <w:shd w:val="clear" w:color="auto" w:fill="F3F6F8"/>
            <w:tcMar>
              <w:top w:w="90" w:type="dxa"/>
              <w:left w:w="100" w:type="dxa"/>
              <w:bottom w:w="90" w:type="dxa"/>
              <w:right w:w="100" w:type="dxa"/>
            </w:tcMar>
          </w:tcPr>
          <w:p w14:paraId="522891CA" w14:textId="77777777" w:rsidR="009E514E" w:rsidRDefault="004847DE">
            <w:pPr>
              <w:spacing w:after="20"/>
            </w:pPr>
            <w:r>
              <w:rPr>
                <w:sz w:val="17"/>
              </w:rPr>
              <w:t>GitHub + GitHub Desktop</w:t>
            </w:r>
          </w:p>
        </w:tc>
        <w:tc>
          <w:tcPr>
            <w:tcW w:w="4896" w:type="dxa"/>
            <w:shd w:val="clear" w:color="auto" w:fill="F3F6F8"/>
            <w:tcMar>
              <w:top w:w="90" w:type="dxa"/>
              <w:left w:w="100" w:type="dxa"/>
              <w:bottom w:w="90" w:type="dxa"/>
              <w:right w:w="100" w:type="dxa"/>
            </w:tcMar>
          </w:tcPr>
          <w:p w14:paraId="796DDEE0" w14:textId="77777777" w:rsidR="009E514E" w:rsidRDefault="004847DE">
            <w:pPr>
              <w:spacing w:after="20"/>
            </w:pPr>
            <w:r>
              <w:rPr>
                <w:sz w:val="17"/>
              </w:rPr>
              <w:t>Separate branches, commits, code review and integration.</w:t>
            </w:r>
          </w:p>
        </w:tc>
      </w:tr>
      <w:tr w:rsidR="009E514E" w14:paraId="2083056D" w14:textId="77777777">
        <w:trPr>
          <w:jc w:val="center"/>
        </w:trPr>
        <w:tc>
          <w:tcPr>
            <w:tcW w:w="1944" w:type="dxa"/>
            <w:tcMar>
              <w:top w:w="90" w:type="dxa"/>
              <w:left w:w="100" w:type="dxa"/>
              <w:bottom w:w="90" w:type="dxa"/>
              <w:right w:w="100" w:type="dxa"/>
            </w:tcMar>
          </w:tcPr>
          <w:p w14:paraId="7AD3F979" w14:textId="77777777" w:rsidR="009E514E" w:rsidRDefault="004847DE">
            <w:pPr>
              <w:spacing w:after="20"/>
            </w:pPr>
            <w:r>
              <w:rPr>
                <w:sz w:val="17"/>
              </w:rPr>
              <w:t>Testing</w:t>
            </w:r>
          </w:p>
        </w:tc>
        <w:tc>
          <w:tcPr>
            <w:tcW w:w="2880" w:type="dxa"/>
            <w:tcMar>
              <w:top w:w="90" w:type="dxa"/>
              <w:left w:w="100" w:type="dxa"/>
              <w:bottom w:w="90" w:type="dxa"/>
              <w:right w:w="100" w:type="dxa"/>
            </w:tcMar>
          </w:tcPr>
          <w:p w14:paraId="3116A313" w14:textId="77777777" w:rsidR="009E514E" w:rsidRDefault="004847DE">
            <w:pPr>
              <w:spacing w:after="20"/>
            </w:pPr>
            <w:r>
              <w:rPr>
                <w:sz w:val="17"/>
              </w:rPr>
              <w:t>pytest (optional but recommended)</w:t>
            </w:r>
          </w:p>
        </w:tc>
        <w:tc>
          <w:tcPr>
            <w:tcW w:w="4896" w:type="dxa"/>
            <w:tcMar>
              <w:top w:w="90" w:type="dxa"/>
              <w:left w:w="100" w:type="dxa"/>
              <w:bottom w:w="90" w:type="dxa"/>
              <w:right w:w="100" w:type="dxa"/>
            </w:tcMar>
          </w:tcPr>
          <w:p w14:paraId="4C7ADD27" w14:textId="77777777" w:rsidR="009E514E" w:rsidRDefault="004847DE">
            <w:pPr>
              <w:spacing w:after="20"/>
            </w:pPr>
            <w:r>
              <w:rPr>
                <w:sz w:val="17"/>
              </w:rPr>
              <w:t>Automated checks for energy delivery, limits, schedules and metrics.</w:t>
            </w:r>
          </w:p>
        </w:tc>
      </w:tr>
      <w:tr w:rsidR="009E514E" w14:paraId="08D5F9A0" w14:textId="77777777">
        <w:trPr>
          <w:jc w:val="center"/>
        </w:trPr>
        <w:tc>
          <w:tcPr>
            <w:tcW w:w="1944" w:type="dxa"/>
            <w:shd w:val="clear" w:color="auto" w:fill="F3F6F8"/>
            <w:tcMar>
              <w:top w:w="90" w:type="dxa"/>
              <w:left w:w="100" w:type="dxa"/>
              <w:bottom w:w="90" w:type="dxa"/>
              <w:right w:w="100" w:type="dxa"/>
            </w:tcMar>
          </w:tcPr>
          <w:p w14:paraId="5D73DB6C" w14:textId="77777777" w:rsidR="009E514E" w:rsidRDefault="004847DE">
            <w:pPr>
              <w:spacing w:after="20"/>
            </w:pPr>
            <w:r>
              <w:rPr>
                <w:sz w:val="17"/>
              </w:rPr>
              <w:t>Data format</w:t>
            </w:r>
          </w:p>
        </w:tc>
        <w:tc>
          <w:tcPr>
            <w:tcW w:w="2880" w:type="dxa"/>
            <w:shd w:val="clear" w:color="auto" w:fill="F3F6F8"/>
            <w:tcMar>
              <w:top w:w="90" w:type="dxa"/>
              <w:left w:w="100" w:type="dxa"/>
              <w:bottom w:w="90" w:type="dxa"/>
              <w:right w:w="100" w:type="dxa"/>
            </w:tcMar>
          </w:tcPr>
          <w:p w14:paraId="40B59A3F" w14:textId="77777777" w:rsidR="009E514E" w:rsidRDefault="004847DE">
            <w:pPr>
              <w:spacing w:after="20"/>
            </w:pPr>
            <w:r>
              <w:rPr>
                <w:sz w:val="17"/>
              </w:rPr>
              <w:t>CSV</w:t>
            </w:r>
          </w:p>
        </w:tc>
        <w:tc>
          <w:tcPr>
            <w:tcW w:w="4896" w:type="dxa"/>
            <w:shd w:val="clear" w:color="auto" w:fill="F3F6F8"/>
            <w:tcMar>
              <w:top w:w="90" w:type="dxa"/>
              <w:left w:w="100" w:type="dxa"/>
              <w:bottom w:w="90" w:type="dxa"/>
              <w:right w:w="100" w:type="dxa"/>
            </w:tcMar>
          </w:tcPr>
          <w:p w14:paraId="11EB3ED4" w14:textId="77777777" w:rsidR="009E514E" w:rsidRDefault="004847DE">
            <w:pPr>
              <w:spacing w:after="20"/>
            </w:pPr>
            <w:r>
              <w:rPr>
                <w:sz w:val="17"/>
              </w:rPr>
              <w:t>Processed input scenarios, forecasts, schedules and final metrics.</w:t>
            </w:r>
          </w:p>
        </w:tc>
      </w:tr>
    </w:tbl>
    <w:p w14:paraId="13D621DB" w14:textId="77777777" w:rsidR="009E514E" w:rsidRDefault="009E514E">
      <w:pPr>
        <w:spacing w:after="0"/>
      </w:pPr>
    </w:p>
    <w:p w14:paraId="18DD80EA" w14:textId="77777777" w:rsidR="009E514E" w:rsidRDefault="004847DE">
      <w:pPr>
        <w:pStyle w:val="SmallNote"/>
      </w:pPr>
      <w:r>
        <w:t>Keep the first implementation as a Python project with CSV inputs and outputs. A frontend, database, cloud deployment or physical charger integration is not required unless the coursework explicitly asks for it.</w:t>
      </w:r>
    </w:p>
    <w:p w14:paraId="04A746E3" w14:textId="77777777" w:rsidR="009E514E" w:rsidRDefault="004847DE">
      <w:pPr>
        <w:pStyle w:val="Heading1"/>
      </w:pPr>
      <w:r>
        <w:t>3. Shared technical specification — agree before coding</w:t>
      </w:r>
    </w:p>
    <w:p w14:paraId="20571695" w14:textId="77777777" w:rsidR="009E514E" w:rsidRDefault="004847DE">
      <w:r>
        <w:t>Before strategy work begins, the team should agree on the following shared conventions. They are interface decisions, not dataset claims; revise them if the actual data requires it.</w:t>
      </w:r>
    </w:p>
    <w:tbl>
      <w:tblPr>
        <w:tblStyle w:val="TableGrid"/>
        <w:tblW w:w="0" w:type="auto"/>
        <w:jc w:val="center"/>
        <w:tblLayout w:type="fixed"/>
        <w:tblLook w:val="04A0" w:firstRow="1" w:lastRow="0" w:firstColumn="1" w:lastColumn="0" w:noHBand="0" w:noVBand="1"/>
      </w:tblPr>
      <w:tblGrid>
        <w:gridCol w:w="2160"/>
        <w:gridCol w:w="7560"/>
      </w:tblGrid>
      <w:tr w:rsidR="009E514E" w14:paraId="7B0C07BD" w14:textId="77777777">
        <w:trPr>
          <w:tblHeader/>
          <w:jc w:val="center"/>
        </w:trPr>
        <w:tc>
          <w:tcPr>
            <w:tcW w:w="2160" w:type="dxa"/>
            <w:shd w:val="clear" w:color="auto" w:fill="16324F"/>
            <w:tcMar>
              <w:top w:w="90" w:type="dxa"/>
              <w:left w:w="100" w:type="dxa"/>
              <w:bottom w:w="90" w:type="dxa"/>
              <w:right w:w="100" w:type="dxa"/>
            </w:tcMar>
            <w:vAlign w:val="center"/>
          </w:tcPr>
          <w:p w14:paraId="480A1ABC" w14:textId="77777777" w:rsidR="009E514E" w:rsidRDefault="004847DE">
            <w:pPr>
              <w:spacing w:after="0"/>
            </w:pPr>
            <w:r>
              <w:rPr>
                <w:b/>
                <w:color w:val="FFFFFF"/>
                <w:sz w:val="17"/>
              </w:rPr>
              <w:t>Item</w:t>
            </w:r>
          </w:p>
        </w:tc>
        <w:tc>
          <w:tcPr>
            <w:tcW w:w="7560" w:type="dxa"/>
            <w:shd w:val="clear" w:color="auto" w:fill="16324F"/>
            <w:tcMar>
              <w:top w:w="90" w:type="dxa"/>
              <w:left w:w="100" w:type="dxa"/>
              <w:bottom w:w="90" w:type="dxa"/>
              <w:right w:w="100" w:type="dxa"/>
            </w:tcMar>
            <w:vAlign w:val="center"/>
          </w:tcPr>
          <w:p w14:paraId="46B07883" w14:textId="77777777" w:rsidR="009E514E" w:rsidRDefault="004847DE">
            <w:pPr>
              <w:spacing w:after="0"/>
            </w:pPr>
            <w:r>
              <w:rPr>
                <w:b/>
                <w:color w:val="FFFFFF"/>
                <w:sz w:val="17"/>
              </w:rPr>
              <w:t>Required convention</w:t>
            </w:r>
          </w:p>
        </w:tc>
      </w:tr>
      <w:tr w:rsidR="009E514E" w14:paraId="55C66CDB" w14:textId="77777777">
        <w:trPr>
          <w:jc w:val="center"/>
        </w:trPr>
        <w:tc>
          <w:tcPr>
            <w:tcW w:w="2160" w:type="dxa"/>
            <w:tcMar>
              <w:top w:w="90" w:type="dxa"/>
              <w:left w:w="100" w:type="dxa"/>
              <w:bottom w:w="90" w:type="dxa"/>
              <w:right w:w="100" w:type="dxa"/>
            </w:tcMar>
          </w:tcPr>
          <w:p w14:paraId="1791C8CF" w14:textId="77777777" w:rsidR="009E514E" w:rsidRDefault="004847DE">
            <w:pPr>
              <w:spacing w:after="20"/>
            </w:pPr>
            <w:r>
              <w:rPr>
                <w:sz w:val="17"/>
              </w:rPr>
              <w:t>Time slots</w:t>
            </w:r>
          </w:p>
        </w:tc>
        <w:tc>
          <w:tcPr>
            <w:tcW w:w="7560" w:type="dxa"/>
            <w:tcMar>
              <w:top w:w="90" w:type="dxa"/>
              <w:left w:w="100" w:type="dxa"/>
              <w:bottom w:w="90" w:type="dxa"/>
              <w:right w:w="100" w:type="dxa"/>
            </w:tcMar>
          </w:tcPr>
          <w:p w14:paraId="4ED17D72" w14:textId="77777777" w:rsidR="009E514E" w:rsidRDefault="004847DE">
            <w:pPr>
              <w:spacing w:after="20"/>
            </w:pPr>
            <w:r>
              <w:rPr>
                <w:sz w:val="17"/>
              </w:rPr>
              <w:t>Choose one fixed interval, such as 1 hour, after inspecting the dataset. Store its duration as Δt in hours.</w:t>
            </w:r>
          </w:p>
        </w:tc>
      </w:tr>
      <w:tr w:rsidR="009E514E" w14:paraId="4C8CE4A1" w14:textId="77777777">
        <w:trPr>
          <w:jc w:val="center"/>
        </w:trPr>
        <w:tc>
          <w:tcPr>
            <w:tcW w:w="2160" w:type="dxa"/>
            <w:shd w:val="clear" w:color="auto" w:fill="F3F6F8"/>
            <w:tcMar>
              <w:top w:w="90" w:type="dxa"/>
              <w:left w:w="100" w:type="dxa"/>
              <w:bottom w:w="90" w:type="dxa"/>
              <w:right w:w="100" w:type="dxa"/>
            </w:tcMar>
          </w:tcPr>
          <w:p w14:paraId="384B03B9" w14:textId="77777777" w:rsidR="009E514E" w:rsidRDefault="004847DE">
            <w:pPr>
              <w:spacing w:after="20"/>
            </w:pPr>
            <w:r>
              <w:rPr>
                <w:sz w:val="17"/>
              </w:rPr>
              <w:t>Power and energy</w:t>
            </w:r>
          </w:p>
        </w:tc>
        <w:tc>
          <w:tcPr>
            <w:tcW w:w="7560" w:type="dxa"/>
            <w:shd w:val="clear" w:color="auto" w:fill="F3F6F8"/>
            <w:tcMar>
              <w:top w:w="90" w:type="dxa"/>
              <w:left w:w="100" w:type="dxa"/>
              <w:bottom w:w="90" w:type="dxa"/>
              <w:right w:w="100" w:type="dxa"/>
            </w:tcMar>
          </w:tcPr>
          <w:p w14:paraId="30DA94D8" w14:textId="77777777" w:rsidR="009E514E" w:rsidRDefault="004847DE">
            <w:pPr>
              <w:spacing w:after="20"/>
            </w:pPr>
            <w:r>
              <w:rPr>
                <w:sz w:val="17"/>
              </w:rPr>
              <w:t>Power in kW; energy in kWh; price in currency/kWh; emissions in kg CO₂.</w:t>
            </w:r>
          </w:p>
        </w:tc>
      </w:tr>
      <w:tr w:rsidR="009E514E" w14:paraId="10F5E112" w14:textId="77777777">
        <w:trPr>
          <w:jc w:val="center"/>
        </w:trPr>
        <w:tc>
          <w:tcPr>
            <w:tcW w:w="2160" w:type="dxa"/>
            <w:tcMar>
              <w:top w:w="90" w:type="dxa"/>
              <w:left w:w="100" w:type="dxa"/>
              <w:bottom w:w="90" w:type="dxa"/>
              <w:right w:w="100" w:type="dxa"/>
            </w:tcMar>
          </w:tcPr>
          <w:p w14:paraId="542BDD3D" w14:textId="77777777" w:rsidR="009E514E" w:rsidRDefault="004847DE">
            <w:pPr>
              <w:spacing w:after="20"/>
            </w:pPr>
            <w:r>
              <w:rPr>
                <w:sz w:val="17"/>
              </w:rPr>
              <w:t>EV fields</w:t>
            </w:r>
          </w:p>
        </w:tc>
        <w:tc>
          <w:tcPr>
            <w:tcW w:w="7560" w:type="dxa"/>
            <w:tcMar>
              <w:top w:w="90" w:type="dxa"/>
              <w:left w:w="100" w:type="dxa"/>
              <w:bottom w:w="90" w:type="dxa"/>
              <w:right w:w="100" w:type="dxa"/>
            </w:tcMar>
          </w:tcPr>
          <w:p w14:paraId="31D34474" w14:textId="77777777" w:rsidR="009E514E" w:rsidRDefault="004847DE">
            <w:pPr>
              <w:spacing w:after="20"/>
            </w:pPr>
            <w:r>
              <w:rPr>
                <w:sz w:val="17"/>
              </w:rPr>
              <w:t>ev_id, arrival time/slot, departure time/slot, required energy, maximum charging power and (if applicable) charging efficiency.</w:t>
            </w:r>
          </w:p>
        </w:tc>
      </w:tr>
      <w:tr w:rsidR="009E514E" w14:paraId="4E05AB27" w14:textId="77777777">
        <w:trPr>
          <w:jc w:val="center"/>
        </w:trPr>
        <w:tc>
          <w:tcPr>
            <w:tcW w:w="2160" w:type="dxa"/>
            <w:shd w:val="clear" w:color="auto" w:fill="F3F6F8"/>
            <w:tcMar>
              <w:top w:w="90" w:type="dxa"/>
              <w:left w:w="100" w:type="dxa"/>
              <w:bottom w:w="90" w:type="dxa"/>
              <w:right w:w="100" w:type="dxa"/>
            </w:tcMar>
          </w:tcPr>
          <w:p w14:paraId="43C83B97" w14:textId="77777777" w:rsidR="009E514E" w:rsidRDefault="004847DE">
            <w:pPr>
              <w:spacing w:after="20"/>
            </w:pPr>
            <w:r>
              <w:rPr>
                <w:sz w:val="17"/>
              </w:rPr>
              <w:t>Time-series fields</w:t>
            </w:r>
          </w:p>
        </w:tc>
        <w:tc>
          <w:tcPr>
            <w:tcW w:w="7560" w:type="dxa"/>
            <w:shd w:val="clear" w:color="auto" w:fill="F3F6F8"/>
            <w:tcMar>
              <w:top w:w="90" w:type="dxa"/>
              <w:left w:w="100" w:type="dxa"/>
              <w:bottom w:w="90" w:type="dxa"/>
              <w:right w:w="100" w:type="dxa"/>
            </w:tcMar>
          </w:tcPr>
          <w:p w14:paraId="73A2F7B4" w14:textId="77777777" w:rsidR="009E514E" w:rsidRDefault="004847DE">
            <w:pPr>
              <w:spacing w:after="20"/>
            </w:pPr>
            <w:r>
              <w:rPr>
                <w:sz w:val="17"/>
              </w:rPr>
              <w:t>timestamp, solar available power, non-EV base load and electricity tariff.</w:t>
            </w:r>
          </w:p>
        </w:tc>
      </w:tr>
      <w:tr w:rsidR="009E514E" w14:paraId="195F72EA" w14:textId="77777777">
        <w:trPr>
          <w:jc w:val="center"/>
        </w:trPr>
        <w:tc>
          <w:tcPr>
            <w:tcW w:w="2160" w:type="dxa"/>
            <w:tcMar>
              <w:top w:w="90" w:type="dxa"/>
              <w:left w:w="100" w:type="dxa"/>
              <w:bottom w:w="90" w:type="dxa"/>
              <w:right w:w="100" w:type="dxa"/>
            </w:tcMar>
          </w:tcPr>
          <w:p w14:paraId="4A83CD43" w14:textId="77777777" w:rsidR="009E514E" w:rsidRDefault="004847DE">
            <w:pPr>
              <w:spacing w:after="20"/>
            </w:pPr>
            <w:r>
              <w:rPr>
                <w:sz w:val="17"/>
              </w:rPr>
              <w:t>Charging output</w:t>
            </w:r>
          </w:p>
        </w:tc>
        <w:tc>
          <w:tcPr>
            <w:tcW w:w="7560" w:type="dxa"/>
            <w:tcMar>
              <w:top w:w="90" w:type="dxa"/>
              <w:left w:w="100" w:type="dxa"/>
              <w:bottom w:w="90" w:type="dxa"/>
              <w:right w:w="100" w:type="dxa"/>
            </w:tcMar>
          </w:tcPr>
          <w:p w14:paraId="3D6651DD" w14:textId="77777777" w:rsidR="009E514E" w:rsidRDefault="004847DE">
            <w:pPr>
              <w:spacing w:after="20"/>
            </w:pPr>
            <w:r>
              <w:rPr>
                <w:sz w:val="17"/>
              </w:rPr>
              <w:t>One row per EV and time slot, including ev_id, timestamp and charging_power_kw. A shared evaluator derives total EV load and grid metrics.</w:t>
            </w:r>
          </w:p>
        </w:tc>
      </w:tr>
      <w:tr w:rsidR="009E514E" w14:paraId="1444DA9D" w14:textId="77777777">
        <w:trPr>
          <w:jc w:val="center"/>
        </w:trPr>
        <w:tc>
          <w:tcPr>
            <w:tcW w:w="2160" w:type="dxa"/>
            <w:shd w:val="clear" w:color="auto" w:fill="F3F6F8"/>
            <w:tcMar>
              <w:top w:w="90" w:type="dxa"/>
              <w:left w:w="100" w:type="dxa"/>
              <w:bottom w:w="90" w:type="dxa"/>
              <w:right w:w="100" w:type="dxa"/>
            </w:tcMar>
          </w:tcPr>
          <w:p w14:paraId="7DC8367F" w14:textId="77777777" w:rsidR="009E514E" w:rsidRDefault="004847DE">
            <w:pPr>
              <w:spacing w:after="20"/>
            </w:pPr>
            <w:r>
              <w:rPr>
                <w:sz w:val="17"/>
              </w:rPr>
              <w:t>Efficiency convention</w:t>
            </w:r>
          </w:p>
        </w:tc>
        <w:tc>
          <w:tcPr>
            <w:tcW w:w="7560" w:type="dxa"/>
            <w:shd w:val="clear" w:color="auto" w:fill="F3F6F8"/>
            <w:tcMar>
              <w:top w:w="90" w:type="dxa"/>
              <w:left w:w="100" w:type="dxa"/>
              <w:bottom w:w="90" w:type="dxa"/>
              <w:right w:w="100" w:type="dxa"/>
            </w:tcMar>
          </w:tcPr>
          <w:p w14:paraId="04DFAEE3" w14:textId="77777777" w:rsidR="009E514E" w:rsidRDefault="004847DE">
            <w:pPr>
              <w:spacing w:after="20"/>
            </w:pPr>
            <w:r>
              <w:rPr>
                <w:sz w:val="17"/>
              </w:rPr>
              <w:t>Decide whether required energy means battery energy or grid-side energy. Apply efficiency exactly once.</w:t>
            </w:r>
          </w:p>
        </w:tc>
      </w:tr>
      <w:tr w:rsidR="009E514E" w14:paraId="2C2454FF" w14:textId="77777777">
        <w:trPr>
          <w:jc w:val="center"/>
        </w:trPr>
        <w:tc>
          <w:tcPr>
            <w:tcW w:w="2160" w:type="dxa"/>
            <w:tcMar>
              <w:top w:w="90" w:type="dxa"/>
              <w:left w:w="100" w:type="dxa"/>
              <w:bottom w:w="90" w:type="dxa"/>
              <w:right w:w="100" w:type="dxa"/>
            </w:tcMar>
          </w:tcPr>
          <w:p w14:paraId="30836997" w14:textId="77777777" w:rsidR="009E514E" w:rsidRDefault="004847DE">
            <w:pPr>
              <w:spacing w:after="20"/>
            </w:pPr>
            <w:r>
              <w:rPr>
                <w:sz w:val="17"/>
              </w:rPr>
              <w:t>Availability</w:t>
            </w:r>
          </w:p>
        </w:tc>
        <w:tc>
          <w:tcPr>
            <w:tcW w:w="7560" w:type="dxa"/>
            <w:tcMar>
              <w:top w:w="90" w:type="dxa"/>
              <w:left w:w="100" w:type="dxa"/>
              <w:bottom w:w="90" w:type="dxa"/>
              <w:right w:w="100" w:type="dxa"/>
            </w:tcMar>
          </w:tcPr>
          <w:p w14:paraId="3C76944E" w14:textId="77777777" w:rsidR="009E514E" w:rsidRDefault="004847DE">
            <w:pPr>
              <w:spacing w:after="20"/>
            </w:pPr>
            <w:r>
              <w:rPr>
                <w:sz w:val="17"/>
              </w:rPr>
              <w:t>Charging power must be zero outside the EV's availability window.</w:t>
            </w:r>
          </w:p>
        </w:tc>
      </w:tr>
      <w:tr w:rsidR="009E514E" w14:paraId="472D6CEE" w14:textId="77777777">
        <w:trPr>
          <w:jc w:val="center"/>
        </w:trPr>
        <w:tc>
          <w:tcPr>
            <w:tcW w:w="2160" w:type="dxa"/>
            <w:shd w:val="clear" w:color="auto" w:fill="F3F6F8"/>
            <w:tcMar>
              <w:top w:w="90" w:type="dxa"/>
              <w:left w:w="100" w:type="dxa"/>
              <w:bottom w:w="90" w:type="dxa"/>
              <w:right w:w="100" w:type="dxa"/>
            </w:tcMar>
          </w:tcPr>
          <w:p w14:paraId="08DD7A41" w14:textId="77777777" w:rsidR="009E514E" w:rsidRDefault="004847DE">
            <w:pPr>
              <w:spacing w:after="20"/>
            </w:pPr>
            <w:r>
              <w:rPr>
                <w:sz w:val="17"/>
              </w:rPr>
              <w:t>Infeasible sessions</w:t>
            </w:r>
          </w:p>
        </w:tc>
        <w:tc>
          <w:tcPr>
            <w:tcW w:w="7560" w:type="dxa"/>
            <w:shd w:val="clear" w:color="auto" w:fill="F3F6F8"/>
            <w:tcMar>
              <w:top w:w="90" w:type="dxa"/>
              <w:left w:w="100" w:type="dxa"/>
              <w:bottom w:w="90" w:type="dxa"/>
              <w:right w:w="100" w:type="dxa"/>
            </w:tcMar>
          </w:tcPr>
          <w:p w14:paraId="33A7CB42" w14:textId="77777777" w:rsidR="009E514E" w:rsidRDefault="004847DE">
            <w:pPr>
              <w:spacing w:after="20"/>
            </w:pPr>
            <w:r>
              <w:rPr>
                <w:sz w:val="17"/>
              </w:rPr>
              <w:t>Flag and report sessions that cannot physically receive the requested energy; do not silently claim they are feasible.</w:t>
            </w:r>
          </w:p>
        </w:tc>
      </w:tr>
      <w:tr w:rsidR="009E514E" w14:paraId="34A488B2" w14:textId="77777777">
        <w:trPr>
          <w:jc w:val="center"/>
        </w:trPr>
        <w:tc>
          <w:tcPr>
            <w:tcW w:w="2160" w:type="dxa"/>
            <w:tcMar>
              <w:top w:w="90" w:type="dxa"/>
              <w:left w:w="100" w:type="dxa"/>
              <w:bottom w:w="90" w:type="dxa"/>
              <w:right w:w="100" w:type="dxa"/>
            </w:tcMar>
          </w:tcPr>
          <w:p w14:paraId="34B8CB04" w14:textId="77777777" w:rsidR="009E514E" w:rsidRDefault="004847DE">
            <w:pPr>
              <w:spacing w:after="20"/>
            </w:pPr>
            <w:r>
              <w:rPr>
                <w:sz w:val="17"/>
              </w:rPr>
              <w:t>Test split</w:t>
            </w:r>
          </w:p>
        </w:tc>
        <w:tc>
          <w:tcPr>
            <w:tcW w:w="7560" w:type="dxa"/>
            <w:tcMar>
              <w:top w:w="90" w:type="dxa"/>
              <w:left w:w="100" w:type="dxa"/>
              <w:bottom w:w="90" w:type="dxa"/>
              <w:right w:w="100" w:type="dxa"/>
            </w:tcMar>
          </w:tcPr>
          <w:p w14:paraId="30512927" w14:textId="77777777" w:rsidR="009E514E" w:rsidRDefault="004847DE">
            <w:pPr>
              <w:spacing w:after="20"/>
            </w:pPr>
            <w:r>
              <w:rPr>
                <w:sz w:val="17"/>
              </w:rPr>
              <w:t>Use chronological train/validation/test periods for time-series forecasting.</w:t>
            </w:r>
          </w:p>
        </w:tc>
      </w:tr>
    </w:tbl>
    <w:p w14:paraId="271CF21A" w14:textId="77777777" w:rsidR="009E514E" w:rsidRDefault="009E514E">
      <w:pPr>
        <w:spacing w:after="0"/>
      </w:pPr>
    </w:p>
    <w:p w14:paraId="1C809654" w14:textId="6B95DBD9" w:rsidR="009E514E" w:rsidRDefault="004847DE" w:rsidP="00D63FFE">
      <w:pPr>
        <w:pStyle w:val="Heading1"/>
        <w:tabs>
          <w:tab w:val="left" w:pos="7075"/>
        </w:tabs>
      </w:pPr>
      <w:r>
        <w:lastRenderedPageBreak/>
        <w:t>4. Role 1 — Uncontrolled charging</w:t>
      </w:r>
      <w:r w:rsidR="00D63FFE">
        <w:tab/>
      </w:r>
    </w:p>
    <w:p w14:paraId="0C13E7EA" w14:textId="77777777" w:rsidR="009E514E" w:rsidRDefault="004847DE">
      <w:r>
        <w:t>Owner: Member 1</w:t>
      </w:r>
    </w:p>
    <w:tbl>
      <w:tblPr>
        <w:tblW w:w="0" w:type="auto"/>
        <w:jc w:val="center"/>
        <w:tblLook w:val="04A0" w:firstRow="1" w:lastRow="0" w:firstColumn="1" w:lastColumn="0" w:noHBand="0" w:noVBand="1"/>
      </w:tblPr>
      <w:tblGrid>
        <w:gridCol w:w="9994"/>
      </w:tblGrid>
      <w:tr w:rsidR="009E514E" w14:paraId="42260A04" w14:textId="77777777">
        <w:trPr>
          <w:jc w:val="center"/>
        </w:trPr>
        <w:tc>
          <w:tcPr>
            <w:tcW w:w="9994" w:type="dxa"/>
            <w:shd w:val="clear" w:color="auto" w:fill="EAF3F8"/>
            <w:tcMar>
              <w:top w:w="140" w:type="dxa"/>
              <w:left w:w="170" w:type="dxa"/>
              <w:bottom w:w="140" w:type="dxa"/>
              <w:right w:w="170" w:type="dxa"/>
            </w:tcMar>
          </w:tcPr>
          <w:p w14:paraId="72B4B5DA" w14:textId="77777777" w:rsidR="009E514E" w:rsidRDefault="004847DE">
            <w:pPr>
              <w:spacing w:after="60"/>
            </w:pPr>
            <w:r>
              <w:rPr>
                <w:b/>
                <w:color w:val="16324F"/>
              </w:rPr>
              <w:t>Role objective</w:t>
            </w:r>
          </w:p>
          <w:p w14:paraId="19B14EBB" w14:textId="77777777" w:rsidR="009E514E" w:rsidRDefault="004847DE">
            <w:pPr>
              <w:spacing w:after="0"/>
            </w:pPr>
            <w:r>
              <w:t>Build the reference baseline that charges each EV as soon as it arrives, at its maximum allowed charging power, until its required energy is delivered or its charging window ends. This is a simulation rule, not an optimization problem.</w:t>
            </w:r>
          </w:p>
        </w:tc>
      </w:tr>
    </w:tbl>
    <w:p w14:paraId="485B0A21" w14:textId="77777777" w:rsidR="009E514E" w:rsidRDefault="009E514E">
      <w:pPr>
        <w:spacing w:after="0"/>
      </w:pPr>
    </w:p>
    <w:p w14:paraId="67A0632F" w14:textId="77777777" w:rsidR="009E514E" w:rsidRDefault="004847DE">
      <w:pPr>
        <w:pStyle w:val="Heading2"/>
      </w:pPr>
      <w:r>
        <w:t>Step-by-step procedure</w:t>
      </w:r>
    </w:p>
    <w:p w14:paraId="0F0A020E" w14:textId="77777777" w:rsidR="009E514E" w:rsidRDefault="004847DE">
      <w:pPr>
        <w:pStyle w:val="ListNumber"/>
      </w:pPr>
      <w:r>
        <w:rPr>
          <w:b/>
        </w:rPr>
        <w:t xml:space="preserve">Define the function contract — </w:t>
      </w:r>
      <w:r>
        <w:t>Create a function such as run_uncontrolled(scenario) that accepts the shared scenario structure and returns a charging schedule in the agreed output schema.</w:t>
      </w:r>
    </w:p>
    <w:p w14:paraId="0DFD8FDB" w14:textId="77777777" w:rsidR="009E514E" w:rsidRDefault="004847DE">
      <w:pPr>
        <w:pStyle w:val="ListNumber"/>
      </w:pPr>
      <w:r>
        <w:rPr>
          <w:b/>
        </w:rPr>
        <w:t xml:space="preserve">Represent the time axis — </w:t>
      </w:r>
      <w:r>
        <w:t>Use the common timestamps or integer time-slot indices. Confirm whether the departure slot is exclusive and document the convention.</w:t>
      </w:r>
    </w:p>
    <w:p w14:paraId="538483F2" w14:textId="77777777" w:rsidR="009E514E" w:rsidRDefault="004847DE">
      <w:pPr>
        <w:pStyle w:val="ListNumber"/>
      </w:pPr>
      <w:r>
        <w:rPr>
          <w:b/>
        </w:rPr>
        <w:t xml:space="preserve">Track remaining energy — </w:t>
      </w:r>
      <w:r>
        <w:t>For each EV, initialize remaining energy using the agreed energy convention. If the required amount is battery-side energy, account for charging efficiency consistently.</w:t>
      </w:r>
    </w:p>
    <w:p w14:paraId="1DC6CE62" w14:textId="77777777" w:rsidR="009E514E" w:rsidRDefault="004847DE">
      <w:pPr>
        <w:pStyle w:val="ListNumber"/>
      </w:pPr>
      <w:r>
        <w:rPr>
          <w:b/>
        </w:rPr>
        <w:t xml:space="preserve">Simulate each available slot — </w:t>
      </w:r>
      <w:r>
        <w:t>For every slot during which the EV is connected, assign the minimum of maximum charger power and the power needed to finish the remaining energy in that slot. Use the interval duration and efficiency correctly.</w:t>
      </w:r>
    </w:p>
    <w:p w14:paraId="6EE8358E" w14:textId="77777777" w:rsidR="009E514E" w:rsidRDefault="004847DE">
      <w:pPr>
        <w:pStyle w:val="ListNumber"/>
      </w:pPr>
      <w:r>
        <w:rPr>
          <w:b/>
        </w:rPr>
        <w:t xml:space="preserve">Stop when complete — </w:t>
      </w:r>
      <w:r>
        <w:t>Once the required energy is reached, assign zero power in later slots. Never continue charging merely because the EV remains connected.</w:t>
      </w:r>
    </w:p>
    <w:p w14:paraId="5D5B6C04" w14:textId="77777777" w:rsidR="009E514E" w:rsidRDefault="004847DE">
      <w:pPr>
        <w:pStyle w:val="ListNumber"/>
      </w:pPr>
      <w:r>
        <w:rPr>
          <w:b/>
        </w:rPr>
        <w:t xml:space="preserve">Handle deadlines and infeasibility — </w:t>
      </w:r>
      <w:r>
        <w:t>If the EV leaves before enough energy can be delivered, mark the session as unmet/infeasible and record the energy shortfall. Do not hide the failure.</w:t>
      </w:r>
    </w:p>
    <w:p w14:paraId="174BB0CB" w14:textId="77777777" w:rsidR="009E514E" w:rsidRDefault="004847DE">
      <w:pPr>
        <w:pStyle w:val="ListNumber"/>
      </w:pPr>
      <w:r>
        <w:rPr>
          <w:b/>
        </w:rPr>
        <w:t xml:space="preserve">Return a complete schedule — </w:t>
      </w:r>
      <w:r>
        <w:t>Return the same columns and units as the other strategies. The strategy should not calculate its own differently defined final metrics.</w:t>
      </w:r>
    </w:p>
    <w:p w14:paraId="4DCA1F55" w14:textId="77777777" w:rsidR="009E514E" w:rsidRDefault="004847DE">
      <w:pPr>
        <w:pStyle w:val="ListNumber"/>
      </w:pPr>
      <w:r>
        <w:rPr>
          <w:b/>
        </w:rPr>
        <w:t xml:space="preserve">Test with tiny scenarios — </w:t>
      </w:r>
      <w:r>
        <w:t>Test one EV, one-slot charging, an EV requiring multiple slots, an EV arriving late, exact slot-boundary arrivals/departures, and an infeasible energy request.</w:t>
      </w:r>
    </w:p>
    <w:p w14:paraId="5E20D393" w14:textId="77777777" w:rsidR="009E514E" w:rsidRDefault="004847DE">
      <w:pPr>
        <w:pStyle w:val="ListNumber"/>
      </w:pPr>
      <w:r>
        <w:rPr>
          <w:b/>
        </w:rPr>
        <w:t xml:space="preserve">Document and hand off — </w:t>
      </w:r>
      <w:r>
        <w:t>Write a brief README section with the algorithm, assumptions, function signature, test command and example output.</w:t>
      </w:r>
    </w:p>
    <w:p w14:paraId="2C61841F" w14:textId="77777777" w:rsidR="009E514E" w:rsidRDefault="004847DE">
      <w:pPr>
        <w:pStyle w:val="Heading2"/>
      </w:pPr>
      <w:r>
        <w:t>Tools</w:t>
      </w:r>
    </w:p>
    <w:p w14:paraId="34166B4F" w14:textId="77777777" w:rsidR="009E514E" w:rsidRDefault="004847DE">
      <w:pPr>
        <w:pStyle w:val="ListBullet"/>
        <w:spacing w:after="40"/>
      </w:pPr>
      <w:r>
        <w:t>Python, pandas and NumPy for iteration and schedule output.</w:t>
      </w:r>
    </w:p>
    <w:p w14:paraId="5B1F8B91" w14:textId="77777777" w:rsidR="009E514E" w:rsidRDefault="004847DE">
      <w:pPr>
        <w:pStyle w:val="ListBullet"/>
        <w:spacing w:after="40"/>
      </w:pPr>
      <w:r>
        <w:t>pytest or simple assert-based tests for power limits, energy delivery and availability.</w:t>
      </w:r>
    </w:p>
    <w:p w14:paraId="643A19A8" w14:textId="77777777" w:rsidR="009E514E" w:rsidRDefault="004847DE">
      <w:pPr>
        <w:pStyle w:val="ListBullet"/>
        <w:spacing w:after="40"/>
      </w:pPr>
      <w:r>
        <w:t>GitHub Desktop for committing the implementation and opening a pull request.</w:t>
      </w:r>
    </w:p>
    <w:p w14:paraId="23F73606" w14:textId="77777777" w:rsidR="009E514E" w:rsidRDefault="004847DE">
      <w:pPr>
        <w:pStyle w:val="Heading2"/>
      </w:pPr>
      <w:r>
        <w:t>Watch-outs</w:t>
      </w:r>
    </w:p>
    <w:p w14:paraId="5DE03E8C" w14:textId="77777777" w:rsidR="009E514E" w:rsidRDefault="004847DE">
      <w:pPr>
        <w:pStyle w:val="ListBullet"/>
        <w:spacing w:after="40"/>
      </w:pPr>
      <w:r>
        <w:t>Power is not energy: energy delivered in a slot is power × slot duration, with efficiency handled according to the chosen convention.</w:t>
      </w:r>
    </w:p>
    <w:p w14:paraId="7ECC6DCD" w14:textId="77777777" w:rsidR="009E514E" w:rsidRDefault="004847DE">
      <w:pPr>
        <w:pStyle w:val="ListBullet"/>
        <w:spacing w:after="40"/>
      </w:pPr>
      <w:r>
        <w:t>A departure deadline must not be ignored just because a session's total theoretical capacity appears sufficient.</w:t>
      </w:r>
    </w:p>
    <w:p w14:paraId="039D55BA" w14:textId="77777777" w:rsidR="009E514E" w:rsidRDefault="004847DE">
      <w:pPr>
        <w:pStyle w:val="ListBullet"/>
        <w:spacing w:after="40"/>
      </w:pPr>
      <w:r>
        <w:t>Avoid off-by-one errors at arrival and departure boundaries.</w:t>
      </w:r>
    </w:p>
    <w:p w14:paraId="45EE649C" w14:textId="77777777" w:rsidR="009E514E" w:rsidRDefault="004847DE">
      <w:pPr>
        <w:pStyle w:val="ListBullet"/>
        <w:spacing w:after="40"/>
      </w:pPr>
      <w:r>
        <w:t>The uncontrolled baseline must not look ahead to cheap prices or future solar availability; otherwise it is no longer uncontrolled charging.</w:t>
      </w:r>
    </w:p>
    <w:p w14:paraId="65969CAC" w14:textId="77777777" w:rsidR="009E514E" w:rsidRDefault="004847DE">
      <w:pPr>
        <w:pStyle w:val="ListBullet"/>
        <w:spacing w:after="40"/>
      </w:pPr>
      <w:r>
        <w:t>Do not hard-code the final dataset's EV identifiers, number of sessions or number of time slots.</w:t>
      </w:r>
    </w:p>
    <w:p w14:paraId="5E0550D1" w14:textId="77777777" w:rsidR="009E514E" w:rsidRDefault="004847DE">
      <w:pPr>
        <w:pStyle w:val="Heading2"/>
      </w:pPr>
      <w:r>
        <w:t>Definition of done</w:t>
      </w:r>
    </w:p>
    <w:p w14:paraId="0CFA5611" w14:textId="77777777" w:rsidR="009E514E" w:rsidRDefault="004847DE">
      <w:pPr>
        <w:pStyle w:val="ListBullet"/>
        <w:spacing w:after="40"/>
      </w:pPr>
      <w:r>
        <w:t>The scheduler runs on a synthetic scenario without manual edits.</w:t>
      </w:r>
    </w:p>
    <w:p w14:paraId="7AC4927A" w14:textId="77777777" w:rsidR="009E514E" w:rsidRDefault="004847DE">
      <w:pPr>
        <w:pStyle w:val="ListBullet"/>
        <w:spacing w:after="40"/>
      </w:pPr>
      <w:r>
        <w:t>Automated or repeatable tests verify availability, maximum power and delivered energy.</w:t>
      </w:r>
    </w:p>
    <w:p w14:paraId="62345D63" w14:textId="77777777" w:rsidR="009E514E" w:rsidRDefault="004847DE">
      <w:pPr>
        <w:pStyle w:val="ListBullet"/>
        <w:spacing w:after="40"/>
      </w:pPr>
      <w:r>
        <w:t>The output uses the agreed schema and can be passed to the shared evaluator.</w:t>
      </w:r>
    </w:p>
    <w:p w14:paraId="0DEF7D9A" w14:textId="77777777" w:rsidR="009E514E" w:rsidRDefault="004847DE">
      <w:pPr>
        <w:pStyle w:val="ListBullet"/>
        <w:spacing w:after="40"/>
      </w:pPr>
      <w:r>
        <w:t>Code, tests and a short usage note are committed to the repository.</w:t>
      </w:r>
    </w:p>
    <w:p w14:paraId="37B2403B" w14:textId="77777777" w:rsidR="009E514E" w:rsidRDefault="004847DE">
      <w:r>
        <w:br w:type="page"/>
      </w:r>
    </w:p>
    <w:p w14:paraId="4C56F59E" w14:textId="77777777" w:rsidR="009E514E" w:rsidRDefault="004847DE">
      <w:pPr>
        <w:pStyle w:val="Heading1"/>
      </w:pPr>
      <w:r>
        <w:lastRenderedPageBreak/>
        <w:t>5. Role 2 — Time-of-Use (TOU) charging</w:t>
      </w:r>
    </w:p>
    <w:p w14:paraId="3F19949A" w14:textId="77777777" w:rsidR="009E514E" w:rsidRDefault="004847DE">
      <w:r>
        <w:t>Owner: Member 2</w:t>
      </w:r>
    </w:p>
    <w:tbl>
      <w:tblPr>
        <w:tblW w:w="0" w:type="auto"/>
        <w:jc w:val="center"/>
        <w:tblLook w:val="04A0" w:firstRow="1" w:lastRow="0" w:firstColumn="1" w:lastColumn="0" w:noHBand="0" w:noVBand="1"/>
      </w:tblPr>
      <w:tblGrid>
        <w:gridCol w:w="9994"/>
      </w:tblGrid>
      <w:tr w:rsidR="009E514E" w14:paraId="4A933E3F" w14:textId="77777777">
        <w:trPr>
          <w:jc w:val="center"/>
        </w:trPr>
        <w:tc>
          <w:tcPr>
            <w:tcW w:w="9994" w:type="dxa"/>
            <w:shd w:val="clear" w:color="auto" w:fill="EAF3F8"/>
            <w:tcMar>
              <w:top w:w="140" w:type="dxa"/>
              <w:left w:w="170" w:type="dxa"/>
              <w:bottom w:w="140" w:type="dxa"/>
              <w:right w:w="170" w:type="dxa"/>
            </w:tcMar>
          </w:tcPr>
          <w:p w14:paraId="5366A87E" w14:textId="77777777" w:rsidR="009E514E" w:rsidRDefault="004847DE">
            <w:pPr>
              <w:spacing w:after="60"/>
            </w:pPr>
            <w:r>
              <w:rPr>
                <w:b/>
                <w:color w:val="16324F"/>
              </w:rPr>
              <w:t>Role objective</w:t>
            </w:r>
          </w:p>
          <w:p w14:paraId="245ACDBB" w14:textId="77777777" w:rsidR="009E514E" w:rsidRDefault="004847DE">
            <w:pPr>
              <w:spacing w:after="0"/>
            </w:pPr>
            <w:r>
              <w:t>Implement a price-aware scheduler that preferentially charges in lower-tariff slots while respecting each EV's availability, charging power limit and energy requirement. The TOU strategy does not explicitly optimize the combined grid peak and solar-utilization objective.</w:t>
            </w:r>
          </w:p>
        </w:tc>
      </w:tr>
    </w:tbl>
    <w:p w14:paraId="0DC7E363" w14:textId="77777777" w:rsidR="009E514E" w:rsidRDefault="009E514E">
      <w:pPr>
        <w:spacing w:after="0"/>
      </w:pPr>
    </w:p>
    <w:p w14:paraId="486B010A" w14:textId="77777777" w:rsidR="009E514E" w:rsidRDefault="004847DE">
      <w:pPr>
        <w:pStyle w:val="Heading2"/>
      </w:pPr>
      <w:r>
        <w:t>Step-by-step procedure</w:t>
      </w:r>
    </w:p>
    <w:p w14:paraId="4C13BFB0" w14:textId="77777777" w:rsidR="009E514E" w:rsidRDefault="004847DE" w:rsidP="003D7A9E">
      <w:pPr>
        <w:pStyle w:val="ListNumber"/>
        <w:numPr>
          <w:ilvl w:val="0"/>
          <w:numId w:val="10"/>
        </w:numPr>
      </w:pPr>
      <w:r w:rsidRPr="003D7A9E">
        <w:rPr>
          <w:b/>
        </w:rPr>
        <w:t xml:space="preserve">Reuse the shared interface — </w:t>
      </w:r>
      <w:r>
        <w:t>Implement run_tou(scenario). Accept EV requirements and the tariff series in the common schema; return the same schedule format as uncontrolled charging.</w:t>
      </w:r>
    </w:p>
    <w:p w14:paraId="2CADA1B9" w14:textId="77777777" w:rsidR="009E514E" w:rsidRDefault="004847DE">
      <w:pPr>
        <w:pStyle w:val="ListNumber"/>
      </w:pPr>
      <w:r>
        <w:rPr>
          <w:b/>
        </w:rPr>
        <w:t xml:space="preserve">Find available slots — </w:t>
      </w:r>
      <w:r>
        <w:t>For each EV, enumerate only the slots during which it is connected and eligible to charge.</w:t>
      </w:r>
    </w:p>
    <w:p w14:paraId="1C22076F" w14:textId="77777777" w:rsidR="009E514E" w:rsidRDefault="004847DE">
      <w:pPr>
        <w:pStyle w:val="ListNumber"/>
      </w:pPr>
      <w:r>
        <w:rPr>
          <w:b/>
        </w:rPr>
        <w:t xml:space="preserve">Rank by price — </w:t>
      </w:r>
      <w:r>
        <w:t>Sort eligible slots from lowest to highest tariff. Define deterministic tie-breaking, such as earlier slot first, so runs are reproducible.</w:t>
      </w:r>
    </w:p>
    <w:p w14:paraId="6083DCE7" w14:textId="77777777" w:rsidR="009E514E" w:rsidRDefault="004847DE">
      <w:pPr>
        <w:pStyle w:val="ListNumber"/>
      </w:pPr>
      <w:r>
        <w:rPr>
          <w:b/>
        </w:rPr>
        <w:t xml:space="preserve">Allocate charging — </w:t>
      </w:r>
      <w:r>
        <w:t>Starting with the cheapest slot, assign charging power up to the EV's maximum power or the amount needed to complete the remaining energy within that slot. Continue until the requirement is met or available capacity is exhausted.</w:t>
      </w:r>
    </w:p>
    <w:p w14:paraId="3DBE70DF" w14:textId="77777777" w:rsidR="009E514E" w:rsidRDefault="004847DE">
      <w:pPr>
        <w:pStyle w:val="ListNumber"/>
      </w:pPr>
      <w:r>
        <w:rPr>
          <w:b/>
        </w:rPr>
        <w:t xml:space="preserve">Respect shared assumptions — </w:t>
      </w:r>
      <w:r>
        <w:t>Use the same slot duration, charging efficiency convention and deadline convention as Role 1 and Role 3.</w:t>
      </w:r>
    </w:p>
    <w:p w14:paraId="4DFCE484" w14:textId="77777777" w:rsidR="009E514E" w:rsidRDefault="004847DE">
      <w:pPr>
        <w:pStyle w:val="ListNumber"/>
      </w:pPr>
      <w:r>
        <w:rPr>
          <w:b/>
        </w:rPr>
        <w:t xml:space="preserve">Handle infeasible sessions — </w:t>
      </w:r>
      <w:r>
        <w:t>If the EV cannot receive enough energy in the available slots, report the shortfall and mark the schedule infeasible. Do not invent extra time slots.</w:t>
      </w:r>
    </w:p>
    <w:p w14:paraId="79D77D0F" w14:textId="77777777" w:rsidR="009E514E" w:rsidRDefault="004847DE">
      <w:pPr>
        <w:pStyle w:val="ListNumber"/>
      </w:pPr>
      <w:r>
        <w:rPr>
          <w:b/>
        </w:rPr>
        <w:t xml:space="preserve">Create tests — </w:t>
      </w:r>
      <w:r>
        <w:t>Test a tariff with an obvious cheap period, all-equal prices, a deadline before the cheapest period, a one-slot session, an energy requirement met partway through a slot, and an infeasible session.</w:t>
      </w:r>
    </w:p>
    <w:p w14:paraId="5AE591DF" w14:textId="77777777" w:rsidR="009E514E" w:rsidRDefault="004847DE">
      <w:pPr>
        <w:pStyle w:val="ListNumber"/>
      </w:pPr>
      <w:r>
        <w:rPr>
          <w:b/>
        </w:rPr>
        <w:t xml:space="preserve">Compare against uncontrolled — </w:t>
      </w:r>
      <w:r>
        <w:t>On a small scenario, inspect whether charging is shifted toward cheaper periods and calculate the cost using the shared evaluation definition.</w:t>
      </w:r>
    </w:p>
    <w:p w14:paraId="341A07BB" w14:textId="77777777" w:rsidR="009E514E" w:rsidRDefault="004847DE">
      <w:pPr>
        <w:pStyle w:val="ListNumber"/>
      </w:pPr>
      <w:r>
        <w:rPr>
          <w:b/>
        </w:rPr>
        <w:t xml:space="preserve">Document and hand off — </w:t>
      </w:r>
      <w:r>
        <w:t>Provide function usage, assumptions, tie-breaking rule, test instructions and example schedule.</w:t>
      </w:r>
    </w:p>
    <w:p w14:paraId="65A7641A" w14:textId="77777777" w:rsidR="009E514E" w:rsidRDefault="004847DE">
      <w:pPr>
        <w:pStyle w:val="Heading2"/>
      </w:pPr>
      <w:r>
        <w:t>Tools</w:t>
      </w:r>
    </w:p>
    <w:p w14:paraId="61B82B1C" w14:textId="77777777" w:rsidR="009E514E" w:rsidRDefault="004847DE">
      <w:pPr>
        <w:pStyle w:val="ListBullet"/>
        <w:spacing w:after="40"/>
      </w:pPr>
      <w:r>
        <w:t>Python and pandas for tariff sorting and time-slot alignment.</w:t>
      </w:r>
    </w:p>
    <w:p w14:paraId="715AC010" w14:textId="77777777" w:rsidR="009E514E" w:rsidRDefault="004847DE">
      <w:pPr>
        <w:pStyle w:val="ListBullet"/>
        <w:spacing w:after="40"/>
      </w:pPr>
      <w:r>
        <w:t>NumPy for arrays and energy calculations.</w:t>
      </w:r>
    </w:p>
    <w:p w14:paraId="41871F6C" w14:textId="77777777" w:rsidR="009E514E" w:rsidRDefault="004847DE">
      <w:pPr>
        <w:pStyle w:val="ListBullet"/>
        <w:spacing w:after="40"/>
      </w:pPr>
      <w:r>
        <w:t>pytest or assertions for deterministic tests.</w:t>
      </w:r>
    </w:p>
    <w:p w14:paraId="77CD4494" w14:textId="77777777" w:rsidR="009E514E" w:rsidRDefault="004847DE">
      <w:pPr>
        <w:pStyle w:val="Heading2"/>
      </w:pPr>
      <w:r>
        <w:t>Watch-outs</w:t>
      </w:r>
    </w:p>
    <w:p w14:paraId="18CCD382" w14:textId="77777777" w:rsidR="009E514E" w:rsidRDefault="004847DE">
      <w:pPr>
        <w:pStyle w:val="ListBullet"/>
        <w:spacing w:after="40"/>
      </w:pPr>
      <w:r>
        <w:t>Sorting prices alone is not enough: allocation must still obey per-slot charger power and the EV's departure time.</w:t>
      </w:r>
    </w:p>
    <w:p w14:paraId="04DAF1E1" w14:textId="77777777" w:rsidR="009E514E" w:rsidRDefault="004847DE">
      <w:pPr>
        <w:pStyle w:val="ListBullet"/>
        <w:spacing w:after="40"/>
      </w:pPr>
      <w:r>
        <w:t>Use the price applicable to the actual slot; avoid mismatching tariff timestamps and charging timestamps.</w:t>
      </w:r>
    </w:p>
    <w:p w14:paraId="5E7DFB6F" w14:textId="77777777" w:rsidR="009E514E" w:rsidRDefault="004847DE">
      <w:pPr>
        <w:pStyle w:val="ListBullet"/>
        <w:spacing w:after="40"/>
      </w:pPr>
      <w:r>
        <w:t>Clarify whether the price is a known published tariff. TOU should not require ML forecasts when future prices are already known.</w:t>
      </w:r>
    </w:p>
    <w:p w14:paraId="2223C218" w14:textId="77777777" w:rsidR="009E514E" w:rsidRDefault="004847DE">
      <w:pPr>
        <w:pStyle w:val="ListBullet"/>
        <w:spacing w:after="40"/>
      </w:pPr>
      <w:r>
        <w:t>Avoid adding grid-peak or solar preference to this strategy unless the project definition is explicitly changed; that would blur the comparison with smart LP charging.</w:t>
      </w:r>
    </w:p>
    <w:p w14:paraId="50D9D45B" w14:textId="77777777" w:rsidR="009E514E" w:rsidRDefault="004847DE">
      <w:pPr>
        <w:pStyle w:val="ListBullet"/>
        <w:spacing w:after="40"/>
      </w:pPr>
      <w:r>
        <w:t>A greedy allocation can be valid for independent EVs under a simple TOU objective, but it is not a substitute for the multi-objective LP model.</w:t>
      </w:r>
    </w:p>
    <w:p w14:paraId="4FB48565" w14:textId="77777777" w:rsidR="009E514E" w:rsidRDefault="004847DE">
      <w:pPr>
        <w:pStyle w:val="Heading2"/>
      </w:pPr>
      <w:r>
        <w:t>Definition of done</w:t>
      </w:r>
    </w:p>
    <w:p w14:paraId="5B6E4177" w14:textId="77777777" w:rsidR="009E514E" w:rsidRDefault="004847DE">
      <w:pPr>
        <w:pStyle w:val="ListBullet"/>
        <w:spacing w:after="40"/>
      </w:pPr>
      <w:r>
        <w:t>The strategy runs on synthetic and later real scenarios without changing its core algorithm.</w:t>
      </w:r>
    </w:p>
    <w:p w14:paraId="2FD260E7" w14:textId="77777777" w:rsidR="009E514E" w:rsidRDefault="004847DE">
      <w:pPr>
        <w:pStyle w:val="ListBullet"/>
        <w:spacing w:after="40"/>
      </w:pPr>
      <w:r>
        <w:t>The schedule satisfies the same energy, availability and power checks as Role 1.</w:t>
      </w:r>
    </w:p>
    <w:p w14:paraId="34DC3C42" w14:textId="77777777" w:rsidR="009E514E" w:rsidRDefault="004847DE">
      <w:pPr>
        <w:pStyle w:val="ListBullet"/>
        <w:spacing w:after="40"/>
      </w:pPr>
      <w:r>
        <w:t>A lower-cost allocation is demonstrated on a test case where cheaper slots are available and feasible.</w:t>
      </w:r>
    </w:p>
    <w:p w14:paraId="306BE052" w14:textId="67F893F6" w:rsidR="009E514E" w:rsidRDefault="004847DE" w:rsidP="00D63FFE">
      <w:pPr>
        <w:pStyle w:val="ListBullet"/>
        <w:spacing w:after="40"/>
      </w:pPr>
      <w:r>
        <w:t>The implementation is committed and ready for the shared runner.</w:t>
      </w:r>
    </w:p>
    <w:p w14:paraId="358987FA" w14:textId="77777777" w:rsidR="009E514E" w:rsidRDefault="004847DE">
      <w:pPr>
        <w:pStyle w:val="Heading1"/>
      </w:pPr>
      <w:r>
        <w:lastRenderedPageBreak/>
        <w:t>6. Role 3 — LP-based smart charging</w:t>
      </w:r>
    </w:p>
    <w:p w14:paraId="78324F71" w14:textId="77777777" w:rsidR="009E514E" w:rsidRDefault="004847DE">
      <w:r>
        <w:t>Owner: Member 3</w:t>
      </w:r>
    </w:p>
    <w:tbl>
      <w:tblPr>
        <w:tblW w:w="0" w:type="auto"/>
        <w:jc w:val="center"/>
        <w:tblLook w:val="04A0" w:firstRow="1" w:lastRow="0" w:firstColumn="1" w:lastColumn="0" w:noHBand="0" w:noVBand="1"/>
      </w:tblPr>
      <w:tblGrid>
        <w:gridCol w:w="9994"/>
      </w:tblGrid>
      <w:tr w:rsidR="009E514E" w14:paraId="657BDCB8" w14:textId="77777777">
        <w:trPr>
          <w:jc w:val="center"/>
        </w:trPr>
        <w:tc>
          <w:tcPr>
            <w:tcW w:w="9994" w:type="dxa"/>
            <w:shd w:val="clear" w:color="auto" w:fill="EAF3F8"/>
            <w:tcMar>
              <w:top w:w="140" w:type="dxa"/>
              <w:left w:w="170" w:type="dxa"/>
              <w:bottom w:w="140" w:type="dxa"/>
              <w:right w:w="170" w:type="dxa"/>
            </w:tcMar>
          </w:tcPr>
          <w:p w14:paraId="3D1EA926" w14:textId="77777777" w:rsidR="009E514E" w:rsidRDefault="004847DE">
            <w:pPr>
              <w:spacing w:after="60"/>
            </w:pPr>
            <w:r>
              <w:rPr>
                <w:b/>
                <w:color w:val="16324F"/>
              </w:rPr>
              <w:t>Role objective</w:t>
            </w:r>
          </w:p>
          <w:p w14:paraId="5C4BDD76" w14:textId="77777777" w:rsidR="009E514E" w:rsidRDefault="004847DE">
            <w:pPr>
              <w:spacing w:after="0"/>
            </w:pPr>
            <w:r>
              <w:t>Build the continuous Linear Programming (LP) model that chooses EV charging power over time. The model will account for charging requirements and the agreed cost, peak-load and solar-utilization objectives. Do not use MILP or binary variables unless the project scope is deliberately changed.</w:t>
            </w:r>
          </w:p>
        </w:tc>
      </w:tr>
    </w:tbl>
    <w:p w14:paraId="5BCF6B6A" w14:textId="77777777" w:rsidR="009E514E" w:rsidRDefault="009E514E">
      <w:pPr>
        <w:spacing w:after="0"/>
      </w:pPr>
    </w:p>
    <w:p w14:paraId="3F58A2EA" w14:textId="77777777" w:rsidR="009E514E" w:rsidRDefault="004847DE">
      <w:pPr>
        <w:pStyle w:val="Heading2"/>
      </w:pPr>
      <w:r>
        <w:t>Step-by-step procedure</w:t>
      </w:r>
    </w:p>
    <w:p w14:paraId="466EC9F1" w14:textId="77777777" w:rsidR="009E514E" w:rsidRDefault="004847DE" w:rsidP="003D7A9E">
      <w:pPr>
        <w:pStyle w:val="ListNumber"/>
        <w:numPr>
          <w:ilvl w:val="0"/>
          <w:numId w:val="11"/>
        </w:numPr>
      </w:pPr>
      <w:r w:rsidRPr="003D7A9E">
        <w:rPr>
          <w:b/>
        </w:rPr>
        <w:t>Use the shared finalized assumptions — Record the 1-hour interval, 24-hour scenario horizon, η = 0.9 for battery-side energy, no grid export, solar serving base load first, and the known/forecast inputs defined in Section 13.</w:t>
      </w:r>
    </w:p>
    <w:p w14:paraId="234601B6" w14:textId="77777777" w:rsidR="009E514E" w:rsidRDefault="004847DE">
      <w:pPr>
        <w:pStyle w:val="ListNumber"/>
      </w:pPr>
      <w:r>
        <w:rPr>
          <w:b/>
        </w:rPr>
        <w:t xml:space="preserve">Define decision variables — </w:t>
      </w:r>
      <w:r>
        <w:t>Use continuous P[i,t] ≥ 0 for each EV and time slot. Add continuous grid-import and peak-load variables if needed by the chosen formulation.</w:t>
      </w:r>
    </w:p>
    <w:p w14:paraId="4FBC70D1" w14:textId="77777777" w:rsidR="009E514E" w:rsidRDefault="004847DE">
      <w:pPr>
        <w:pStyle w:val="ListNumber"/>
      </w:pPr>
      <w:r>
        <w:rPr>
          <w:b/>
        </w:rPr>
        <w:t xml:space="preserve">Apply availability constraints — </w:t>
      </w:r>
      <w:r>
        <w:t>Force P[i,t] = 0 when EV i is not connected. During connected slots, impose P[i,t] ≤ Pmax[i].</w:t>
      </w:r>
    </w:p>
    <w:p w14:paraId="0B40E9A1" w14:textId="77777777" w:rsidR="009E514E" w:rsidRDefault="004847DE">
      <w:pPr>
        <w:pStyle w:val="ListNumber"/>
      </w:pPr>
      <w:r>
        <w:rPr>
          <w:b/>
        </w:rPr>
        <w:t>Apply energy requirements — For a battery-side target E[i], enforce sum(P[i,t] × Δt × η[i]) = E[i] across the EV's available slots. If the dataset reports grid-side energy, enforce sum(P[i,t] × Δt) = E[i] instead. Treat infeasible sessions as infeasible; do not silently relax the target.</w:t>
      </w:r>
    </w:p>
    <w:p w14:paraId="544F87F3" w14:textId="77777777" w:rsidR="009E514E" w:rsidRDefault="004847DE">
      <w:pPr>
        <w:pStyle w:val="ListNumber"/>
      </w:pPr>
      <w:r>
        <w:rPr>
          <w:b/>
        </w:rPr>
        <w:t xml:space="preserve">Define EV aggregate power — </w:t>
      </w:r>
      <w:r>
        <w:t>Define total EV charging power in each slot as the sum of individual EV charging powers.</w:t>
      </w:r>
    </w:p>
    <w:p w14:paraId="0A1F538A" w14:textId="77777777" w:rsidR="009E514E" w:rsidRDefault="004847DE">
      <w:pPr>
        <w:pStyle w:val="ListNumber"/>
      </w:pPr>
      <w:r>
        <w:rPr>
          <w:b/>
        </w:rPr>
        <w:t>Model grid power balance — Use P_grid,t ≥ P_base,t + P_EV,t − P_solar,t and P_grid,t ≥ 0. Grid export is out of scope; excess solar is curtailed. Solar credited to EV charging is limited to surplus after serving base load.</w:t>
      </w:r>
    </w:p>
    <w:p w14:paraId="6ED49BF0" w14:textId="77777777" w:rsidR="009E514E" w:rsidRDefault="004847DE">
      <w:pPr>
        <w:pStyle w:val="ListNumber"/>
      </w:pPr>
      <w:r>
        <w:rPr>
          <w:b/>
        </w:rPr>
        <w:t>Define peak load — Use P_peak ≥ P_grid,t for every slot, where peak means maximum grid import after solar offset.</w:t>
      </w:r>
    </w:p>
    <w:p w14:paraId="6D6F38FA" w14:textId="77777777" w:rsidR="009E514E" w:rsidRDefault="004847DE">
      <w:pPr>
        <w:pStyle w:val="ListNumber"/>
      </w:pPr>
      <w:r>
        <w:rPr>
          <w:b/>
        </w:rPr>
        <w:t>Use the finalized normalized objective — Use J = (C_EV / C_ref) + 5(P_peak / P_ref) − 2(S_EV_solar / E_EV_grid). Definitions and normalization are specified in the Finalized Decision Record. The primary weights are 1:5:2.</w:t>
      </w:r>
    </w:p>
    <w:p w14:paraId="5EE9B326" w14:textId="77777777" w:rsidR="009E514E" w:rsidRDefault="004847DE">
      <w:pPr>
        <w:pStyle w:val="ListNumber"/>
      </w:pPr>
      <w:r>
        <w:rPr>
          <w:b/>
        </w:rPr>
        <w:t xml:space="preserve">Keep the formulation linear — </w:t>
      </w:r>
      <w:r>
        <w:t>Ensure every objective term and constraint is linear in the decision variables. Do not use products of decision variables or place an unmodeled max() operation directly into an LP expression.</w:t>
      </w:r>
    </w:p>
    <w:p w14:paraId="468A9B09" w14:textId="77777777" w:rsidR="009E514E" w:rsidRDefault="004847DE">
      <w:pPr>
        <w:pStyle w:val="ListNumber"/>
      </w:pPr>
      <w:r>
        <w:rPr>
          <w:b/>
        </w:rPr>
        <w:t xml:space="preserve">Implement with PuLP + CBC — </w:t>
      </w:r>
      <w:r>
        <w:t>Create variables, objective, constraints and solve call. Return solver status, objective value and schedule. Fail clearly if the solver does not return an acceptable status.</w:t>
      </w:r>
    </w:p>
    <w:p w14:paraId="4E6A8721" w14:textId="77777777" w:rsidR="009E514E" w:rsidRDefault="004847DE">
      <w:pPr>
        <w:pStyle w:val="ListNumber"/>
      </w:pPr>
      <w:r>
        <w:rPr>
          <w:b/>
        </w:rPr>
        <w:t xml:space="preserve">Build a tiny hand-checkable case — </w:t>
      </w:r>
      <w:r>
        <w:t>Start with one EV and two or three slots with simple prices and solar values. Manually reason about the expected schedule before testing multiple EVs.</w:t>
      </w:r>
    </w:p>
    <w:p w14:paraId="67CED52D" w14:textId="77777777" w:rsidR="009E514E" w:rsidRDefault="004847DE">
      <w:pPr>
        <w:pStyle w:val="ListNumber"/>
      </w:pPr>
      <w:r>
        <w:rPr>
          <w:b/>
        </w:rPr>
        <w:t xml:space="preserve">Expand test coverage — </w:t>
      </w:r>
      <w:r>
        <w:t>Test multiple EVs, overlapping availability, high/low prices, solar availability, exact energy limits, infeasible requests and solver failure.</w:t>
      </w:r>
    </w:p>
    <w:p w14:paraId="04D51789" w14:textId="77777777" w:rsidR="009E514E" w:rsidRDefault="004847DE">
      <w:pPr>
        <w:pStyle w:val="ListNumber"/>
      </w:pPr>
      <w:r>
        <w:rPr>
          <w:b/>
        </w:rPr>
        <w:t xml:space="preserve">Expose a stable function — </w:t>
      </w:r>
      <w:r>
        <w:t>Implement run_lp(scenario, forecast_inputs, config) or an equivalent clear interface. Perfect-foresight mode should reuse the same model with actual future inputs.</w:t>
      </w:r>
    </w:p>
    <w:p w14:paraId="7DF4A3BB" w14:textId="77777777" w:rsidR="009E514E" w:rsidRDefault="004847DE">
      <w:pPr>
        <w:pStyle w:val="ListNumber"/>
      </w:pPr>
      <w:r>
        <w:rPr>
          <w:b/>
        </w:rPr>
        <w:t xml:space="preserve">Document the formulation — </w:t>
      </w:r>
      <w:r>
        <w:t>Write the objective, every constraint, variable definitions, units and assumptions in a short technical note so the team can explain and defend the model.</w:t>
      </w:r>
    </w:p>
    <w:p w14:paraId="2D3A2948" w14:textId="77777777" w:rsidR="009E514E" w:rsidRDefault="004847DE">
      <w:pPr>
        <w:pStyle w:val="Heading2"/>
      </w:pPr>
      <w:r>
        <w:t>LP mathematical structure</w:t>
      </w:r>
    </w:p>
    <w:p w14:paraId="2B4E7BCF" w14:textId="77777777" w:rsidR="009E514E" w:rsidRDefault="004847DE">
      <w:r>
        <w:t>Decision variable: P</w:t>
      </w:r>
      <w:r>
        <w:t>ᵢ</w:t>
      </w:r>
      <w:r>
        <w:t>,ₜ = charging power assigned to EV i in slot t.</w:t>
      </w:r>
    </w:p>
    <w:p w14:paraId="7CF08711" w14:textId="77777777" w:rsidR="009E514E" w:rsidRDefault="004847DE">
      <w:pPr>
        <w:pStyle w:val="ListBullet"/>
        <w:spacing w:after="40"/>
      </w:pPr>
      <w:r>
        <w:t>Power limit: 0 ≤ P</w:t>
      </w:r>
      <w:r>
        <w:t>ᵢ</w:t>
      </w:r>
      <w:r>
        <w:t>,ₜ ≤ P</w:t>
      </w:r>
      <w:r>
        <w:t>ᵢ</w:t>
      </w:r>
      <w:r>
        <w:t>,max when connected; P</w:t>
      </w:r>
      <w:r>
        <w:t>ᵢ</w:t>
      </w:r>
      <w:r>
        <w:t>,ₜ = 0 otherwise.</w:t>
      </w:r>
    </w:p>
    <w:p w14:paraId="327A9355" w14:textId="77777777" w:rsidR="009E514E" w:rsidRDefault="004847DE">
      <w:pPr>
        <w:pStyle w:val="ListBullet"/>
        <w:spacing w:after="40"/>
      </w:pPr>
      <w:r>
        <w:t>Energy requirement: the sum of charging energy over the EV's available slots must meet its requirement under the agreed efficiency convention.</w:t>
      </w:r>
    </w:p>
    <w:p w14:paraId="2372FCF9" w14:textId="77777777" w:rsidR="009E514E" w:rsidRDefault="004847DE">
      <w:pPr>
        <w:pStyle w:val="ListBullet"/>
        <w:spacing w:after="40"/>
      </w:pPr>
      <w:r>
        <w:t>Aggregate EV power: P_EV,t = Σ</w:t>
      </w:r>
      <w:r>
        <w:t>ᵢ</w:t>
      </w:r>
      <w:r>
        <w:t xml:space="preserve"> P</w:t>
      </w:r>
      <w:r>
        <w:t>ᵢ</w:t>
      </w:r>
      <w:r>
        <w:t>,ₜ.</w:t>
      </w:r>
    </w:p>
    <w:p w14:paraId="0D5F8ED0" w14:textId="77777777" w:rsidR="009E514E" w:rsidRDefault="004847DE">
      <w:pPr>
        <w:pStyle w:val="ListBullet"/>
        <w:spacing w:after="40"/>
      </w:pPr>
      <w:r>
        <w:t>Peak constraint: P_peak ≥ P_grid,t for every slot, if the chosen peak metric is maximum grid import.</w:t>
      </w:r>
    </w:p>
    <w:p w14:paraId="25F67770" w14:textId="77777777" w:rsidR="009E514E" w:rsidRDefault="004847DE">
      <w:r>
        <w:t>Use the finalized objective J = (C_EV / C_ref) + 5(P_peak / P_ref) − 2(S_EV_solar / E_EV_grid). Cost, peak and solar terms are normalized; definitions and assumptions are specified in Section 13.</w:t>
      </w:r>
    </w:p>
    <w:p w14:paraId="7B50CE2A" w14:textId="77777777" w:rsidR="009E514E" w:rsidRDefault="004847DE">
      <w:pPr>
        <w:pStyle w:val="Heading2"/>
      </w:pPr>
      <w:r>
        <w:lastRenderedPageBreak/>
        <w:t>Tools</w:t>
      </w:r>
    </w:p>
    <w:p w14:paraId="6602103A" w14:textId="77777777" w:rsidR="009E514E" w:rsidRDefault="004847DE">
      <w:pPr>
        <w:pStyle w:val="ListBullet"/>
        <w:spacing w:after="40"/>
      </w:pPr>
      <w:r>
        <w:t>PuLP to express the LP and CBC as the solver; SciPy linprog is a reasonable alternative, but the team should choose one implementation path.</w:t>
      </w:r>
    </w:p>
    <w:p w14:paraId="78355B5B" w14:textId="77777777" w:rsidR="009E514E" w:rsidRDefault="004847DE">
      <w:pPr>
        <w:pStyle w:val="ListBullet"/>
        <w:spacing w:after="40"/>
      </w:pPr>
      <w:r>
        <w:t>pandas/NumPy to prepare input arrays and inspect results.</w:t>
      </w:r>
    </w:p>
    <w:p w14:paraId="31FEAD8B" w14:textId="77777777" w:rsidR="009E514E" w:rsidRDefault="004847DE">
      <w:pPr>
        <w:pStyle w:val="ListBullet"/>
        <w:spacing w:after="40"/>
      </w:pPr>
      <w:r>
        <w:t>pytest to test constraints and solver status.</w:t>
      </w:r>
    </w:p>
    <w:p w14:paraId="12546E2A" w14:textId="77777777" w:rsidR="009E514E" w:rsidRDefault="004847DE">
      <w:pPr>
        <w:pStyle w:val="ListBullet"/>
        <w:spacing w:after="40"/>
      </w:pPr>
      <w:r>
        <w:t>A spreadsheet or small hand calculations to independently check tiny test cases.</w:t>
      </w:r>
    </w:p>
    <w:p w14:paraId="4C12EB5E" w14:textId="77777777" w:rsidR="009E514E" w:rsidRDefault="004847DE">
      <w:pPr>
        <w:pStyle w:val="Heading2"/>
      </w:pPr>
      <w:r>
        <w:t>Watch-outs</w:t>
      </w:r>
    </w:p>
    <w:p w14:paraId="0CDC5223" w14:textId="77777777" w:rsidR="009E514E" w:rsidRDefault="004847DE">
      <w:pPr>
        <w:pStyle w:val="ListBullet"/>
        <w:spacing w:after="40"/>
      </w:pPr>
      <w:r>
        <w:t>Use the approved 1:5:2 weights only with the normalized terms defined in Section 13. Do not change the weights independently; any sensitivity run must be labeled separately.</w:t>
      </w:r>
    </w:p>
    <w:p w14:paraId="7B47CC26" w14:textId="77777777" w:rsidR="009E514E" w:rsidRDefault="004847DE">
      <w:pPr>
        <w:pStyle w:val="ListBullet"/>
        <w:spacing w:after="40"/>
      </w:pPr>
      <w:r>
        <w:t>Keep the model continuous and linear. A binary on/off decision is not needed for the current LP scope.</w:t>
      </w:r>
    </w:p>
    <w:p w14:paraId="0C6FB9EE" w14:textId="77777777" w:rsidR="009E514E" w:rsidRDefault="004847DE">
      <w:pPr>
        <w:pStyle w:val="ListBullet"/>
        <w:spacing w:after="40"/>
      </w:pPr>
      <w:r>
        <w:t>Be consistent about whether required energy is measured at the battery or at the grid connection.</w:t>
      </w:r>
    </w:p>
    <w:p w14:paraId="353C9722" w14:textId="77777777" w:rsidR="009E514E" w:rsidRDefault="004847DE">
      <w:pPr>
        <w:pStyle w:val="ListBullet"/>
        <w:spacing w:after="40"/>
      </w:pPr>
      <w:r>
        <w:t>If solar power exceeds base load plus EV load, decide whether the excess is exported, curtailed or otherwise accounted for. Avoid silently allowing negative grid imports.</w:t>
      </w:r>
    </w:p>
    <w:p w14:paraId="707ECB9D" w14:textId="77777777" w:rsidR="009E514E" w:rsidRDefault="004847DE">
      <w:pPr>
        <w:pStyle w:val="ListBullet"/>
        <w:spacing w:after="40"/>
      </w:pPr>
      <w:r>
        <w:t>Do not double-count solar utilization or count all solar generation as solar energy used by EVs.</w:t>
      </w:r>
    </w:p>
    <w:p w14:paraId="4B564530" w14:textId="77777777" w:rsidR="009E514E" w:rsidRDefault="004847DE">
      <w:pPr>
        <w:pStyle w:val="ListBullet"/>
        <w:spacing w:after="40"/>
      </w:pPr>
      <w:r>
        <w:t>The perfect-foresight result is an idealized benchmark. It must not be described as a practical forecast.</w:t>
      </w:r>
    </w:p>
    <w:p w14:paraId="47A925B8" w14:textId="77777777" w:rsidR="009E514E" w:rsidRDefault="004847DE">
      <w:pPr>
        <w:pStyle w:val="ListBullet"/>
        <w:spacing w:after="40"/>
      </w:pPr>
      <w:r>
        <w:t>A solver returning a schedule is not enough; independently verify the physical and energy constraints.</w:t>
      </w:r>
    </w:p>
    <w:p w14:paraId="3F18D12C" w14:textId="77777777" w:rsidR="009E514E" w:rsidRDefault="004847DE">
      <w:pPr>
        <w:pStyle w:val="Heading2"/>
      </w:pPr>
      <w:r>
        <w:t>Definition of done</w:t>
      </w:r>
    </w:p>
    <w:p w14:paraId="361D49D8" w14:textId="77777777" w:rsidR="009E514E" w:rsidRDefault="004847DE">
      <w:pPr>
        <w:pStyle w:val="ListBullet"/>
        <w:spacing w:after="40"/>
      </w:pPr>
      <w:r>
        <w:t>The objective and constraints are documented and approved by the team.</w:t>
      </w:r>
    </w:p>
    <w:p w14:paraId="1CA6BA8A" w14:textId="77777777" w:rsidR="009E514E" w:rsidRDefault="004847DE">
      <w:pPr>
        <w:pStyle w:val="ListBullet"/>
        <w:spacing w:after="40"/>
      </w:pPr>
      <w:r>
        <w:t>The LP solves a small hand-checkable scenario and returns a valid schedule.</w:t>
      </w:r>
    </w:p>
    <w:p w14:paraId="434EF628" w14:textId="77777777" w:rsidR="009E514E" w:rsidRDefault="004847DE">
      <w:pPr>
        <w:pStyle w:val="ListBullet"/>
        <w:spacing w:after="40"/>
      </w:pPr>
      <w:r>
        <w:t>Automated tests verify charging power, availability, energy requirements, grid balance and solver status.</w:t>
      </w:r>
    </w:p>
    <w:p w14:paraId="474634F2" w14:textId="77777777" w:rsidR="009E514E" w:rsidRDefault="004847DE">
      <w:pPr>
        <w:pStyle w:val="ListBullet"/>
        <w:spacing w:after="40"/>
      </w:pPr>
      <w:r>
        <w:t>The function can be called in forecast mode and actual-input mode without duplicating the model.</w:t>
      </w:r>
    </w:p>
    <w:p w14:paraId="6B6A0EA3" w14:textId="77777777" w:rsidR="009E514E" w:rsidRDefault="004847DE">
      <w:pPr>
        <w:pStyle w:val="ListBullet"/>
        <w:spacing w:after="40"/>
      </w:pPr>
      <w:r>
        <w:t>Code and a mathematical formulation note are committed.</w:t>
      </w:r>
    </w:p>
    <w:p w14:paraId="5EC0848A" w14:textId="77777777" w:rsidR="009E514E" w:rsidRDefault="004847DE">
      <w:r>
        <w:br w:type="page"/>
      </w:r>
    </w:p>
    <w:p w14:paraId="1AA98FC1" w14:textId="77777777" w:rsidR="009E514E" w:rsidRDefault="004847DE">
      <w:pPr>
        <w:pStyle w:val="Heading1"/>
      </w:pPr>
      <w:r>
        <w:lastRenderedPageBreak/>
        <w:t>7. Role 4 — Data engineering, forecasting and perfect-foresight comparison</w:t>
      </w:r>
    </w:p>
    <w:p w14:paraId="75FCAEFC" w14:textId="77777777" w:rsidR="009E514E" w:rsidRDefault="004847DE">
      <w:r>
        <w:t>Owner: Member 4</w:t>
      </w:r>
    </w:p>
    <w:tbl>
      <w:tblPr>
        <w:tblW w:w="0" w:type="auto"/>
        <w:jc w:val="center"/>
        <w:tblLook w:val="04A0" w:firstRow="1" w:lastRow="0" w:firstColumn="1" w:lastColumn="0" w:noHBand="0" w:noVBand="1"/>
      </w:tblPr>
      <w:tblGrid>
        <w:gridCol w:w="9994"/>
      </w:tblGrid>
      <w:tr w:rsidR="009E514E" w14:paraId="3F14AD58" w14:textId="77777777">
        <w:trPr>
          <w:jc w:val="center"/>
        </w:trPr>
        <w:tc>
          <w:tcPr>
            <w:tcW w:w="9994" w:type="dxa"/>
            <w:shd w:val="clear" w:color="auto" w:fill="EAF3F8"/>
            <w:tcMar>
              <w:top w:w="140" w:type="dxa"/>
              <w:left w:w="170" w:type="dxa"/>
              <w:bottom w:w="140" w:type="dxa"/>
              <w:right w:w="170" w:type="dxa"/>
            </w:tcMar>
          </w:tcPr>
          <w:p w14:paraId="79D1EB82" w14:textId="77777777" w:rsidR="009E514E" w:rsidRDefault="004847DE">
            <w:pPr>
              <w:spacing w:after="60"/>
            </w:pPr>
            <w:r>
              <w:rPr>
                <w:b/>
                <w:color w:val="16324F"/>
              </w:rPr>
              <w:t>Role objective</w:t>
            </w:r>
          </w:p>
          <w:p w14:paraId="0544E513" w14:textId="77777777" w:rsidR="009E514E" w:rsidRDefault="004847DE">
            <w:pPr>
              <w:spacing w:after="0"/>
            </w:pPr>
            <w:r>
              <w:t>Prepare a common, reproducible simulation dataset; forecast the uncertain future inputs that the LP actually needs; and compare forecast-based LP with perfect-foresight LP. This role owns the data interface and information-quality experiment, but does not rewrite the three charging algorithms or duplicate the LP model.</w:t>
            </w:r>
          </w:p>
        </w:tc>
      </w:tr>
    </w:tbl>
    <w:p w14:paraId="174ADF97" w14:textId="77777777" w:rsidR="009E514E" w:rsidRDefault="009E514E">
      <w:pPr>
        <w:spacing w:after="0"/>
      </w:pPr>
    </w:p>
    <w:p w14:paraId="2E70566F" w14:textId="77777777" w:rsidR="009E514E" w:rsidRDefault="004847DE">
      <w:pPr>
        <w:pStyle w:val="Heading2"/>
      </w:pPr>
      <w:r>
        <w:t>Part A — Data pipeline</w:t>
      </w:r>
    </w:p>
    <w:p w14:paraId="26B0AB1B" w14:textId="77777777" w:rsidR="009E514E" w:rsidRDefault="004847DE" w:rsidP="003D7A9E">
      <w:pPr>
        <w:pStyle w:val="ListNumber"/>
        <w:numPr>
          <w:ilvl w:val="0"/>
          <w:numId w:val="12"/>
        </w:numPr>
      </w:pPr>
      <w:r w:rsidRPr="003D7A9E">
        <w:rPr>
          <w:b/>
        </w:rPr>
        <w:t xml:space="preserve">Inventory the available files — </w:t>
      </w:r>
      <w:r>
        <w:t>List each dataset, its columns, timestamp format, units, coverage, missingness and source. Do not assume the final dataset contains every required field.</w:t>
      </w:r>
    </w:p>
    <w:p w14:paraId="62A0E8EC" w14:textId="77777777" w:rsidR="009E514E" w:rsidRDefault="004847DE">
      <w:pPr>
        <w:pStyle w:val="ListNumber"/>
      </w:pPr>
      <w:r>
        <w:rPr>
          <w:b/>
        </w:rPr>
        <w:t xml:space="preserve">Create a data dictionary — </w:t>
      </w:r>
      <w:r>
        <w:t>For every field, record its meaning, unit, timestamp convention and whether it is observed, derived or assumed.</w:t>
      </w:r>
    </w:p>
    <w:p w14:paraId="521495D4" w14:textId="77777777" w:rsidR="009E514E" w:rsidRDefault="004847DE">
      <w:pPr>
        <w:pStyle w:val="ListNumber"/>
      </w:pPr>
      <w:r>
        <w:rPr>
          <w:b/>
        </w:rPr>
        <w:t xml:space="preserve">Clean timestamps — </w:t>
      </w:r>
      <w:r>
        <w:t>Parse dates, standardize time zones, sort rows, identify duplicates and document daylight-saving or missing-period issues if relevant.</w:t>
      </w:r>
    </w:p>
    <w:p w14:paraId="7AC4B5A9" w14:textId="77777777" w:rsidR="009E514E" w:rsidRDefault="004847DE">
      <w:pPr>
        <w:pStyle w:val="ListNumber"/>
      </w:pPr>
      <w:r>
        <w:rPr>
          <w:b/>
        </w:rPr>
        <w:t xml:space="preserve">Align time series — </w:t>
      </w:r>
      <w:r>
        <w:t>Choose a common interval after inspecting the dataset. Resample solar and base load consistently, and align the tariff to the same slots.</w:t>
      </w:r>
    </w:p>
    <w:p w14:paraId="677A17D1" w14:textId="77777777" w:rsidR="009E514E" w:rsidRDefault="004847DE">
      <w:pPr>
        <w:pStyle w:val="ListNumber"/>
      </w:pPr>
      <w:r>
        <w:rPr>
          <w:b/>
        </w:rPr>
        <w:t xml:space="preserve">Prepare EV sessions — </w:t>
      </w:r>
      <w:r>
        <w:t>Normalize arrival/departure fields, energy requirements and charger limits. Check impossible sessions and clarify the battery-energy versus grid-energy convention.</w:t>
      </w:r>
    </w:p>
    <w:p w14:paraId="51F09DD8" w14:textId="77777777" w:rsidR="009E514E" w:rsidRDefault="004847DE">
      <w:pPr>
        <w:pStyle w:val="ListNumber"/>
      </w:pPr>
      <w:r>
        <w:rPr>
          <w:b/>
        </w:rPr>
        <w:t xml:space="preserve">Create a scenario builder — </w:t>
      </w:r>
      <w:r>
        <w:t>Generate one shared scenario object or set of CSVs that all strategies can consume. Include scenario ID and time-slot duration.</w:t>
      </w:r>
    </w:p>
    <w:p w14:paraId="16E4370C" w14:textId="77777777" w:rsidR="009E514E" w:rsidRDefault="004847DE">
      <w:pPr>
        <w:pStyle w:val="ListNumber"/>
      </w:pPr>
      <w:r>
        <w:rPr>
          <w:b/>
        </w:rPr>
        <w:t xml:space="preserve">Validate data — </w:t>
      </w:r>
      <w:r>
        <w:t>Check missing intervals, negative or impossible values, timestamp mismatches and energy feasibility. Keep a log of exclusions and assumptions.</w:t>
      </w:r>
    </w:p>
    <w:p w14:paraId="4C207717" w14:textId="77777777" w:rsidR="009E514E" w:rsidRDefault="004847DE">
      <w:pPr>
        <w:pStyle w:val="ListNumber"/>
      </w:pPr>
      <w:r>
        <w:rPr>
          <w:b/>
        </w:rPr>
        <w:t xml:space="preserve">Save reproducible outputs — </w:t>
      </w:r>
      <w:r>
        <w:t>Keep raw data unchanged, store processed data separately, and document how to regenerate the processed files.</w:t>
      </w:r>
    </w:p>
    <w:p w14:paraId="14857BE2" w14:textId="77777777" w:rsidR="009E514E" w:rsidRDefault="004847DE">
      <w:pPr>
        <w:pStyle w:val="Heading2"/>
      </w:pPr>
      <w:r>
        <w:t>Part B — Forecasting</w:t>
      </w:r>
    </w:p>
    <w:p w14:paraId="5FEE4E5D" w14:textId="77777777" w:rsidR="009E514E" w:rsidRDefault="004847DE">
      <w:pPr>
        <w:pStyle w:val="ListNumber"/>
      </w:pPr>
      <w:r>
        <w:rPr>
          <w:b/>
        </w:rPr>
        <w:t>Confirm forecast targets — Solar generation is the mandatory ML target. Forecast base load too if a suitable historical series exists; otherwise treat the supplied base-load profile as known. Tariffs and EV-session fields are known inputs.</w:t>
      </w:r>
    </w:p>
    <w:p w14:paraId="544127A4" w14:textId="77777777" w:rsidR="009E514E" w:rsidRDefault="004847DE">
      <w:pPr>
        <w:pStyle w:val="ListNumber"/>
      </w:pPr>
      <w:r>
        <w:rPr>
          <w:b/>
        </w:rPr>
        <w:t xml:space="preserve">Establish a baseline — </w:t>
      </w:r>
      <w:r>
        <w:t>Use a simple historical-pattern baseline, such as a previous-day value or historical average for the same hour, when appropriate for the data.</w:t>
      </w:r>
    </w:p>
    <w:p w14:paraId="629AA0F5" w14:textId="77777777" w:rsidR="009E514E" w:rsidRDefault="004847DE">
      <w:pPr>
        <w:pStyle w:val="ListNumber"/>
      </w:pPr>
      <w:r>
        <w:rPr>
          <w:b/>
        </w:rPr>
        <w:t xml:space="preserve">Build a modest ML model — </w:t>
      </w:r>
      <w:r>
        <w:t>Use scikit-learn, starting with a regression model such as RandomForestRegressor or HistGradientBoostingRegressor. Avoid deep learning unless the dataset size and project goals justify it.</w:t>
      </w:r>
    </w:p>
    <w:p w14:paraId="611DC3CC" w14:textId="77777777" w:rsidR="009E514E" w:rsidRDefault="004847DE">
      <w:pPr>
        <w:pStyle w:val="ListNumber"/>
      </w:pPr>
      <w:r>
        <w:rPr>
          <w:b/>
        </w:rPr>
        <w:t xml:space="preserve">Use chronological splits — </w:t>
      </w:r>
      <w:r>
        <w:t>Train on earlier data, validate on a later period and test on a still-later period. Do not leak future observations into training features.</w:t>
      </w:r>
    </w:p>
    <w:p w14:paraId="4DED5F6C" w14:textId="77777777" w:rsidR="009E514E" w:rsidRDefault="004847DE">
      <w:pPr>
        <w:pStyle w:val="ListNumber"/>
      </w:pPr>
      <w:r>
        <w:rPr>
          <w:b/>
        </w:rPr>
        <w:t xml:space="preserve">Generate out-of-sample predictions — </w:t>
      </w:r>
      <w:r>
        <w:t>Save timestamped forecasts for the test period. Ensure the prediction horizon matches the scheduling horizon and that every required slot is covered.</w:t>
      </w:r>
    </w:p>
    <w:p w14:paraId="267284CF" w14:textId="77777777" w:rsidR="009E514E" w:rsidRDefault="004847DE">
      <w:pPr>
        <w:pStyle w:val="ListNumber"/>
      </w:pPr>
      <w:r>
        <w:rPr>
          <w:b/>
        </w:rPr>
        <w:t xml:space="preserve">Evaluate prediction error — </w:t>
      </w:r>
      <w:r>
        <w:t>Calculate MAE and RMSE where meaningful, inspect actual-versus-predicted plots and document forecast limitations.</w:t>
      </w:r>
    </w:p>
    <w:p w14:paraId="125DB31F" w14:textId="77777777" w:rsidR="009E514E" w:rsidRDefault="004847DE">
      <w:pPr>
        <w:pStyle w:val="ListNumber"/>
      </w:pPr>
      <w:r>
        <w:rPr>
          <w:b/>
        </w:rPr>
        <w:t xml:space="preserve">Save model and forecast artifacts — </w:t>
      </w:r>
      <w:r>
        <w:t>Keep the model configuration, train/test date ranges, random seed where relevant and predictions so the experiment can be reproduced.</w:t>
      </w:r>
    </w:p>
    <w:p w14:paraId="2FAD6F66" w14:textId="77777777" w:rsidR="009E514E" w:rsidRDefault="004847DE">
      <w:pPr>
        <w:pStyle w:val="Heading2"/>
      </w:pPr>
      <w:r>
        <w:t>Part C — Forecast-based versus perfect-foresight LP</w:t>
      </w:r>
    </w:p>
    <w:p w14:paraId="2B976C4E" w14:textId="77777777" w:rsidR="009E514E" w:rsidRDefault="004847DE">
      <w:pPr>
        <w:pStyle w:val="ListNumber"/>
      </w:pPr>
      <w:r>
        <w:rPr>
          <w:b/>
        </w:rPr>
        <w:t xml:space="preserve">Define the experiment — </w:t>
      </w:r>
      <w:r>
        <w:t>Write down exactly which input series are forecasted and which are assumed known. Use the same assumptions in both modes except for the uncertain future values.</w:t>
      </w:r>
    </w:p>
    <w:p w14:paraId="6B22B46A" w14:textId="77777777" w:rsidR="009E514E" w:rsidRDefault="004847DE">
      <w:pPr>
        <w:pStyle w:val="ListNumber"/>
      </w:pPr>
      <w:r>
        <w:rPr>
          <w:b/>
        </w:rPr>
        <w:lastRenderedPageBreak/>
        <w:t xml:space="preserve">Run forecast-based LP — </w:t>
      </w:r>
      <w:r>
        <w:t>Pass the forecast input series to Member 3's LP function and save the schedule and solver status.</w:t>
      </w:r>
    </w:p>
    <w:p w14:paraId="2D703CAC" w14:textId="77777777" w:rsidR="009E514E" w:rsidRDefault="004847DE">
      <w:pPr>
        <w:pStyle w:val="ListNumber"/>
      </w:pPr>
      <w:r>
        <w:rPr>
          <w:b/>
        </w:rPr>
        <w:t xml:space="preserve">Run perfect-foresight LP — </w:t>
      </w:r>
      <w:r>
        <w:t>Pass the actual future values for those same uncertain inputs to the same LP function. Do not change the objective, constraints, EV sessions or solver settings.</w:t>
      </w:r>
    </w:p>
    <w:p w14:paraId="45D45732" w14:textId="77777777" w:rsidR="009E514E" w:rsidRDefault="004847DE">
      <w:pPr>
        <w:pStyle w:val="ListNumber"/>
      </w:pPr>
      <w:r>
        <w:rPr>
          <w:b/>
        </w:rPr>
        <w:t xml:space="preserve">Ensure consistent evaluation — </w:t>
      </w:r>
      <w:r>
        <w:t>Evaluate both schedules using the actual test-period environment where the experiment is intended to measure real operational performance. Document whether the schedule is a one-shot plan or a rolling-horizon plan.</w:t>
      </w:r>
    </w:p>
    <w:p w14:paraId="7E21E24A" w14:textId="77777777" w:rsidR="009E514E" w:rsidRDefault="004847DE">
      <w:pPr>
        <w:pStyle w:val="ListNumber"/>
      </w:pPr>
      <w:r>
        <w:rPr>
          <w:b/>
        </w:rPr>
        <w:t xml:space="preserve">Compare results — </w:t>
      </w:r>
      <w:r>
        <w:t>Compare cost, peak grid import, solar energy used, grid energy imported, emissions and feasibility. Report absolute differences and percentage differences only when the denominator makes them meaningful.</w:t>
      </w:r>
    </w:p>
    <w:p w14:paraId="74F33BDF" w14:textId="77777777" w:rsidR="009E514E" w:rsidRDefault="004847DE">
      <w:pPr>
        <w:pStyle w:val="ListNumber"/>
      </w:pPr>
      <w:r>
        <w:rPr>
          <w:b/>
        </w:rPr>
        <w:t xml:space="preserve">Interpret carefully — </w:t>
      </w:r>
      <w:r>
        <w:t>The perfect-foresight result is an ideal-information benchmark, not an achievable deployment result. Differences may arise from forecast errors and the scheduling setup; avoid claiming that every difference is caused solely by ML error unless other conditions are held constant.</w:t>
      </w:r>
    </w:p>
    <w:p w14:paraId="324CD81E" w14:textId="77777777" w:rsidR="009E514E" w:rsidRDefault="004847DE">
      <w:pPr>
        <w:pStyle w:val="ListNumber"/>
      </w:pPr>
      <w:r>
        <w:rPr>
          <w:b/>
        </w:rPr>
        <w:t xml:space="preserve">Deliver reproducible artifacts — </w:t>
      </w:r>
      <w:r>
        <w:t>Save forecasts, both schedules, metric tables, plots, and a concise experiment README with commands and assumptions.</w:t>
      </w:r>
    </w:p>
    <w:p w14:paraId="490BC559" w14:textId="77777777" w:rsidR="009E514E" w:rsidRDefault="004847DE">
      <w:pPr>
        <w:pStyle w:val="Heading2"/>
      </w:pPr>
      <w:r>
        <w:t>Useful formulas for forecast evaluation</w:t>
      </w:r>
    </w:p>
    <w:p w14:paraId="639EC7FD" w14:textId="77777777" w:rsidR="009E514E" w:rsidRDefault="004847DE">
      <w:r>
        <w:t>MAE = (1/N) Σₜ |yₜ − ŷₜ|</w:t>
      </w:r>
    </w:p>
    <w:p w14:paraId="5D6B1AE3" w14:textId="77777777" w:rsidR="009E514E" w:rsidRDefault="004847DE">
      <w:r>
        <w:t>RMSE = √[(1/N) Σₜ (yₜ − ŷₜ)²]</w:t>
      </w:r>
    </w:p>
    <w:p w14:paraId="70F35878" w14:textId="77777777" w:rsidR="009E514E" w:rsidRDefault="004847DE">
      <w:r>
        <w:t>Here yₜ is the observed value and ŷₜ is the forecast. Use only metrics appropriate to the forecast target; for example, do not use percentage error metrics when actual values can be zero or near zero without careful handling.</w:t>
      </w:r>
    </w:p>
    <w:p w14:paraId="4295E3E9" w14:textId="77777777" w:rsidR="009E514E" w:rsidRDefault="004847DE">
      <w:pPr>
        <w:pStyle w:val="Heading2"/>
      </w:pPr>
      <w:r>
        <w:t>Tools</w:t>
      </w:r>
    </w:p>
    <w:p w14:paraId="0B554647" w14:textId="77777777" w:rsidR="009E514E" w:rsidRDefault="004847DE">
      <w:pPr>
        <w:pStyle w:val="ListBullet"/>
        <w:spacing w:after="40"/>
      </w:pPr>
      <w:r>
        <w:t>pandas and NumPy for cleaning, alignment and scenario creation.</w:t>
      </w:r>
    </w:p>
    <w:p w14:paraId="6175C318" w14:textId="77777777" w:rsidR="009E514E" w:rsidRDefault="004847DE">
      <w:pPr>
        <w:pStyle w:val="ListBullet"/>
        <w:spacing w:after="40"/>
      </w:pPr>
      <w:r>
        <w:t>scikit-learn for baseline/ML forecasts and error metrics.</w:t>
      </w:r>
    </w:p>
    <w:p w14:paraId="7DCA5D7C" w14:textId="77777777" w:rsidR="009E514E" w:rsidRDefault="004847DE">
      <w:pPr>
        <w:pStyle w:val="ListBullet"/>
        <w:spacing w:after="40"/>
      </w:pPr>
      <w:r>
        <w:t>Matplotlib for forecast plots.</w:t>
      </w:r>
    </w:p>
    <w:p w14:paraId="57716238" w14:textId="77777777" w:rsidR="009E514E" w:rsidRDefault="004847DE">
      <w:pPr>
        <w:pStyle w:val="ListBullet"/>
        <w:spacing w:after="40"/>
      </w:pPr>
      <w:r>
        <w:t>The same PuLP/CBC LP function supplied by Member 3 for both information modes.</w:t>
      </w:r>
    </w:p>
    <w:p w14:paraId="33D1E812" w14:textId="77777777" w:rsidR="009E514E" w:rsidRDefault="004847DE">
      <w:pPr>
        <w:pStyle w:val="Heading2"/>
      </w:pPr>
      <w:r>
        <w:t>Watch-outs</w:t>
      </w:r>
    </w:p>
    <w:p w14:paraId="16C0B955" w14:textId="77777777" w:rsidR="009E514E" w:rsidRDefault="004847DE">
      <w:pPr>
        <w:pStyle w:val="ListBullet"/>
        <w:spacing w:after="40"/>
      </w:pPr>
      <w:r>
        <w:t>Do not choose forecasting targets until the dataset and scheduling assumptions are inspected.</w:t>
      </w:r>
    </w:p>
    <w:p w14:paraId="7A92AD98" w14:textId="77777777" w:rsidR="009E514E" w:rsidRDefault="004847DE">
      <w:pPr>
        <w:pStyle w:val="ListBullet"/>
        <w:spacing w:after="40"/>
      </w:pPr>
      <w:r>
        <w:t>Do not forecast published prices unnecessarily if the tariff is known ahead of time.</w:t>
      </w:r>
    </w:p>
    <w:p w14:paraId="681A9781" w14:textId="77777777" w:rsidR="009E514E" w:rsidRDefault="004847DE">
      <w:pPr>
        <w:pStyle w:val="ListBullet"/>
        <w:spacing w:after="40"/>
      </w:pPr>
      <w:r>
        <w:t>Avoid random train/test splits that leak future time-series information.</w:t>
      </w:r>
    </w:p>
    <w:p w14:paraId="5F33104B" w14:textId="77777777" w:rsidR="009E514E" w:rsidRDefault="004847DE">
      <w:pPr>
        <w:pStyle w:val="ListBullet"/>
        <w:spacing w:after="40"/>
      </w:pPr>
      <w:r>
        <w:t>Make the forecast horizon and schedule horizon consistent.</w:t>
      </w:r>
    </w:p>
    <w:p w14:paraId="450504AF" w14:textId="77777777" w:rsidR="009E514E" w:rsidRDefault="004847DE">
      <w:pPr>
        <w:pStyle w:val="ListBullet"/>
        <w:spacing w:after="40"/>
      </w:pPr>
      <w:r>
        <w:t>The actual future values used for perfect foresight must correspond to the same timestamps as the forecast values.</w:t>
      </w:r>
    </w:p>
    <w:p w14:paraId="6C917594" w14:textId="77777777" w:rsidR="009E514E" w:rsidRDefault="004847DE">
      <w:pPr>
        <w:pStyle w:val="ListBullet"/>
        <w:spacing w:after="40"/>
      </w:pPr>
      <w:r>
        <w:t>Do not build a second LP model for perfect foresight. Reuse Member 3's model and swap the input series.</w:t>
      </w:r>
    </w:p>
    <w:p w14:paraId="23589DF6" w14:textId="77777777" w:rsidR="009E514E" w:rsidRDefault="004847DE">
      <w:pPr>
        <w:pStyle w:val="ListBullet"/>
        <w:spacing w:after="40"/>
      </w:pPr>
      <w:r>
        <w:t>Member 4 should coordinate integration, but each strategy owner remains responsible for fixing their own strategy bugs.</w:t>
      </w:r>
    </w:p>
    <w:p w14:paraId="19B0AF20" w14:textId="77777777" w:rsidR="009E514E" w:rsidRDefault="004847DE">
      <w:pPr>
        <w:pStyle w:val="Heading2"/>
      </w:pPr>
      <w:r>
        <w:t>Definition of done</w:t>
      </w:r>
    </w:p>
    <w:p w14:paraId="2A3B206A" w14:textId="77777777" w:rsidR="009E514E" w:rsidRDefault="004847DE">
      <w:pPr>
        <w:pStyle w:val="ListBullet"/>
        <w:spacing w:after="40"/>
      </w:pPr>
      <w:r>
        <w:t>The processed scenario is reproducible and accepted by all three strategy functions.</w:t>
      </w:r>
    </w:p>
    <w:p w14:paraId="3957486B" w14:textId="77777777" w:rsidR="009E514E" w:rsidRDefault="004847DE">
      <w:pPr>
        <w:pStyle w:val="ListBullet"/>
        <w:spacing w:after="40"/>
      </w:pPr>
      <w:r>
        <w:t>Forecast targets, horizon and known/unknown inputs are documented.</w:t>
      </w:r>
    </w:p>
    <w:p w14:paraId="6481F667" w14:textId="77777777" w:rsidR="009E514E" w:rsidRDefault="004847DE">
      <w:pPr>
        <w:pStyle w:val="ListBullet"/>
        <w:spacing w:after="40"/>
      </w:pPr>
      <w:r>
        <w:t>The ML forecast is evaluated on a chronological held-out test period.</w:t>
      </w:r>
    </w:p>
    <w:p w14:paraId="68D6BCD6" w14:textId="77777777" w:rsidR="009E514E" w:rsidRDefault="004847DE">
      <w:pPr>
        <w:pStyle w:val="ListBullet"/>
        <w:spacing w:after="40"/>
      </w:pPr>
      <w:r>
        <w:t>Forecast-based and perfect-foresight runs use the same LP model and test scenarios.</w:t>
      </w:r>
    </w:p>
    <w:p w14:paraId="11173B68" w14:textId="77777777" w:rsidR="009E514E" w:rsidRDefault="004847DE">
      <w:pPr>
        <w:pStyle w:val="ListBullet"/>
        <w:spacing w:after="40"/>
      </w:pPr>
      <w:r>
        <w:t>Results and plots can be regenerated from documented commands.</w:t>
      </w:r>
    </w:p>
    <w:p w14:paraId="434EBA35" w14:textId="77777777" w:rsidR="009E514E" w:rsidRDefault="004847DE">
      <w:r>
        <w:br w:type="page"/>
      </w:r>
    </w:p>
    <w:p w14:paraId="3E4A4A49" w14:textId="77777777" w:rsidR="009E514E" w:rsidRDefault="004847DE">
      <w:pPr>
        <w:pStyle w:val="Heading1"/>
      </w:pPr>
      <w:r>
        <w:lastRenderedPageBreak/>
        <w:t>8. How the four roles integrate</w:t>
      </w:r>
    </w:p>
    <w:p w14:paraId="4310B3DA" w14:textId="77777777" w:rsidR="009E514E" w:rsidRDefault="004847DE">
      <w:r>
        <w:t>The integration should be contract-driven: each role hands off a defined artifact rather than relying on another teammate to infer how their code works.</w:t>
      </w:r>
    </w:p>
    <w:tbl>
      <w:tblPr>
        <w:tblStyle w:val="TableGrid"/>
        <w:tblW w:w="0" w:type="auto"/>
        <w:jc w:val="center"/>
        <w:tblLayout w:type="fixed"/>
        <w:tblLook w:val="04A0" w:firstRow="1" w:lastRow="0" w:firstColumn="1" w:lastColumn="0" w:noHBand="0" w:noVBand="1"/>
      </w:tblPr>
      <w:tblGrid>
        <w:gridCol w:w="1800"/>
        <w:gridCol w:w="2232"/>
        <w:gridCol w:w="2880"/>
        <w:gridCol w:w="3312"/>
      </w:tblGrid>
      <w:tr w:rsidR="009E514E" w14:paraId="6B1FA2B5" w14:textId="77777777">
        <w:trPr>
          <w:tblHeader/>
          <w:jc w:val="center"/>
        </w:trPr>
        <w:tc>
          <w:tcPr>
            <w:tcW w:w="1800" w:type="dxa"/>
            <w:shd w:val="clear" w:color="auto" w:fill="16324F"/>
            <w:tcMar>
              <w:top w:w="90" w:type="dxa"/>
              <w:left w:w="100" w:type="dxa"/>
              <w:bottom w:w="90" w:type="dxa"/>
              <w:right w:w="100" w:type="dxa"/>
            </w:tcMar>
            <w:vAlign w:val="center"/>
          </w:tcPr>
          <w:p w14:paraId="72D08A29" w14:textId="77777777" w:rsidR="009E514E" w:rsidRDefault="004847DE">
            <w:pPr>
              <w:spacing w:after="0"/>
            </w:pPr>
            <w:r>
              <w:rPr>
                <w:b/>
                <w:color w:val="FFFFFF"/>
                <w:sz w:val="17"/>
              </w:rPr>
              <w:t>Stage</w:t>
            </w:r>
          </w:p>
        </w:tc>
        <w:tc>
          <w:tcPr>
            <w:tcW w:w="2232" w:type="dxa"/>
            <w:shd w:val="clear" w:color="auto" w:fill="16324F"/>
            <w:tcMar>
              <w:top w:w="90" w:type="dxa"/>
              <w:left w:w="100" w:type="dxa"/>
              <w:bottom w:w="90" w:type="dxa"/>
              <w:right w:w="100" w:type="dxa"/>
            </w:tcMar>
            <w:vAlign w:val="center"/>
          </w:tcPr>
          <w:p w14:paraId="45512A2D" w14:textId="77777777" w:rsidR="009E514E" w:rsidRDefault="004847DE">
            <w:pPr>
              <w:spacing w:after="0"/>
            </w:pPr>
            <w:r>
              <w:rPr>
                <w:b/>
                <w:color w:val="FFFFFF"/>
                <w:sz w:val="17"/>
              </w:rPr>
              <w:t>Owner</w:t>
            </w:r>
          </w:p>
        </w:tc>
        <w:tc>
          <w:tcPr>
            <w:tcW w:w="2880" w:type="dxa"/>
            <w:shd w:val="clear" w:color="auto" w:fill="16324F"/>
            <w:tcMar>
              <w:top w:w="90" w:type="dxa"/>
              <w:left w:w="100" w:type="dxa"/>
              <w:bottom w:w="90" w:type="dxa"/>
              <w:right w:w="100" w:type="dxa"/>
            </w:tcMar>
            <w:vAlign w:val="center"/>
          </w:tcPr>
          <w:p w14:paraId="55CBCDBF" w14:textId="77777777" w:rsidR="009E514E" w:rsidRDefault="004847DE">
            <w:pPr>
              <w:spacing w:after="0"/>
            </w:pPr>
            <w:r>
              <w:rPr>
                <w:b/>
                <w:color w:val="FFFFFF"/>
                <w:sz w:val="17"/>
              </w:rPr>
              <w:t>Input</w:t>
            </w:r>
          </w:p>
        </w:tc>
        <w:tc>
          <w:tcPr>
            <w:tcW w:w="3312" w:type="dxa"/>
            <w:shd w:val="clear" w:color="auto" w:fill="16324F"/>
            <w:tcMar>
              <w:top w:w="90" w:type="dxa"/>
              <w:left w:w="100" w:type="dxa"/>
              <w:bottom w:w="90" w:type="dxa"/>
              <w:right w:w="100" w:type="dxa"/>
            </w:tcMar>
            <w:vAlign w:val="center"/>
          </w:tcPr>
          <w:p w14:paraId="06A10A95" w14:textId="77777777" w:rsidR="009E514E" w:rsidRDefault="004847DE">
            <w:pPr>
              <w:spacing w:after="0"/>
            </w:pPr>
            <w:r>
              <w:rPr>
                <w:b/>
                <w:color w:val="FFFFFF"/>
                <w:sz w:val="17"/>
              </w:rPr>
              <w:t>Output / handoff</w:t>
            </w:r>
          </w:p>
        </w:tc>
      </w:tr>
      <w:tr w:rsidR="009E514E" w14:paraId="6E6C6283" w14:textId="77777777">
        <w:trPr>
          <w:jc w:val="center"/>
        </w:trPr>
        <w:tc>
          <w:tcPr>
            <w:tcW w:w="1800" w:type="dxa"/>
            <w:tcMar>
              <w:top w:w="90" w:type="dxa"/>
              <w:left w:w="100" w:type="dxa"/>
              <w:bottom w:w="90" w:type="dxa"/>
              <w:right w:w="100" w:type="dxa"/>
            </w:tcMar>
          </w:tcPr>
          <w:p w14:paraId="37B1FCE1" w14:textId="77777777" w:rsidR="009E514E" w:rsidRDefault="004847DE">
            <w:pPr>
              <w:spacing w:after="20"/>
            </w:pPr>
            <w:r>
              <w:rPr>
                <w:sz w:val="17"/>
              </w:rPr>
              <w:t>1. Scenario preparation</w:t>
            </w:r>
          </w:p>
        </w:tc>
        <w:tc>
          <w:tcPr>
            <w:tcW w:w="2232" w:type="dxa"/>
            <w:tcMar>
              <w:top w:w="90" w:type="dxa"/>
              <w:left w:w="100" w:type="dxa"/>
              <w:bottom w:w="90" w:type="dxa"/>
              <w:right w:w="100" w:type="dxa"/>
            </w:tcMar>
          </w:tcPr>
          <w:p w14:paraId="423F18C8" w14:textId="77777777" w:rsidR="009E514E" w:rsidRDefault="004847DE">
            <w:pPr>
              <w:spacing w:after="20"/>
            </w:pPr>
            <w:r>
              <w:rPr>
                <w:sz w:val="17"/>
              </w:rPr>
              <w:t>Member 4</w:t>
            </w:r>
          </w:p>
        </w:tc>
        <w:tc>
          <w:tcPr>
            <w:tcW w:w="2880" w:type="dxa"/>
            <w:tcMar>
              <w:top w:w="90" w:type="dxa"/>
              <w:left w:w="100" w:type="dxa"/>
              <w:bottom w:w="90" w:type="dxa"/>
              <w:right w:w="100" w:type="dxa"/>
            </w:tcMar>
          </w:tcPr>
          <w:p w14:paraId="09A690B8" w14:textId="77777777" w:rsidR="009E514E" w:rsidRDefault="004847DE">
            <w:pPr>
              <w:spacing w:after="20"/>
            </w:pPr>
            <w:r>
              <w:rPr>
                <w:sz w:val="17"/>
              </w:rPr>
              <w:t>Raw EV, solar, base-load and tariff data</w:t>
            </w:r>
          </w:p>
        </w:tc>
        <w:tc>
          <w:tcPr>
            <w:tcW w:w="3312" w:type="dxa"/>
            <w:tcMar>
              <w:top w:w="90" w:type="dxa"/>
              <w:left w:w="100" w:type="dxa"/>
              <w:bottom w:w="90" w:type="dxa"/>
              <w:right w:w="100" w:type="dxa"/>
            </w:tcMar>
          </w:tcPr>
          <w:p w14:paraId="560A9113" w14:textId="77777777" w:rsidR="009E514E" w:rsidRDefault="004847DE">
            <w:pPr>
              <w:spacing w:after="20"/>
            </w:pPr>
            <w:r>
              <w:rPr>
                <w:sz w:val="17"/>
              </w:rPr>
              <w:t>Processed scenario with common timestamps, units and EV fields.</w:t>
            </w:r>
          </w:p>
        </w:tc>
      </w:tr>
      <w:tr w:rsidR="009E514E" w14:paraId="79381BB7" w14:textId="77777777">
        <w:trPr>
          <w:jc w:val="center"/>
        </w:trPr>
        <w:tc>
          <w:tcPr>
            <w:tcW w:w="1800" w:type="dxa"/>
            <w:shd w:val="clear" w:color="auto" w:fill="F3F6F8"/>
            <w:tcMar>
              <w:top w:w="90" w:type="dxa"/>
              <w:left w:w="100" w:type="dxa"/>
              <w:bottom w:w="90" w:type="dxa"/>
              <w:right w:w="100" w:type="dxa"/>
            </w:tcMar>
          </w:tcPr>
          <w:p w14:paraId="4F0C28E9" w14:textId="77777777" w:rsidR="009E514E" w:rsidRDefault="004847DE">
            <w:pPr>
              <w:spacing w:after="20"/>
            </w:pPr>
            <w:r>
              <w:rPr>
                <w:sz w:val="17"/>
              </w:rPr>
              <w:t>2. Baseline execution</w:t>
            </w:r>
          </w:p>
        </w:tc>
        <w:tc>
          <w:tcPr>
            <w:tcW w:w="2232" w:type="dxa"/>
            <w:shd w:val="clear" w:color="auto" w:fill="F3F6F8"/>
            <w:tcMar>
              <w:top w:w="90" w:type="dxa"/>
              <w:left w:w="100" w:type="dxa"/>
              <w:bottom w:w="90" w:type="dxa"/>
              <w:right w:w="100" w:type="dxa"/>
            </w:tcMar>
          </w:tcPr>
          <w:p w14:paraId="208A4D16" w14:textId="77777777" w:rsidR="009E514E" w:rsidRDefault="004847DE">
            <w:pPr>
              <w:spacing w:after="20"/>
            </w:pPr>
            <w:r>
              <w:rPr>
                <w:sz w:val="17"/>
              </w:rPr>
              <w:t>Member 1</w:t>
            </w:r>
          </w:p>
        </w:tc>
        <w:tc>
          <w:tcPr>
            <w:tcW w:w="2880" w:type="dxa"/>
            <w:shd w:val="clear" w:color="auto" w:fill="F3F6F8"/>
            <w:tcMar>
              <w:top w:w="90" w:type="dxa"/>
              <w:left w:w="100" w:type="dxa"/>
              <w:bottom w:w="90" w:type="dxa"/>
              <w:right w:w="100" w:type="dxa"/>
            </w:tcMar>
          </w:tcPr>
          <w:p w14:paraId="74BC01AE" w14:textId="77777777" w:rsidR="009E514E" w:rsidRDefault="004847DE">
            <w:pPr>
              <w:spacing w:after="20"/>
            </w:pPr>
            <w:r>
              <w:rPr>
                <w:sz w:val="17"/>
              </w:rPr>
              <w:t>Processed scenario</w:t>
            </w:r>
          </w:p>
        </w:tc>
        <w:tc>
          <w:tcPr>
            <w:tcW w:w="3312" w:type="dxa"/>
            <w:shd w:val="clear" w:color="auto" w:fill="F3F6F8"/>
            <w:tcMar>
              <w:top w:w="90" w:type="dxa"/>
              <w:left w:w="100" w:type="dxa"/>
              <w:bottom w:w="90" w:type="dxa"/>
              <w:right w:w="100" w:type="dxa"/>
            </w:tcMar>
          </w:tcPr>
          <w:p w14:paraId="6B99755B" w14:textId="77777777" w:rsidR="009E514E" w:rsidRDefault="004847DE">
            <w:pPr>
              <w:spacing w:after="20"/>
            </w:pPr>
            <w:r>
              <w:rPr>
                <w:sz w:val="17"/>
              </w:rPr>
              <w:t>Uncontrolled charging schedule.</w:t>
            </w:r>
          </w:p>
        </w:tc>
      </w:tr>
      <w:tr w:rsidR="009E514E" w14:paraId="342A8129" w14:textId="77777777">
        <w:trPr>
          <w:jc w:val="center"/>
        </w:trPr>
        <w:tc>
          <w:tcPr>
            <w:tcW w:w="1800" w:type="dxa"/>
            <w:tcMar>
              <w:top w:w="90" w:type="dxa"/>
              <w:left w:w="100" w:type="dxa"/>
              <w:bottom w:w="90" w:type="dxa"/>
              <w:right w:w="100" w:type="dxa"/>
            </w:tcMar>
          </w:tcPr>
          <w:p w14:paraId="788C3ED4" w14:textId="77777777" w:rsidR="009E514E" w:rsidRDefault="004847DE">
            <w:pPr>
              <w:spacing w:after="20"/>
            </w:pPr>
            <w:r>
              <w:rPr>
                <w:sz w:val="17"/>
              </w:rPr>
              <w:t>3. TOU execution</w:t>
            </w:r>
          </w:p>
        </w:tc>
        <w:tc>
          <w:tcPr>
            <w:tcW w:w="2232" w:type="dxa"/>
            <w:tcMar>
              <w:top w:w="90" w:type="dxa"/>
              <w:left w:w="100" w:type="dxa"/>
              <w:bottom w:w="90" w:type="dxa"/>
              <w:right w:w="100" w:type="dxa"/>
            </w:tcMar>
          </w:tcPr>
          <w:p w14:paraId="375334E4" w14:textId="77777777" w:rsidR="009E514E" w:rsidRDefault="004847DE">
            <w:pPr>
              <w:spacing w:after="20"/>
            </w:pPr>
            <w:r>
              <w:rPr>
                <w:sz w:val="17"/>
              </w:rPr>
              <w:t>Member 2</w:t>
            </w:r>
          </w:p>
        </w:tc>
        <w:tc>
          <w:tcPr>
            <w:tcW w:w="2880" w:type="dxa"/>
            <w:tcMar>
              <w:top w:w="90" w:type="dxa"/>
              <w:left w:w="100" w:type="dxa"/>
              <w:bottom w:w="90" w:type="dxa"/>
              <w:right w:w="100" w:type="dxa"/>
            </w:tcMar>
          </w:tcPr>
          <w:p w14:paraId="0E20DBA2" w14:textId="77777777" w:rsidR="009E514E" w:rsidRDefault="004847DE">
            <w:pPr>
              <w:spacing w:after="20"/>
            </w:pPr>
            <w:r>
              <w:rPr>
                <w:sz w:val="17"/>
              </w:rPr>
              <w:t>Processed scenario and tariff</w:t>
            </w:r>
          </w:p>
        </w:tc>
        <w:tc>
          <w:tcPr>
            <w:tcW w:w="3312" w:type="dxa"/>
            <w:tcMar>
              <w:top w:w="90" w:type="dxa"/>
              <w:left w:w="100" w:type="dxa"/>
              <w:bottom w:w="90" w:type="dxa"/>
              <w:right w:w="100" w:type="dxa"/>
            </w:tcMar>
          </w:tcPr>
          <w:p w14:paraId="1D96904C" w14:textId="77777777" w:rsidR="009E514E" w:rsidRDefault="004847DE">
            <w:pPr>
              <w:spacing w:after="20"/>
            </w:pPr>
            <w:r>
              <w:rPr>
                <w:sz w:val="17"/>
              </w:rPr>
              <w:t>TOU charging schedule.</w:t>
            </w:r>
          </w:p>
        </w:tc>
      </w:tr>
      <w:tr w:rsidR="009E514E" w14:paraId="5E487FE3" w14:textId="77777777">
        <w:trPr>
          <w:jc w:val="center"/>
        </w:trPr>
        <w:tc>
          <w:tcPr>
            <w:tcW w:w="1800" w:type="dxa"/>
            <w:shd w:val="clear" w:color="auto" w:fill="F3F6F8"/>
            <w:tcMar>
              <w:top w:w="90" w:type="dxa"/>
              <w:left w:w="100" w:type="dxa"/>
              <w:bottom w:w="90" w:type="dxa"/>
              <w:right w:w="100" w:type="dxa"/>
            </w:tcMar>
          </w:tcPr>
          <w:p w14:paraId="5DA9DBA8" w14:textId="77777777" w:rsidR="009E514E" w:rsidRDefault="004847DE">
            <w:pPr>
              <w:spacing w:after="20"/>
            </w:pPr>
            <w:r>
              <w:rPr>
                <w:sz w:val="17"/>
              </w:rPr>
              <w:t>4. Smart LP execution</w:t>
            </w:r>
          </w:p>
        </w:tc>
        <w:tc>
          <w:tcPr>
            <w:tcW w:w="2232" w:type="dxa"/>
            <w:shd w:val="clear" w:color="auto" w:fill="F3F6F8"/>
            <w:tcMar>
              <w:top w:w="90" w:type="dxa"/>
              <w:left w:w="100" w:type="dxa"/>
              <w:bottom w:w="90" w:type="dxa"/>
              <w:right w:w="100" w:type="dxa"/>
            </w:tcMar>
          </w:tcPr>
          <w:p w14:paraId="585CAD19" w14:textId="77777777" w:rsidR="009E514E" w:rsidRDefault="004847DE">
            <w:pPr>
              <w:spacing w:after="20"/>
            </w:pPr>
            <w:r>
              <w:rPr>
                <w:sz w:val="17"/>
              </w:rPr>
              <w:t>Member 3</w:t>
            </w:r>
          </w:p>
        </w:tc>
        <w:tc>
          <w:tcPr>
            <w:tcW w:w="2880" w:type="dxa"/>
            <w:shd w:val="clear" w:color="auto" w:fill="F3F6F8"/>
            <w:tcMar>
              <w:top w:w="90" w:type="dxa"/>
              <w:left w:w="100" w:type="dxa"/>
              <w:bottom w:w="90" w:type="dxa"/>
              <w:right w:w="100" w:type="dxa"/>
            </w:tcMar>
          </w:tcPr>
          <w:p w14:paraId="76697597" w14:textId="77777777" w:rsidR="009E514E" w:rsidRDefault="004847DE">
            <w:pPr>
              <w:spacing w:after="20"/>
            </w:pPr>
            <w:r>
              <w:rPr>
                <w:sz w:val="17"/>
              </w:rPr>
              <w:t>Processed scenario, objective config and future inputs</w:t>
            </w:r>
          </w:p>
        </w:tc>
        <w:tc>
          <w:tcPr>
            <w:tcW w:w="3312" w:type="dxa"/>
            <w:shd w:val="clear" w:color="auto" w:fill="F3F6F8"/>
            <w:tcMar>
              <w:top w:w="90" w:type="dxa"/>
              <w:left w:w="100" w:type="dxa"/>
              <w:bottom w:w="90" w:type="dxa"/>
              <w:right w:w="100" w:type="dxa"/>
            </w:tcMar>
          </w:tcPr>
          <w:p w14:paraId="46D11612" w14:textId="77777777" w:rsidR="009E514E" w:rsidRDefault="004847DE">
            <w:pPr>
              <w:spacing w:after="20"/>
            </w:pPr>
            <w:r>
              <w:rPr>
                <w:sz w:val="17"/>
              </w:rPr>
              <w:t>LP schedule plus solver status.</w:t>
            </w:r>
          </w:p>
        </w:tc>
      </w:tr>
      <w:tr w:rsidR="009E514E" w14:paraId="0324B5E8" w14:textId="77777777">
        <w:trPr>
          <w:jc w:val="center"/>
        </w:trPr>
        <w:tc>
          <w:tcPr>
            <w:tcW w:w="1800" w:type="dxa"/>
            <w:tcMar>
              <w:top w:w="90" w:type="dxa"/>
              <w:left w:w="100" w:type="dxa"/>
              <w:bottom w:w="90" w:type="dxa"/>
              <w:right w:w="100" w:type="dxa"/>
            </w:tcMar>
          </w:tcPr>
          <w:p w14:paraId="1E5F0F05" w14:textId="77777777" w:rsidR="009E514E" w:rsidRDefault="004847DE">
            <w:pPr>
              <w:spacing w:after="20"/>
            </w:pPr>
            <w:r>
              <w:rPr>
                <w:sz w:val="17"/>
              </w:rPr>
              <w:t>5. Forecast generation</w:t>
            </w:r>
          </w:p>
        </w:tc>
        <w:tc>
          <w:tcPr>
            <w:tcW w:w="2232" w:type="dxa"/>
            <w:tcMar>
              <w:top w:w="90" w:type="dxa"/>
              <w:left w:w="100" w:type="dxa"/>
              <w:bottom w:w="90" w:type="dxa"/>
              <w:right w:w="100" w:type="dxa"/>
            </w:tcMar>
          </w:tcPr>
          <w:p w14:paraId="3FCFE757" w14:textId="77777777" w:rsidR="009E514E" w:rsidRDefault="004847DE">
            <w:pPr>
              <w:spacing w:after="20"/>
            </w:pPr>
            <w:r>
              <w:rPr>
                <w:sz w:val="17"/>
              </w:rPr>
              <w:t>Member 4</w:t>
            </w:r>
          </w:p>
        </w:tc>
        <w:tc>
          <w:tcPr>
            <w:tcW w:w="2880" w:type="dxa"/>
            <w:tcMar>
              <w:top w:w="90" w:type="dxa"/>
              <w:left w:w="100" w:type="dxa"/>
              <w:bottom w:w="90" w:type="dxa"/>
              <w:right w:w="100" w:type="dxa"/>
            </w:tcMar>
          </w:tcPr>
          <w:p w14:paraId="25EADB1C" w14:textId="77777777" w:rsidR="009E514E" w:rsidRDefault="004847DE">
            <w:pPr>
              <w:spacing w:after="20"/>
            </w:pPr>
            <w:r>
              <w:rPr>
                <w:sz w:val="17"/>
              </w:rPr>
              <w:t>Historical inputs and target definitions</w:t>
            </w:r>
          </w:p>
        </w:tc>
        <w:tc>
          <w:tcPr>
            <w:tcW w:w="3312" w:type="dxa"/>
            <w:tcMar>
              <w:top w:w="90" w:type="dxa"/>
              <w:left w:w="100" w:type="dxa"/>
              <w:bottom w:w="90" w:type="dxa"/>
              <w:right w:w="100" w:type="dxa"/>
            </w:tcMar>
          </w:tcPr>
          <w:p w14:paraId="3DE4873B" w14:textId="77777777" w:rsidR="009E514E" w:rsidRDefault="004847DE">
            <w:pPr>
              <w:spacing w:after="20"/>
            </w:pPr>
            <w:r>
              <w:rPr>
                <w:sz w:val="17"/>
              </w:rPr>
              <w:t>Forecast series aligned to test timestamps.</w:t>
            </w:r>
          </w:p>
        </w:tc>
      </w:tr>
      <w:tr w:rsidR="009E514E" w14:paraId="32B26F46" w14:textId="77777777">
        <w:trPr>
          <w:jc w:val="center"/>
        </w:trPr>
        <w:tc>
          <w:tcPr>
            <w:tcW w:w="1800" w:type="dxa"/>
            <w:shd w:val="clear" w:color="auto" w:fill="F3F6F8"/>
            <w:tcMar>
              <w:top w:w="90" w:type="dxa"/>
              <w:left w:w="100" w:type="dxa"/>
              <w:bottom w:w="90" w:type="dxa"/>
              <w:right w:w="100" w:type="dxa"/>
            </w:tcMar>
          </w:tcPr>
          <w:p w14:paraId="32634618" w14:textId="77777777" w:rsidR="009E514E" w:rsidRDefault="004847DE">
            <w:pPr>
              <w:spacing w:after="20"/>
            </w:pPr>
            <w:r>
              <w:rPr>
                <w:sz w:val="17"/>
              </w:rPr>
              <w:t>6. Two LP information modes</w:t>
            </w:r>
          </w:p>
        </w:tc>
        <w:tc>
          <w:tcPr>
            <w:tcW w:w="2232" w:type="dxa"/>
            <w:shd w:val="clear" w:color="auto" w:fill="F3F6F8"/>
            <w:tcMar>
              <w:top w:w="90" w:type="dxa"/>
              <w:left w:w="100" w:type="dxa"/>
              <w:bottom w:w="90" w:type="dxa"/>
              <w:right w:w="100" w:type="dxa"/>
            </w:tcMar>
          </w:tcPr>
          <w:p w14:paraId="2584E522" w14:textId="77777777" w:rsidR="009E514E" w:rsidRDefault="004847DE">
            <w:pPr>
              <w:spacing w:after="20"/>
            </w:pPr>
            <w:r>
              <w:rPr>
                <w:sz w:val="17"/>
              </w:rPr>
              <w:t>Member 4 orchestrates; Member 3's function solves</w:t>
            </w:r>
          </w:p>
        </w:tc>
        <w:tc>
          <w:tcPr>
            <w:tcW w:w="2880" w:type="dxa"/>
            <w:shd w:val="clear" w:color="auto" w:fill="F3F6F8"/>
            <w:tcMar>
              <w:top w:w="90" w:type="dxa"/>
              <w:left w:w="100" w:type="dxa"/>
              <w:bottom w:w="90" w:type="dxa"/>
              <w:right w:w="100" w:type="dxa"/>
            </w:tcMar>
          </w:tcPr>
          <w:p w14:paraId="76570EBB" w14:textId="77777777" w:rsidR="009E514E" w:rsidRDefault="004847DE">
            <w:pPr>
              <w:spacing w:after="20"/>
            </w:pPr>
            <w:r>
              <w:rPr>
                <w:sz w:val="17"/>
              </w:rPr>
              <w:t>Forecast series and actual future series</w:t>
            </w:r>
          </w:p>
        </w:tc>
        <w:tc>
          <w:tcPr>
            <w:tcW w:w="3312" w:type="dxa"/>
            <w:shd w:val="clear" w:color="auto" w:fill="F3F6F8"/>
            <w:tcMar>
              <w:top w:w="90" w:type="dxa"/>
              <w:left w:w="100" w:type="dxa"/>
              <w:bottom w:w="90" w:type="dxa"/>
              <w:right w:w="100" w:type="dxa"/>
            </w:tcMar>
          </w:tcPr>
          <w:p w14:paraId="04DD23C8" w14:textId="77777777" w:rsidR="009E514E" w:rsidRDefault="004847DE">
            <w:pPr>
              <w:spacing w:after="20"/>
            </w:pPr>
            <w:r>
              <w:rPr>
                <w:sz w:val="17"/>
              </w:rPr>
              <w:t>Forecast-based and perfect-foresight schedules.</w:t>
            </w:r>
          </w:p>
        </w:tc>
      </w:tr>
      <w:tr w:rsidR="009E514E" w14:paraId="249382A0" w14:textId="77777777">
        <w:trPr>
          <w:jc w:val="center"/>
        </w:trPr>
        <w:tc>
          <w:tcPr>
            <w:tcW w:w="1800" w:type="dxa"/>
            <w:tcMar>
              <w:top w:w="90" w:type="dxa"/>
              <w:left w:w="100" w:type="dxa"/>
              <w:bottom w:w="90" w:type="dxa"/>
              <w:right w:w="100" w:type="dxa"/>
            </w:tcMar>
          </w:tcPr>
          <w:p w14:paraId="02638C14" w14:textId="77777777" w:rsidR="009E514E" w:rsidRDefault="004847DE">
            <w:pPr>
              <w:spacing w:after="20"/>
            </w:pPr>
            <w:r>
              <w:rPr>
                <w:sz w:val="17"/>
              </w:rPr>
              <w:t>7. Evaluation</w:t>
            </w:r>
          </w:p>
        </w:tc>
        <w:tc>
          <w:tcPr>
            <w:tcW w:w="2232" w:type="dxa"/>
            <w:tcMar>
              <w:top w:w="90" w:type="dxa"/>
              <w:left w:w="100" w:type="dxa"/>
              <w:bottom w:w="90" w:type="dxa"/>
              <w:right w:w="100" w:type="dxa"/>
            </w:tcMar>
          </w:tcPr>
          <w:p w14:paraId="40017EDB" w14:textId="77777777" w:rsidR="009E514E" w:rsidRDefault="004847DE">
            <w:pPr>
              <w:spacing w:after="20"/>
            </w:pPr>
            <w:r>
              <w:rPr>
                <w:sz w:val="17"/>
              </w:rPr>
              <w:t>Shared; Member 4 consolidates</w:t>
            </w:r>
          </w:p>
        </w:tc>
        <w:tc>
          <w:tcPr>
            <w:tcW w:w="2880" w:type="dxa"/>
            <w:tcMar>
              <w:top w:w="90" w:type="dxa"/>
              <w:left w:w="100" w:type="dxa"/>
              <w:bottom w:w="90" w:type="dxa"/>
              <w:right w:w="100" w:type="dxa"/>
            </w:tcMar>
          </w:tcPr>
          <w:p w14:paraId="146C7C1E" w14:textId="77777777" w:rsidR="009E514E" w:rsidRDefault="004847DE">
            <w:pPr>
              <w:spacing w:after="20"/>
            </w:pPr>
            <w:r>
              <w:rPr>
                <w:sz w:val="17"/>
              </w:rPr>
              <w:t>All schedules and actual scenario inputs</w:t>
            </w:r>
          </w:p>
        </w:tc>
        <w:tc>
          <w:tcPr>
            <w:tcW w:w="3312" w:type="dxa"/>
            <w:tcMar>
              <w:top w:w="90" w:type="dxa"/>
              <w:left w:w="100" w:type="dxa"/>
              <w:bottom w:w="90" w:type="dxa"/>
              <w:right w:w="100" w:type="dxa"/>
            </w:tcMar>
          </w:tcPr>
          <w:p w14:paraId="20E24C3D" w14:textId="77777777" w:rsidR="009E514E" w:rsidRDefault="004847DE">
            <w:pPr>
              <w:spacing w:after="20"/>
            </w:pPr>
            <w:r>
              <w:rPr>
                <w:sz w:val="17"/>
              </w:rPr>
              <w:t>Common metrics table, validation report and plots.</w:t>
            </w:r>
          </w:p>
        </w:tc>
      </w:tr>
    </w:tbl>
    <w:p w14:paraId="4A06EC05" w14:textId="77777777" w:rsidR="009E514E" w:rsidRDefault="009E514E">
      <w:pPr>
        <w:spacing w:after="0"/>
      </w:pPr>
    </w:p>
    <w:p w14:paraId="069968FE" w14:textId="77777777" w:rsidR="009E514E" w:rsidRDefault="004847DE">
      <w:pPr>
        <w:pStyle w:val="Heading2"/>
      </w:pPr>
      <w:r>
        <w:t>Suggested repository structure</w:t>
      </w:r>
    </w:p>
    <w:p w14:paraId="502AE195" w14:textId="181CF4C9" w:rsidR="003D7A9E" w:rsidRPr="003D7A9E" w:rsidRDefault="004847DE" w:rsidP="003D7A9E">
      <w:pPr>
        <w:shd w:val="clear" w:color="auto" w:fill="F2F4F7"/>
        <w:spacing w:before="60" w:after="120"/>
        <w:ind w:left="288" w:right="288"/>
        <w:rPr>
          <w:rFonts w:ascii="Consolas" w:hAnsi="Consolas"/>
          <w:sz w:val="16"/>
        </w:rPr>
      </w:pPr>
      <w:r>
        <w:rPr>
          <w:rFonts w:ascii="Consolas" w:hAnsi="Consolas"/>
          <w:sz w:val="16"/>
        </w:rPr>
        <w:t>ev-smart-charging/</w:t>
      </w:r>
      <w:r>
        <w:rPr>
          <w:rFonts w:ascii="Consolas" w:hAnsi="Consolas"/>
          <w:sz w:val="16"/>
        </w:rPr>
        <w:br/>
        <w:t>├── data/</w:t>
      </w:r>
      <w:r>
        <w:rPr>
          <w:rFonts w:ascii="Consolas" w:hAnsi="Consolas"/>
          <w:sz w:val="16"/>
        </w:rPr>
        <w:br/>
        <w:t>│   ├── raw/                 # Original files; do not overwrite</w:t>
      </w:r>
      <w:r>
        <w:rPr>
          <w:rFonts w:ascii="Consolas" w:hAnsi="Consolas"/>
          <w:sz w:val="16"/>
        </w:rPr>
        <w:br/>
      </w:r>
      <w:r>
        <w:rPr>
          <w:rFonts w:ascii="Consolas" w:hAnsi="Consolas"/>
          <w:sz w:val="16"/>
        </w:rPr>
        <w:t>│   └── processed/           # Cleaned scenarios and aligned series</w:t>
      </w:r>
      <w:r>
        <w:rPr>
          <w:rFonts w:ascii="Consolas" w:hAnsi="Consolas"/>
          <w:sz w:val="16"/>
        </w:rPr>
        <w:br/>
        <w:t>├── src/</w:t>
      </w:r>
      <w:r>
        <w:rPr>
          <w:rFonts w:ascii="Consolas" w:hAnsi="Consolas"/>
          <w:sz w:val="16"/>
        </w:rPr>
        <w:br/>
        <w:t>│   ├── data/</w:t>
      </w:r>
      <w:r>
        <w:rPr>
          <w:rFonts w:ascii="Consolas" w:hAnsi="Consolas"/>
          <w:sz w:val="16"/>
        </w:rPr>
        <w:br/>
        <w:t>│   │   ├── preprocess.py</w:t>
      </w:r>
      <w:r>
        <w:rPr>
          <w:rFonts w:ascii="Consolas" w:hAnsi="Consolas"/>
          <w:sz w:val="16"/>
        </w:rPr>
        <w:br/>
        <w:t>│   │   └── scenario_builder.py</w:t>
      </w:r>
      <w:r>
        <w:rPr>
          <w:rFonts w:ascii="Consolas" w:hAnsi="Consolas"/>
          <w:sz w:val="16"/>
        </w:rPr>
        <w:br/>
        <w:t>│   ├── strategies/</w:t>
      </w:r>
      <w:r>
        <w:rPr>
          <w:rFonts w:ascii="Consolas" w:hAnsi="Consolas"/>
          <w:sz w:val="16"/>
        </w:rPr>
        <w:br/>
        <w:t>│   │   ├── uncontrolled.py</w:t>
      </w:r>
      <w:r>
        <w:rPr>
          <w:rFonts w:ascii="Consolas" w:hAnsi="Consolas"/>
          <w:sz w:val="16"/>
        </w:rPr>
        <w:br/>
        <w:t>│   │   ├── tou_scheduler.py</w:t>
      </w:r>
      <w:r>
        <w:rPr>
          <w:rFonts w:ascii="Consolas" w:hAnsi="Consolas"/>
          <w:sz w:val="16"/>
        </w:rPr>
        <w:br/>
        <w:t>│   │   └── lp_scheduler.py</w:t>
      </w:r>
      <w:r>
        <w:rPr>
          <w:rFonts w:ascii="Consolas" w:hAnsi="Consolas"/>
          <w:sz w:val="16"/>
        </w:rPr>
        <w:br/>
        <w:t>│   ├── forecasting/</w:t>
      </w:r>
      <w:r>
        <w:rPr>
          <w:rFonts w:ascii="Consolas" w:hAnsi="Consolas"/>
          <w:sz w:val="16"/>
        </w:rPr>
        <w:br/>
        <w:t>│   │   ├── train_forecaster.py</w:t>
      </w:r>
      <w:r>
        <w:rPr>
          <w:rFonts w:ascii="Consolas" w:hAnsi="Consolas"/>
          <w:sz w:val="16"/>
        </w:rPr>
        <w:br/>
        <w:t>│   │   └── predict.py</w:t>
      </w:r>
      <w:r>
        <w:rPr>
          <w:rFonts w:ascii="Consolas" w:hAnsi="Consolas"/>
          <w:sz w:val="16"/>
        </w:rPr>
        <w:br/>
        <w:t>│   └── evaluation/</w:t>
      </w:r>
      <w:r>
        <w:rPr>
          <w:rFonts w:ascii="Consolas" w:hAnsi="Consolas"/>
          <w:sz w:val="16"/>
        </w:rPr>
        <w:br/>
        <w:t>│       ├── validate_schedules.py</w:t>
      </w:r>
      <w:r>
        <w:rPr>
          <w:rFonts w:ascii="Consolas" w:hAnsi="Consolas"/>
          <w:sz w:val="16"/>
        </w:rPr>
        <w:br/>
        <w:t>│       ├── metrics.py</w:t>
      </w:r>
      <w:r>
        <w:rPr>
          <w:rFonts w:ascii="Consolas" w:hAnsi="Consolas"/>
          <w:sz w:val="16"/>
        </w:rPr>
        <w:br/>
        <w:t>│       └── run_experiments.py</w:t>
      </w:r>
      <w:r>
        <w:rPr>
          <w:rFonts w:ascii="Consolas" w:hAnsi="Consolas"/>
          <w:sz w:val="16"/>
        </w:rPr>
        <w:br/>
        <w:t>├── tests/</w:t>
      </w:r>
      <w:r>
        <w:rPr>
          <w:rFonts w:ascii="Consolas" w:hAnsi="Consolas"/>
          <w:sz w:val="16"/>
        </w:rPr>
        <w:br/>
        <w:t>├── results/</w:t>
      </w:r>
      <w:r>
        <w:rPr>
          <w:rFonts w:ascii="Consolas" w:hAnsi="Consolas"/>
          <w:sz w:val="16"/>
        </w:rPr>
        <w:br/>
        <w:t>├── requirements.txt</w:t>
      </w:r>
      <w:r>
        <w:rPr>
          <w:rFonts w:ascii="Consolas" w:hAnsi="Consolas"/>
          <w:sz w:val="16"/>
        </w:rPr>
        <w:br/>
        <w:t>└── README.md</w:t>
      </w:r>
    </w:p>
    <w:p w14:paraId="0BC48D93" w14:textId="5C35C4F4" w:rsidR="009E514E" w:rsidRDefault="004847DE">
      <w:pPr>
        <w:pStyle w:val="Heading2"/>
      </w:pPr>
      <w:r>
        <w:t>Required common interface</w:t>
      </w:r>
    </w:p>
    <w:p w14:paraId="0E77FC33" w14:textId="77777777" w:rsidR="009E514E" w:rsidRDefault="004847DE">
      <w:r>
        <w:t>Each strategy should accept a scenario and configuration and return a schedule in the same schema. The implementation can use a dataclass, dictionary or DataFrame, but the team must choose one and document it.</w:t>
      </w:r>
    </w:p>
    <w:p w14:paraId="2C12E20E" w14:textId="77777777" w:rsidR="009E514E" w:rsidRDefault="004847DE">
      <w:pPr>
        <w:shd w:val="clear" w:color="auto" w:fill="F2F4F7"/>
        <w:spacing w:before="60" w:after="120"/>
        <w:ind w:left="288" w:right="288"/>
      </w:pPr>
      <w:r>
        <w:rPr>
          <w:rFonts w:ascii="Consolas" w:hAnsi="Consolas"/>
          <w:sz w:val="16"/>
        </w:rPr>
        <w:t># Illustrative interface; adapt names to the chosen implementation</w:t>
      </w:r>
      <w:r>
        <w:rPr>
          <w:rFonts w:ascii="Consolas" w:hAnsi="Consolas"/>
          <w:sz w:val="16"/>
        </w:rPr>
        <w:br/>
        <w:t>schedule = run_strategy(</w:t>
      </w:r>
      <w:r>
        <w:rPr>
          <w:rFonts w:ascii="Consolas" w:hAnsi="Consolas"/>
          <w:sz w:val="16"/>
        </w:rPr>
        <w:br/>
        <w:t xml:space="preserve">    scenario=scenario,</w:t>
      </w:r>
      <w:r>
        <w:rPr>
          <w:rFonts w:ascii="Consolas" w:hAnsi="Consolas"/>
          <w:sz w:val="16"/>
        </w:rPr>
        <w:br/>
        <w:t xml:space="preserve">    config=config</w:t>
      </w:r>
      <w:r>
        <w:rPr>
          <w:rFonts w:ascii="Consolas" w:hAnsi="Consolas"/>
          <w:sz w:val="16"/>
        </w:rPr>
        <w:br/>
        <w:t>)</w:t>
      </w:r>
      <w:r>
        <w:rPr>
          <w:rFonts w:ascii="Consolas" w:hAnsi="Consolas"/>
          <w:sz w:val="16"/>
        </w:rPr>
        <w:br/>
      </w:r>
      <w:r>
        <w:rPr>
          <w:rFonts w:ascii="Consolas" w:hAnsi="Consolas"/>
          <w:sz w:val="16"/>
        </w:rPr>
        <w:lastRenderedPageBreak/>
        <w:br/>
        <w:t># Required schedule columns</w:t>
      </w:r>
      <w:r>
        <w:rPr>
          <w:rFonts w:ascii="Consolas" w:hAnsi="Consolas"/>
          <w:sz w:val="16"/>
        </w:rPr>
        <w:br/>
        <w:t># scenario_id, timestamp, ev_id, charging_power_kw</w:t>
      </w:r>
    </w:p>
    <w:p w14:paraId="6B770F65" w14:textId="77777777" w:rsidR="009E514E" w:rsidRDefault="004847DE">
      <w:r>
        <w:t>The common evaluator should derive total EV load, grid import, cost, peak load, solar utilization and emissions from schedules plus scenario inputs. Avoid allowing each strategy to calculate the headline metrics using slightly different definitions.</w:t>
      </w:r>
    </w:p>
    <w:p w14:paraId="51968D80" w14:textId="77777777" w:rsidR="009E514E" w:rsidRDefault="004847DE">
      <w:pPr>
        <w:pStyle w:val="Heading2"/>
      </w:pPr>
      <w:r>
        <w:t>Recommended shared metric definitions</w:t>
      </w:r>
    </w:p>
    <w:tbl>
      <w:tblPr>
        <w:tblStyle w:val="TableGrid"/>
        <w:tblW w:w="0" w:type="auto"/>
        <w:jc w:val="center"/>
        <w:tblLayout w:type="fixed"/>
        <w:tblLook w:val="04A0" w:firstRow="1" w:lastRow="0" w:firstColumn="1" w:lastColumn="0" w:noHBand="0" w:noVBand="1"/>
      </w:tblPr>
      <w:tblGrid>
        <w:gridCol w:w="2088"/>
        <w:gridCol w:w="4464"/>
        <w:gridCol w:w="3672"/>
      </w:tblGrid>
      <w:tr w:rsidR="009E514E" w14:paraId="16A1E888" w14:textId="77777777">
        <w:trPr>
          <w:tblHeader/>
          <w:jc w:val="center"/>
        </w:trPr>
        <w:tc>
          <w:tcPr>
            <w:tcW w:w="2088" w:type="dxa"/>
            <w:shd w:val="clear" w:color="auto" w:fill="16324F"/>
            <w:tcMar>
              <w:top w:w="90" w:type="dxa"/>
              <w:left w:w="100" w:type="dxa"/>
              <w:bottom w:w="90" w:type="dxa"/>
              <w:right w:w="100" w:type="dxa"/>
            </w:tcMar>
            <w:vAlign w:val="center"/>
          </w:tcPr>
          <w:p w14:paraId="17BF526D" w14:textId="77777777" w:rsidR="009E514E" w:rsidRDefault="004847DE">
            <w:pPr>
              <w:spacing w:after="0"/>
            </w:pPr>
            <w:r>
              <w:rPr>
                <w:b/>
                <w:color w:val="FFFFFF"/>
                <w:sz w:val="17"/>
              </w:rPr>
              <w:t>Metric</w:t>
            </w:r>
          </w:p>
        </w:tc>
        <w:tc>
          <w:tcPr>
            <w:tcW w:w="4464" w:type="dxa"/>
            <w:shd w:val="clear" w:color="auto" w:fill="16324F"/>
            <w:tcMar>
              <w:top w:w="90" w:type="dxa"/>
              <w:left w:w="100" w:type="dxa"/>
              <w:bottom w:w="90" w:type="dxa"/>
              <w:right w:w="100" w:type="dxa"/>
            </w:tcMar>
            <w:vAlign w:val="center"/>
          </w:tcPr>
          <w:p w14:paraId="21C9DACB" w14:textId="77777777" w:rsidR="009E514E" w:rsidRDefault="004847DE">
            <w:pPr>
              <w:spacing w:after="0"/>
            </w:pPr>
            <w:r>
              <w:rPr>
                <w:b/>
                <w:color w:val="FFFFFF"/>
                <w:sz w:val="17"/>
              </w:rPr>
              <w:t>Definition guidance</w:t>
            </w:r>
          </w:p>
        </w:tc>
        <w:tc>
          <w:tcPr>
            <w:tcW w:w="3672" w:type="dxa"/>
            <w:shd w:val="clear" w:color="auto" w:fill="16324F"/>
            <w:tcMar>
              <w:top w:w="90" w:type="dxa"/>
              <w:left w:w="100" w:type="dxa"/>
              <w:bottom w:w="90" w:type="dxa"/>
              <w:right w:w="100" w:type="dxa"/>
            </w:tcMar>
            <w:vAlign w:val="center"/>
          </w:tcPr>
          <w:p w14:paraId="57DB6441" w14:textId="77777777" w:rsidR="009E514E" w:rsidRDefault="004847DE">
            <w:pPr>
              <w:spacing w:after="0"/>
            </w:pPr>
            <w:r>
              <w:rPr>
                <w:b/>
                <w:color w:val="FFFFFF"/>
                <w:sz w:val="17"/>
              </w:rPr>
              <w:t>Common pitfall</w:t>
            </w:r>
          </w:p>
        </w:tc>
      </w:tr>
      <w:tr w:rsidR="009E514E" w14:paraId="46406503" w14:textId="77777777">
        <w:trPr>
          <w:jc w:val="center"/>
        </w:trPr>
        <w:tc>
          <w:tcPr>
            <w:tcW w:w="2088" w:type="dxa"/>
            <w:tcMar>
              <w:top w:w="90" w:type="dxa"/>
              <w:left w:w="100" w:type="dxa"/>
              <w:bottom w:w="90" w:type="dxa"/>
              <w:right w:w="100" w:type="dxa"/>
            </w:tcMar>
          </w:tcPr>
          <w:p w14:paraId="5C6277DB" w14:textId="77777777" w:rsidR="009E514E" w:rsidRDefault="004847DE">
            <w:pPr>
              <w:spacing w:after="20"/>
            </w:pPr>
            <w:r>
              <w:rPr>
                <w:sz w:val="17"/>
              </w:rPr>
              <w:t>Charging cost</w:t>
            </w:r>
          </w:p>
        </w:tc>
        <w:tc>
          <w:tcPr>
            <w:tcW w:w="4464" w:type="dxa"/>
            <w:tcMar>
              <w:top w:w="90" w:type="dxa"/>
              <w:left w:w="100" w:type="dxa"/>
              <w:bottom w:w="90" w:type="dxa"/>
              <w:right w:w="100" w:type="dxa"/>
            </w:tcMar>
          </w:tcPr>
          <w:p w14:paraId="489CED37" w14:textId="77777777" w:rsidR="009E514E" w:rsidRDefault="004847DE">
            <w:pPr>
              <w:spacing w:after="20"/>
            </w:pPr>
            <w:r>
              <w:rPr>
                <w:sz w:val="17"/>
              </w:rPr>
              <w:t>Sum of tariff × grid energy imported in each slot, if that is the chosen billing model.</w:t>
            </w:r>
          </w:p>
        </w:tc>
        <w:tc>
          <w:tcPr>
            <w:tcW w:w="3672" w:type="dxa"/>
            <w:tcMar>
              <w:top w:w="90" w:type="dxa"/>
              <w:left w:w="100" w:type="dxa"/>
              <w:bottom w:w="90" w:type="dxa"/>
              <w:right w:w="100" w:type="dxa"/>
            </w:tcMar>
          </w:tcPr>
          <w:p w14:paraId="47453CF5" w14:textId="77777777" w:rsidR="009E514E" w:rsidRDefault="004847DE">
            <w:pPr>
              <w:spacing w:after="20"/>
            </w:pPr>
            <w:r>
              <w:rPr>
                <w:sz w:val="17"/>
              </w:rPr>
              <w:t>Multiplying a kWh tariff by kW without multiplying by slot duration.</w:t>
            </w:r>
          </w:p>
        </w:tc>
      </w:tr>
      <w:tr w:rsidR="009E514E" w14:paraId="79B6B655" w14:textId="77777777">
        <w:trPr>
          <w:jc w:val="center"/>
        </w:trPr>
        <w:tc>
          <w:tcPr>
            <w:tcW w:w="2088" w:type="dxa"/>
            <w:shd w:val="clear" w:color="auto" w:fill="F3F6F8"/>
            <w:tcMar>
              <w:top w:w="90" w:type="dxa"/>
              <w:left w:w="100" w:type="dxa"/>
              <w:bottom w:w="90" w:type="dxa"/>
              <w:right w:w="100" w:type="dxa"/>
            </w:tcMar>
          </w:tcPr>
          <w:p w14:paraId="2F6FEE0C" w14:textId="77777777" w:rsidR="009E514E" w:rsidRDefault="004847DE">
            <w:pPr>
              <w:spacing w:after="20"/>
            </w:pPr>
            <w:r>
              <w:rPr>
                <w:sz w:val="17"/>
              </w:rPr>
              <w:t>Peak grid import</w:t>
            </w:r>
          </w:p>
        </w:tc>
        <w:tc>
          <w:tcPr>
            <w:tcW w:w="4464" w:type="dxa"/>
            <w:shd w:val="clear" w:color="auto" w:fill="F3F6F8"/>
            <w:tcMar>
              <w:top w:w="90" w:type="dxa"/>
              <w:left w:w="100" w:type="dxa"/>
              <w:bottom w:w="90" w:type="dxa"/>
              <w:right w:w="100" w:type="dxa"/>
            </w:tcMar>
          </w:tcPr>
          <w:p w14:paraId="740C008C" w14:textId="77777777" w:rsidR="009E514E" w:rsidRDefault="004847DE">
            <w:pPr>
              <w:spacing w:after="20"/>
            </w:pPr>
            <w:r>
              <w:rPr>
                <w:sz w:val="17"/>
              </w:rPr>
              <w:t>Maximum grid import over the evaluation horizon.</w:t>
            </w:r>
          </w:p>
        </w:tc>
        <w:tc>
          <w:tcPr>
            <w:tcW w:w="3672" w:type="dxa"/>
            <w:shd w:val="clear" w:color="auto" w:fill="F3F6F8"/>
            <w:tcMar>
              <w:top w:w="90" w:type="dxa"/>
              <w:left w:w="100" w:type="dxa"/>
              <w:bottom w:w="90" w:type="dxa"/>
              <w:right w:w="100" w:type="dxa"/>
            </w:tcMar>
          </w:tcPr>
          <w:p w14:paraId="0B7DF1ED" w14:textId="77777777" w:rsidR="009E514E" w:rsidRDefault="004847DE">
            <w:pPr>
              <w:spacing w:after="20"/>
            </w:pPr>
            <w:r>
              <w:rPr>
                <w:sz w:val="17"/>
              </w:rPr>
              <w:t>Confusing site demand with grid import after solar.</w:t>
            </w:r>
          </w:p>
        </w:tc>
      </w:tr>
      <w:tr w:rsidR="009E514E" w14:paraId="4024F779" w14:textId="77777777">
        <w:trPr>
          <w:jc w:val="center"/>
        </w:trPr>
        <w:tc>
          <w:tcPr>
            <w:tcW w:w="2088" w:type="dxa"/>
            <w:tcMar>
              <w:top w:w="90" w:type="dxa"/>
              <w:left w:w="100" w:type="dxa"/>
              <w:bottom w:w="90" w:type="dxa"/>
              <w:right w:w="100" w:type="dxa"/>
            </w:tcMar>
          </w:tcPr>
          <w:p w14:paraId="717DE5A5" w14:textId="77777777" w:rsidR="009E514E" w:rsidRDefault="004847DE">
            <w:pPr>
              <w:spacing w:after="20"/>
            </w:pPr>
            <w:r>
              <w:rPr>
                <w:sz w:val="17"/>
              </w:rPr>
              <w:t>Solar energy used by EVs</w:t>
            </w:r>
          </w:p>
        </w:tc>
        <w:tc>
          <w:tcPr>
            <w:tcW w:w="4464" w:type="dxa"/>
            <w:tcMar>
              <w:top w:w="90" w:type="dxa"/>
              <w:left w:w="100" w:type="dxa"/>
              <w:bottom w:w="90" w:type="dxa"/>
              <w:right w:w="100" w:type="dxa"/>
            </w:tcMar>
          </w:tcPr>
          <w:p w14:paraId="05DFD412" w14:textId="77777777" w:rsidR="009E514E" w:rsidRDefault="004847DE">
            <w:pPr>
              <w:spacing w:after="20"/>
            </w:pPr>
            <w:r>
              <w:rPr>
                <w:sz w:val="17"/>
              </w:rPr>
              <w:t>Define an explicit allocation rule for how much available solar serves EV charging.</w:t>
            </w:r>
          </w:p>
        </w:tc>
        <w:tc>
          <w:tcPr>
            <w:tcW w:w="3672" w:type="dxa"/>
            <w:tcMar>
              <w:top w:w="90" w:type="dxa"/>
              <w:left w:w="100" w:type="dxa"/>
              <w:bottom w:w="90" w:type="dxa"/>
              <w:right w:w="100" w:type="dxa"/>
            </w:tcMar>
          </w:tcPr>
          <w:p w14:paraId="76D76404" w14:textId="77777777" w:rsidR="009E514E" w:rsidRDefault="004847DE">
            <w:pPr>
              <w:spacing w:after="20"/>
            </w:pPr>
            <w:r>
              <w:rPr>
                <w:sz w:val="17"/>
              </w:rPr>
              <w:t>Counting all solar generation as EV solar utilization.</w:t>
            </w:r>
          </w:p>
        </w:tc>
      </w:tr>
      <w:tr w:rsidR="009E514E" w14:paraId="0DFFC2AD" w14:textId="77777777">
        <w:trPr>
          <w:jc w:val="center"/>
        </w:trPr>
        <w:tc>
          <w:tcPr>
            <w:tcW w:w="2088" w:type="dxa"/>
            <w:shd w:val="clear" w:color="auto" w:fill="F3F6F8"/>
            <w:tcMar>
              <w:top w:w="90" w:type="dxa"/>
              <w:left w:w="100" w:type="dxa"/>
              <w:bottom w:w="90" w:type="dxa"/>
              <w:right w:w="100" w:type="dxa"/>
            </w:tcMar>
          </w:tcPr>
          <w:p w14:paraId="6536A6E9" w14:textId="77777777" w:rsidR="009E514E" w:rsidRDefault="004847DE">
            <w:pPr>
              <w:spacing w:after="20"/>
            </w:pPr>
            <w:r>
              <w:rPr>
                <w:sz w:val="17"/>
              </w:rPr>
              <w:t>Grid energy imported</w:t>
            </w:r>
          </w:p>
        </w:tc>
        <w:tc>
          <w:tcPr>
            <w:tcW w:w="4464" w:type="dxa"/>
            <w:shd w:val="clear" w:color="auto" w:fill="F3F6F8"/>
            <w:tcMar>
              <w:top w:w="90" w:type="dxa"/>
              <w:left w:w="100" w:type="dxa"/>
              <w:bottom w:w="90" w:type="dxa"/>
              <w:right w:w="100" w:type="dxa"/>
            </w:tcMar>
          </w:tcPr>
          <w:p w14:paraId="7CAE1D32" w14:textId="77777777" w:rsidR="009E514E" w:rsidRDefault="004847DE">
            <w:pPr>
              <w:spacing w:after="20"/>
            </w:pPr>
            <w:r>
              <w:rPr>
                <w:sz w:val="17"/>
              </w:rPr>
              <w:t>Sum of grid-import power × slot duration.</w:t>
            </w:r>
          </w:p>
        </w:tc>
        <w:tc>
          <w:tcPr>
            <w:tcW w:w="3672" w:type="dxa"/>
            <w:shd w:val="clear" w:color="auto" w:fill="F3F6F8"/>
            <w:tcMar>
              <w:top w:w="90" w:type="dxa"/>
              <w:left w:w="100" w:type="dxa"/>
              <w:bottom w:w="90" w:type="dxa"/>
              <w:right w:w="100" w:type="dxa"/>
            </w:tcMar>
          </w:tcPr>
          <w:p w14:paraId="3EA2FE3A" w14:textId="77777777" w:rsidR="009E514E" w:rsidRDefault="004847DE">
            <w:pPr>
              <w:spacing w:after="20"/>
            </w:pPr>
            <w:r>
              <w:rPr>
                <w:sz w:val="17"/>
              </w:rPr>
              <w:t>Ignoring time-slot length or allowing negative import without export modeling.</w:t>
            </w:r>
          </w:p>
        </w:tc>
      </w:tr>
      <w:tr w:rsidR="009E514E" w14:paraId="797BC3CF" w14:textId="77777777">
        <w:trPr>
          <w:jc w:val="center"/>
        </w:trPr>
        <w:tc>
          <w:tcPr>
            <w:tcW w:w="2088" w:type="dxa"/>
            <w:tcMar>
              <w:top w:w="90" w:type="dxa"/>
              <w:left w:w="100" w:type="dxa"/>
              <w:bottom w:w="90" w:type="dxa"/>
              <w:right w:w="100" w:type="dxa"/>
            </w:tcMar>
          </w:tcPr>
          <w:p w14:paraId="27DC24E4" w14:textId="77777777" w:rsidR="009E514E" w:rsidRDefault="004847DE">
            <w:pPr>
              <w:spacing w:after="20"/>
            </w:pPr>
            <w:r>
              <w:rPr>
                <w:sz w:val="17"/>
              </w:rPr>
              <w:t>CO₂ emissions</w:t>
            </w:r>
          </w:p>
        </w:tc>
        <w:tc>
          <w:tcPr>
            <w:tcW w:w="4464" w:type="dxa"/>
            <w:tcMar>
              <w:top w:w="90" w:type="dxa"/>
              <w:left w:w="100" w:type="dxa"/>
              <w:bottom w:w="90" w:type="dxa"/>
              <w:right w:w="100" w:type="dxa"/>
            </w:tcMar>
          </w:tcPr>
          <w:p w14:paraId="43800197" w14:textId="77777777" w:rsidR="009E514E" w:rsidRDefault="004847DE">
            <w:pPr>
              <w:spacing w:after="20"/>
            </w:pPr>
            <w:r>
              <w:rPr>
                <w:sz w:val="17"/>
              </w:rPr>
              <w:t>Sum of grid energy imported × the chosen time/location emission factor.</w:t>
            </w:r>
          </w:p>
        </w:tc>
        <w:tc>
          <w:tcPr>
            <w:tcW w:w="3672" w:type="dxa"/>
            <w:tcMar>
              <w:top w:w="90" w:type="dxa"/>
              <w:left w:w="100" w:type="dxa"/>
              <w:bottom w:w="90" w:type="dxa"/>
              <w:right w:w="100" w:type="dxa"/>
            </w:tcMar>
          </w:tcPr>
          <w:p w14:paraId="20C9D1A1" w14:textId="77777777" w:rsidR="009E514E" w:rsidRDefault="004847DE">
            <w:pPr>
              <w:spacing w:after="20"/>
            </w:pPr>
            <w:r>
              <w:rPr>
                <w:sz w:val="17"/>
              </w:rPr>
              <w:t>Using an undocumented emission factor or inconsistent geography.</w:t>
            </w:r>
          </w:p>
        </w:tc>
      </w:tr>
      <w:tr w:rsidR="009E514E" w14:paraId="5740315F" w14:textId="77777777">
        <w:trPr>
          <w:jc w:val="center"/>
        </w:trPr>
        <w:tc>
          <w:tcPr>
            <w:tcW w:w="2088" w:type="dxa"/>
            <w:shd w:val="clear" w:color="auto" w:fill="F3F6F8"/>
            <w:tcMar>
              <w:top w:w="90" w:type="dxa"/>
              <w:left w:w="100" w:type="dxa"/>
              <w:bottom w:w="90" w:type="dxa"/>
              <w:right w:w="100" w:type="dxa"/>
            </w:tcMar>
          </w:tcPr>
          <w:p w14:paraId="1C13D07E" w14:textId="77777777" w:rsidR="009E514E" w:rsidRDefault="004847DE">
            <w:pPr>
              <w:spacing w:after="20"/>
            </w:pPr>
            <w:r>
              <w:rPr>
                <w:sz w:val="17"/>
              </w:rPr>
              <w:t>Energy requirement met</w:t>
            </w:r>
          </w:p>
        </w:tc>
        <w:tc>
          <w:tcPr>
            <w:tcW w:w="4464" w:type="dxa"/>
            <w:shd w:val="clear" w:color="auto" w:fill="F3F6F8"/>
            <w:tcMar>
              <w:top w:w="90" w:type="dxa"/>
              <w:left w:w="100" w:type="dxa"/>
              <w:bottom w:w="90" w:type="dxa"/>
              <w:right w:w="100" w:type="dxa"/>
            </w:tcMar>
          </w:tcPr>
          <w:p w14:paraId="3F3221A7" w14:textId="77777777" w:rsidR="009E514E" w:rsidRDefault="004847DE">
            <w:pPr>
              <w:spacing w:after="20"/>
            </w:pPr>
            <w:r>
              <w:rPr>
                <w:sz w:val="17"/>
              </w:rPr>
              <w:t>Compare delivered energy with each EV's required energy under the agreed efficiency convention.</w:t>
            </w:r>
          </w:p>
        </w:tc>
        <w:tc>
          <w:tcPr>
            <w:tcW w:w="3672" w:type="dxa"/>
            <w:shd w:val="clear" w:color="auto" w:fill="F3F6F8"/>
            <w:tcMar>
              <w:top w:w="90" w:type="dxa"/>
              <w:left w:w="100" w:type="dxa"/>
              <w:bottom w:w="90" w:type="dxa"/>
              <w:right w:w="100" w:type="dxa"/>
            </w:tcMar>
          </w:tcPr>
          <w:p w14:paraId="0141E022" w14:textId="77777777" w:rsidR="009E514E" w:rsidRDefault="004847DE">
            <w:pPr>
              <w:spacing w:after="20"/>
            </w:pPr>
            <w:r>
              <w:rPr>
                <w:sz w:val="17"/>
              </w:rPr>
              <w:t>Double-counting charging efficiency or checking only aggregate energy.</w:t>
            </w:r>
          </w:p>
        </w:tc>
      </w:tr>
    </w:tbl>
    <w:p w14:paraId="54B2EC1E" w14:textId="77777777" w:rsidR="009E514E" w:rsidRDefault="009E514E">
      <w:pPr>
        <w:spacing w:after="0"/>
      </w:pPr>
    </w:p>
    <w:p w14:paraId="6F1921B3" w14:textId="77777777" w:rsidR="009E514E" w:rsidRDefault="004847DE">
      <w:pPr>
        <w:pStyle w:val="Heading1"/>
      </w:pPr>
      <w:r>
        <w:t>9. Integration and testing sequence</w:t>
      </w:r>
    </w:p>
    <w:p w14:paraId="322EB1F6" w14:textId="77777777" w:rsidR="009E514E" w:rsidRDefault="004847DE" w:rsidP="003D7A9E">
      <w:pPr>
        <w:pStyle w:val="ListNumber"/>
        <w:numPr>
          <w:ilvl w:val="0"/>
          <w:numId w:val="13"/>
        </w:numPr>
      </w:pPr>
      <w:r w:rsidRPr="003D7A9E">
        <w:rPr>
          <w:b/>
        </w:rPr>
        <w:t xml:space="preserve">Agree on interface and assumptions — </w:t>
      </w:r>
      <w:r>
        <w:t>Do this before teammates implement separate function signatures or energy conventions.</w:t>
      </w:r>
    </w:p>
    <w:p w14:paraId="446DED6E" w14:textId="77777777" w:rsidR="009E514E" w:rsidRDefault="004847DE">
      <w:pPr>
        <w:pStyle w:val="ListNumber"/>
      </w:pPr>
      <w:r>
        <w:rPr>
          <w:b/>
        </w:rPr>
        <w:t xml:space="preserve">Use a synthetic smoke-test scenario — </w:t>
      </w:r>
      <w:r>
        <w:t>Create a tiny scenario with a few EVs and slots, plus simple solar, base load and tariff values. This lets every role test without waiting for the final dataset.</w:t>
      </w:r>
    </w:p>
    <w:p w14:paraId="483A5E3E" w14:textId="77777777" w:rsidR="009E514E" w:rsidRDefault="004847DE">
      <w:pPr>
        <w:pStyle w:val="ListNumber"/>
      </w:pPr>
      <w:r>
        <w:rPr>
          <w:b/>
        </w:rPr>
        <w:t xml:space="preserve">Test each strategy separately — </w:t>
      </w:r>
      <w:r>
        <w:t>Each owner demonstrates their function and automated/repeatable tests.</w:t>
      </w:r>
    </w:p>
    <w:p w14:paraId="023E3CBB" w14:textId="77777777" w:rsidR="009E514E" w:rsidRDefault="004847DE">
      <w:pPr>
        <w:pStyle w:val="ListNumber"/>
      </w:pPr>
      <w:r>
        <w:rPr>
          <w:b/>
        </w:rPr>
        <w:t xml:space="preserve">Run shared validation — </w:t>
      </w:r>
      <w:r>
        <w:t>Check charging power, availability, delivered energy, timestamp alignment and output schema for every schedule.</w:t>
      </w:r>
    </w:p>
    <w:p w14:paraId="28AC7AFF" w14:textId="77777777" w:rsidR="009E514E" w:rsidRDefault="004847DE">
      <w:pPr>
        <w:pStyle w:val="ListNumber"/>
      </w:pPr>
      <w:r>
        <w:rPr>
          <w:b/>
        </w:rPr>
        <w:t xml:space="preserve">Integrate on the actual dataset — </w:t>
      </w:r>
      <w:r>
        <w:t>Member 4 produces the processed scenario; the other members run their existing code against it.</w:t>
      </w:r>
    </w:p>
    <w:p w14:paraId="7BF750CB" w14:textId="77777777" w:rsidR="009E514E" w:rsidRDefault="004847DE">
      <w:pPr>
        <w:pStyle w:val="ListNumber"/>
      </w:pPr>
      <w:r>
        <w:rPr>
          <w:b/>
        </w:rPr>
        <w:t xml:space="preserve">Run both LP modes — </w:t>
      </w:r>
      <w:r>
        <w:t>Member 4 supplies forecasted and actual future inputs to the same LP function.</w:t>
      </w:r>
    </w:p>
    <w:p w14:paraId="59E36984" w14:textId="77777777" w:rsidR="009E514E" w:rsidRDefault="004847DE">
      <w:pPr>
        <w:pStyle w:val="ListNumber"/>
      </w:pPr>
      <w:r>
        <w:rPr>
          <w:b/>
        </w:rPr>
        <w:t xml:space="preserve">Run the complete experiment — </w:t>
      </w:r>
      <w:r>
        <w:t>Execute all strategies on the same test scenarios, save outputs and compute common metrics.</w:t>
      </w:r>
    </w:p>
    <w:p w14:paraId="0453CAD8" w14:textId="77777777" w:rsidR="009E514E" w:rsidRDefault="004847DE">
      <w:pPr>
        <w:pStyle w:val="ListNumber"/>
      </w:pPr>
      <w:r>
        <w:rPr>
          <w:b/>
        </w:rPr>
        <w:t xml:space="preserve">Reproduce from a clean checkout — </w:t>
      </w:r>
      <w:r>
        <w:t>Another team member should be able to follow the README and regenerate at least one complete result without manual path edits.</w:t>
      </w:r>
    </w:p>
    <w:p w14:paraId="1D996470" w14:textId="77777777" w:rsidR="009E514E" w:rsidRDefault="004847DE">
      <w:pPr>
        <w:pStyle w:val="Heading1"/>
      </w:pPr>
      <w:r>
        <w:t>10. Team operating rules to reduce last-minute integration risk</w:t>
      </w:r>
    </w:p>
    <w:p w14:paraId="20AED75C" w14:textId="77777777" w:rsidR="009E514E" w:rsidRDefault="004847DE">
      <w:pPr>
        <w:pStyle w:val="ListBullet"/>
        <w:spacing w:after="40"/>
      </w:pPr>
      <w:r>
        <w:t>Every owner commits working code in small increments rather than waiting until their whole role is supposedly finished.</w:t>
      </w:r>
    </w:p>
    <w:p w14:paraId="6E88A083" w14:textId="77777777" w:rsidR="009E514E" w:rsidRDefault="004847DE">
      <w:pPr>
        <w:pStyle w:val="ListBullet"/>
        <w:spacing w:after="40"/>
      </w:pPr>
      <w:r>
        <w:t>Use GitHub branches or separate files; do not have multiple people edit the same module without coordination.</w:t>
      </w:r>
    </w:p>
    <w:p w14:paraId="0A82B55C" w14:textId="77777777" w:rsidR="009E514E" w:rsidRDefault="004847DE">
      <w:pPr>
        <w:pStyle w:val="ListBullet"/>
        <w:spacing w:after="40"/>
      </w:pPr>
      <w:r>
        <w:t>Require a runnable synthetic example before accepting a strategy module.</w:t>
      </w:r>
    </w:p>
    <w:p w14:paraId="53742FF6" w14:textId="77777777" w:rsidR="009E514E" w:rsidRDefault="004847DE">
      <w:pPr>
        <w:pStyle w:val="ListBullet"/>
        <w:spacing w:after="40"/>
      </w:pPr>
      <w:r>
        <w:t>Set early checkpoints: interface agreed, first working version, tests passing, real-data run, final handoff.</w:t>
      </w:r>
    </w:p>
    <w:p w14:paraId="2B60CA48" w14:textId="77777777" w:rsidR="009E514E" w:rsidRDefault="004847DE">
      <w:pPr>
        <w:pStyle w:val="ListBullet"/>
        <w:spacing w:after="40"/>
      </w:pPr>
      <w:r>
        <w:t>Do not merge code that has not been run. A screenshot of code is not a substitute for executable output.</w:t>
      </w:r>
    </w:p>
    <w:p w14:paraId="3B3D04CC" w14:textId="77777777" w:rsidR="009E514E" w:rsidRDefault="004847DE">
      <w:pPr>
        <w:pStyle w:val="ListBullet"/>
        <w:spacing w:after="40"/>
      </w:pPr>
      <w:r>
        <w:lastRenderedPageBreak/>
        <w:t>If a task is blocked, report the exact error, minimal reproducible input and what has already been tried.</w:t>
      </w:r>
    </w:p>
    <w:p w14:paraId="2EEDDB61" w14:textId="77777777" w:rsidR="009E514E" w:rsidRDefault="004847DE">
      <w:pPr>
        <w:pStyle w:val="ListBullet"/>
        <w:spacing w:after="40"/>
      </w:pPr>
      <w:r>
        <w:t>Member 4 coordinates interfaces and the benchmark experiment but is not automatically responsible for rewriting other members' algorithms.</w:t>
      </w:r>
    </w:p>
    <w:p w14:paraId="7605E6D6" w14:textId="77777777" w:rsidR="009E514E" w:rsidRDefault="004847DE">
      <w:pPr>
        <w:pStyle w:val="ListBullet"/>
        <w:spacing w:after="40"/>
      </w:pPr>
      <w:r>
        <w:t>Keep raw data unchanged, document assumptions and use reproducible commands and fixed random seeds where applicable.</w:t>
      </w:r>
    </w:p>
    <w:p w14:paraId="5B758E56" w14:textId="77777777" w:rsidR="009E514E" w:rsidRDefault="004847DE">
      <w:pPr>
        <w:pStyle w:val="Heading1"/>
      </w:pPr>
      <w:r>
        <w:t>11. Final checklist before submission</w:t>
      </w:r>
    </w:p>
    <w:p w14:paraId="47E256FA" w14:textId="77777777" w:rsidR="009E514E" w:rsidRDefault="004847DE">
      <w:pPr>
        <w:pStyle w:val="ListBullet"/>
        <w:spacing w:after="40"/>
      </w:pPr>
      <w:r>
        <w:t>☐</w:t>
      </w:r>
      <w:r>
        <w:t xml:space="preserve"> The three strategy implementations run independently.</w:t>
      </w:r>
    </w:p>
    <w:p w14:paraId="512F9793" w14:textId="77777777" w:rsidR="009E514E" w:rsidRDefault="004847DE">
      <w:pPr>
        <w:pStyle w:val="ListBullet"/>
        <w:spacing w:after="40"/>
      </w:pPr>
      <w:r>
        <w:t>☐</w:t>
      </w:r>
      <w:r>
        <w:t xml:space="preserve"> All strategies use the same input schema, time convention and EV requirements.</w:t>
      </w:r>
    </w:p>
    <w:p w14:paraId="29D6CBAE" w14:textId="77777777" w:rsidR="009E514E" w:rsidRDefault="004847DE">
      <w:pPr>
        <w:pStyle w:val="ListBullet"/>
        <w:spacing w:after="40"/>
      </w:pPr>
      <w:r>
        <w:t>☐</w:t>
      </w:r>
      <w:r>
        <w:t xml:space="preserve"> The LP objective, normalization and weights are documented and finalized.</w:t>
      </w:r>
    </w:p>
    <w:p w14:paraId="30508D8E" w14:textId="77777777" w:rsidR="009E514E" w:rsidRDefault="004847DE">
      <w:pPr>
        <w:pStyle w:val="ListBullet"/>
        <w:spacing w:after="40"/>
      </w:pPr>
      <w:r>
        <w:t>☐</w:t>
      </w:r>
      <w:r>
        <w:t xml:space="preserve"> LP constraints and solver status are validated.</w:t>
      </w:r>
    </w:p>
    <w:p w14:paraId="1D535508" w14:textId="77777777" w:rsidR="009E514E" w:rsidRDefault="004847DE">
      <w:pPr>
        <w:pStyle w:val="ListBullet"/>
        <w:spacing w:after="40"/>
      </w:pPr>
      <w:r>
        <w:t>☐</w:t>
      </w:r>
      <w:r>
        <w:t xml:space="preserve"> The forecasting targets and prediction horizon are justified by the dataset.</w:t>
      </w:r>
    </w:p>
    <w:p w14:paraId="20F1E295" w14:textId="77777777" w:rsidR="009E514E" w:rsidRDefault="004847DE">
      <w:pPr>
        <w:pStyle w:val="ListBullet"/>
        <w:spacing w:after="40"/>
      </w:pPr>
      <w:r>
        <w:t>☐</w:t>
      </w:r>
      <w:r>
        <w:t xml:space="preserve"> Train/validation/test periods are chronological.</w:t>
      </w:r>
    </w:p>
    <w:p w14:paraId="7A8E3D53" w14:textId="77777777" w:rsidR="009E514E" w:rsidRDefault="004847DE">
      <w:pPr>
        <w:pStyle w:val="ListBullet"/>
        <w:spacing w:after="40"/>
      </w:pPr>
      <w:r>
        <w:t>☐</w:t>
      </w:r>
      <w:r>
        <w:t xml:space="preserve"> Perfect-foresight LP uses actual future values for the same uncertain inputs and reuses the same LP model.</w:t>
      </w:r>
    </w:p>
    <w:p w14:paraId="3DD39921" w14:textId="77777777" w:rsidR="009E514E" w:rsidRDefault="004847DE">
      <w:pPr>
        <w:pStyle w:val="ListBullet"/>
        <w:spacing w:after="40"/>
      </w:pPr>
      <w:r>
        <w:t>☐</w:t>
      </w:r>
      <w:r>
        <w:t xml:space="preserve"> All strategies are evaluated on the same held-out scenarios.</w:t>
      </w:r>
    </w:p>
    <w:p w14:paraId="79A66A1D" w14:textId="77777777" w:rsidR="009E514E" w:rsidRDefault="004847DE">
      <w:pPr>
        <w:pStyle w:val="ListBullet"/>
        <w:spacing w:after="40"/>
      </w:pPr>
      <w:r>
        <w:t>☐</w:t>
      </w:r>
      <w:r>
        <w:t xml:space="preserve"> Metric definitions and the emissions-factor source/assumption are documented.</w:t>
      </w:r>
    </w:p>
    <w:p w14:paraId="0041E6A8" w14:textId="77777777" w:rsidR="009E514E" w:rsidRDefault="004847DE">
      <w:pPr>
        <w:pStyle w:val="ListBullet"/>
        <w:spacing w:after="40"/>
      </w:pPr>
      <w:r>
        <w:t>☐</w:t>
      </w:r>
      <w:r>
        <w:t xml:space="preserve"> Plots and tables are generated from saved outputs, not manually typed results.</w:t>
      </w:r>
    </w:p>
    <w:p w14:paraId="7B3A61EA" w14:textId="77777777" w:rsidR="009E514E" w:rsidRDefault="004847DE">
      <w:pPr>
        <w:pStyle w:val="ListBullet"/>
        <w:spacing w:after="40"/>
      </w:pPr>
      <w:r>
        <w:t>☐</w:t>
      </w:r>
      <w:r>
        <w:t xml:space="preserve"> README includes environment setup, commands, folder structure, assumptions and known limitations.</w:t>
      </w:r>
    </w:p>
    <w:p w14:paraId="09CB58A1" w14:textId="77777777" w:rsidR="009E514E" w:rsidRDefault="004847DE">
      <w:pPr>
        <w:pStyle w:val="ListBullet"/>
        <w:spacing w:after="40"/>
      </w:pPr>
      <w:r>
        <w:t>☐</w:t>
      </w:r>
      <w:r>
        <w:t xml:space="preserve"> Each member can explain their code and present evidence that their role is complete.</w:t>
      </w:r>
    </w:p>
    <w:p w14:paraId="5913DBB3" w14:textId="77777777" w:rsidR="009E514E" w:rsidRDefault="004847DE">
      <w:pPr>
        <w:pStyle w:val="Heading1"/>
      </w:pPr>
      <w:r>
        <w:t>12. Immediate next actions</w:t>
      </w:r>
    </w:p>
    <w:p w14:paraId="69E0393E" w14:textId="77777777" w:rsidR="009E514E" w:rsidRDefault="004847DE" w:rsidP="003D7A9E">
      <w:pPr>
        <w:pStyle w:val="ListNumber"/>
        <w:numPr>
          <w:ilvl w:val="0"/>
          <w:numId w:val="14"/>
        </w:numPr>
        <w:spacing w:after="40"/>
      </w:pPr>
      <w:r>
        <w:t>All four members agree on the shared data schema, energy convention and time-slot convention.</w:t>
      </w:r>
    </w:p>
    <w:p w14:paraId="5A00E9D8" w14:textId="77777777" w:rsidR="009E514E" w:rsidRDefault="004847DE">
      <w:pPr>
        <w:pStyle w:val="ListNumber"/>
        <w:spacing w:after="40"/>
      </w:pPr>
      <w:r>
        <w:t>Members 1–3 begin their strategy implementations with synthetic test cases.</w:t>
      </w:r>
    </w:p>
    <w:p w14:paraId="7017FA01" w14:textId="77777777" w:rsidR="009E514E" w:rsidRDefault="004847DE">
      <w:pPr>
        <w:pStyle w:val="ListNumber"/>
        <w:spacing w:after="40"/>
      </w:pPr>
      <w:r>
        <w:t>Member 4 inventories the available datasets and drafts the data dictionary; forecasting model choices wait until the relevant data is inspected.</w:t>
      </w:r>
    </w:p>
    <w:p w14:paraId="62DEDFD6" w14:textId="77777777" w:rsidR="009E514E" w:rsidRDefault="004847DE">
      <w:pPr>
        <w:pStyle w:val="ListNumber"/>
        <w:spacing w:after="40"/>
      </w:pPr>
      <w:r>
        <w:t>The team uses the finalized objective terms, normalization and 1:5:2 weights in Section 13; only dataset-dependent adaptations may change after inspection.</w:t>
      </w:r>
    </w:p>
    <w:p w14:paraId="1B3E0F1A" w14:textId="77777777" w:rsidR="009E514E" w:rsidRDefault="004847DE">
      <w:pPr>
        <w:pStyle w:val="ListNumber"/>
        <w:spacing w:after="40"/>
      </w:pPr>
      <w:r>
        <w:t>Schedule a short integration checkpoint as soon as each strategy can return a valid schedule.</w:t>
      </w:r>
    </w:p>
    <w:tbl>
      <w:tblPr>
        <w:tblW w:w="0" w:type="auto"/>
        <w:jc w:val="center"/>
        <w:tblLook w:val="04A0" w:firstRow="1" w:lastRow="0" w:firstColumn="1" w:lastColumn="0" w:noHBand="0" w:noVBand="1"/>
      </w:tblPr>
      <w:tblGrid>
        <w:gridCol w:w="9994"/>
      </w:tblGrid>
      <w:tr w:rsidR="009E514E" w14:paraId="78F64482" w14:textId="77777777">
        <w:trPr>
          <w:jc w:val="center"/>
        </w:trPr>
        <w:tc>
          <w:tcPr>
            <w:tcW w:w="9994" w:type="dxa"/>
            <w:shd w:val="clear" w:color="auto" w:fill="EAF3F8"/>
            <w:tcMar>
              <w:top w:w="140" w:type="dxa"/>
              <w:left w:w="170" w:type="dxa"/>
              <w:bottom w:w="140" w:type="dxa"/>
              <w:right w:w="170" w:type="dxa"/>
            </w:tcMar>
          </w:tcPr>
          <w:p w14:paraId="36D623AD" w14:textId="77777777" w:rsidR="009E514E" w:rsidRDefault="004847DE">
            <w:pPr>
              <w:spacing w:after="60"/>
            </w:pPr>
            <w:r>
              <w:rPr>
                <w:b/>
                <w:color w:val="16324F"/>
              </w:rPr>
              <w:t>Final principle</w:t>
            </w:r>
          </w:p>
          <w:p w14:paraId="50236569" w14:textId="77777777" w:rsidR="009E514E" w:rsidRDefault="004847DE">
            <w:pPr>
              <w:spacing w:after="0"/>
            </w:pPr>
            <w:r>
              <w:t>Build the interfaces and small working examples first, then replace synthetic inputs with the real dataset. Keep strategy ownership separate, use one shared evaluator, and treat perfect foresight as a controlled information benchmark—not as a fourth charging strategy.</w:t>
            </w:r>
          </w:p>
        </w:tc>
      </w:tr>
    </w:tbl>
    <w:p w14:paraId="1AAF277D" w14:textId="77777777" w:rsidR="009E514E" w:rsidRDefault="009E514E">
      <w:pPr>
        <w:spacing w:after="0"/>
      </w:pPr>
    </w:p>
    <w:p w14:paraId="4C8AAE6A" w14:textId="77777777" w:rsidR="009E514E" w:rsidRDefault="004847DE">
      <w:r>
        <w:br w:type="page"/>
      </w:r>
    </w:p>
    <w:p w14:paraId="7F5207B3" w14:textId="77777777" w:rsidR="009E514E" w:rsidRDefault="004847DE">
      <w:pPr>
        <w:pStyle w:val="Heading1"/>
      </w:pPr>
      <w:r>
        <w:lastRenderedPageBreak/>
        <w:t>13. Finalized decision record — use this as the authoritative specification</w:t>
      </w:r>
    </w:p>
    <w:p w14:paraId="08FE4D26" w14:textId="77777777" w:rsidR="009E514E" w:rsidRDefault="004847DE">
      <w:r>
        <w:t>This section resolves the project parameters that should not be left for individual teammates to decide. The exact dataset has not yet been inspected, so data-source availability and any necessary resampling adjustments remain the only data-dependent adaptations.</w:t>
      </w:r>
    </w:p>
    <w:p w14:paraId="1EE26CAB" w14:textId="77777777" w:rsidR="009E514E" w:rsidRDefault="004847DE">
      <w:pPr>
        <w:pStyle w:val="Heading2"/>
      </w:pPr>
      <w:r>
        <w:t>13.1 Optimization model and objective</w:t>
      </w:r>
    </w:p>
    <w:p w14:paraId="6F6FA8FF" w14:textId="77777777" w:rsidR="009E514E" w:rsidRDefault="004847DE">
      <w:r>
        <w:t>Use continuous Linear Programming (LP), not MILP. The main objective is to minimize charging-related grid cost and peak grid import while rewarding solar energy used by EV charging.</w:t>
      </w:r>
    </w:p>
    <w:p w14:paraId="29B3266A" w14:textId="77777777" w:rsidR="009E514E" w:rsidRDefault="004847DE">
      <w:r>
        <w:t>Minimize:</w:t>
      </w:r>
    </w:p>
    <w:p w14:paraId="58D57A03" w14:textId="77777777" w:rsidR="009E514E" w:rsidRDefault="004847DE">
      <w:pPr>
        <w:jc w:val="center"/>
      </w:pPr>
      <w:r>
        <w:rPr>
          <w:b/>
          <w:color w:val="16324F"/>
          <w:sz w:val="24"/>
        </w:rPr>
        <w:t>J = (C_EV / C_ref) + 5(P_peak / P_ref) − 2(S_EV_solar / E_EV_grid)</w:t>
      </w:r>
    </w:p>
    <w:p w14:paraId="10B6A633" w14:textId="77777777" w:rsidR="009E514E" w:rsidRDefault="004847DE">
      <w:r>
        <w:t>Definitions:</w:t>
      </w:r>
    </w:p>
    <w:p w14:paraId="4A12B596" w14:textId="77777777" w:rsidR="009E514E" w:rsidRDefault="004847DE">
      <w:pPr>
        <w:pStyle w:val="ListBullet"/>
        <w:spacing w:after="40"/>
      </w:pPr>
      <w:r>
        <w:t>P_EV,t = total EV charging power in slot t.</w:t>
      </w:r>
    </w:p>
    <w:p w14:paraId="4ACD2B23" w14:textId="77777777" w:rsidR="009E514E" w:rsidRDefault="004847DE">
      <w:pPr>
        <w:pStyle w:val="ListBullet"/>
        <w:spacing w:after="40"/>
      </w:pPr>
      <w:r>
        <w:t>P_grid,t = grid import in slot t; P_peak is the maximum P_grid,t over the horizon.</w:t>
      </w:r>
    </w:p>
    <w:p w14:paraId="3BFCA9EB" w14:textId="77777777" w:rsidR="009E514E" w:rsidRDefault="004847DE">
      <w:pPr>
        <w:pStyle w:val="ListBullet"/>
        <w:spacing w:after="40"/>
      </w:pPr>
      <w:r>
        <w:t>P_grid,t ≥ P_base,t + P_EV,t − P_solar,t and P_grid,t ≥ 0. No grid export is modeled; surplus solar may be curtailed.</w:t>
      </w:r>
    </w:p>
    <w:p w14:paraId="670F6BCB" w14:textId="77777777" w:rsidR="009E514E" w:rsidRDefault="004847DE">
      <w:pPr>
        <w:pStyle w:val="ListBullet"/>
        <w:spacing w:after="40"/>
      </w:pPr>
      <w:r>
        <w:t>P_solar_surplus,t = max(0, P_solar,t − P_base,t), calculated from known inputs before solving.</w:t>
      </w:r>
    </w:p>
    <w:p w14:paraId="55A73944" w14:textId="77777777" w:rsidR="009E514E" w:rsidRDefault="004847DE">
      <w:pPr>
        <w:pStyle w:val="ListBullet"/>
        <w:spacing w:after="40"/>
      </w:pPr>
      <w:r>
        <w:t>u_t = solar power allocated to EV charging in slot t, with 0 ≤ u_t ≤ P_EV,t and u_t ≤ P_solar_surplus,t.</w:t>
      </w:r>
    </w:p>
    <w:p w14:paraId="0B4CBC79" w14:textId="77777777" w:rsidR="009E514E" w:rsidRDefault="004847DE">
      <w:pPr>
        <w:pStyle w:val="ListBullet"/>
        <w:spacing w:after="40"/>
      </w:pPr>
      <w:r>
        <w:t>S_EV_solar = Σ_t u_t Δt, in kWh.</w:t>
      </w:r>
    </w:p>
    <w:p w14:paraId="19E72E79" w14:textId="77777777" w:rsidR="009E514E" w:rsidRDefault="004847DE">
      <w:pPr>
        <w:pStyle w:val="ListBullet"/>
        <w:spacing w:after="40"/>
      </w:pPr>
      <w:r>
        <w:t>For battery-side energy requirement E_i and charging efficiency η_i, enforce Σ_t(P_i,t Δt η_i) = E_i over the EV's available slots. If the dataset's required energy is grid-side energy, use Σ_t(P_i,t Δt) = E_i instead; apply efficiency exactly once.</w:t>
      </w:r>
    </w:p>
    <w:p w14:paraId="54EE9A7E" w14:textId="77777777" w:rsidR="009E514E" w:rsidRDefault="004847DE">
      <w:pPr>
        <w:pStyle w:val="ListBullet"/>
        <w:spacing w:after="40"/>
      </w:pPr>
      <w:r>
        <w:t>E_EV_grid = Σ_i E_i / η_i for battery-side energy requirements. This is the fixed reference energy for normalization.</w:t>
      </w:r>
    </w:p>
    <w:p w14:paraId="60A9B900" w14:textId="77777777" w:rsidR="009E514E" w:rsidRDefault="004847DE">
      <w:pPr>
        <w:pStyle w:val="ListBullet"/>
        <w:spacing w:after="40"/>
      </w:pPr>
      <w:r>
        <w:t>C_EV = Σ_t π_t(P_grid,t − P_grid,base-only,t)Δt, where P_grid,base-only,t = max(0, P_base,t − P_solar,t). This measures incremental grid-import cost attributable to EV charging.</w:t>
      </w:r>
    </w:p>
    <w:p w14:paraId="6A2B1E0C" w14:textId="77777777" w:rsidR="009E514E" w:rsidRDefault="004847DE">
      <w:pPr>
        <w:pStyle w:val="ListBullet"/>
        <w:spacing w:after="40"/>
      </w:pPr>
      <w:r>
        <w:t>C_ref = mean(π_t) × E_EV_grid. This normalizes cost to a typical tariff multiplied by required EV grid energy.</w:t>
      </w:r>
    </w:p>
    <w:p w14:paraId="132CA587" w14:textId="77777777" w:rsidR="009E514E" w:rsidRDefault="004847DE">
      <w:pPr>
        <w:pStyle w:val="ListBullet"/>
        <w:spacing w:after="40"/>
      </w:pPr>
      <w:r>
        <w:t>P_ref = max_t(P_base,t + Σ_i a_i,t P_i,max), where a_i,t is 1 when EV i is available and 0 otherwise. This is a fixed, positive scale for peak load.</w:t>
      </w:r>
    </w:p>
    <w:p w14:paraId="32D6E67D" w14:textId="77777777" w:rsidR="009E514E" w:rsidRDefault="004847DE">
      <w:pPr>
        <w:pStyle w:val="ListBullet"/>
        <w:spacing w:after="40"/>
      </w:pPr>
      <w:r>
        <w:t>Primary weights are w_C:w_P:w_R = 1:5:2 after normalization. Thus peak reduction receives the strongest weight, solar utilization the second strongest, and charging-related cost the third.</w:t>
      </w:r>
    </w:p>
    <w:p w14:paraId="795516F5" w14:textId="77777777" w:rsidR="009E514E" w:rsidRDefault="004847DE">
      <w:r>
        <w:t>Energy equality prevents the solar-reward term from incentivizing unnecessary overcharging. If a session cannot meet its target within the available charging window, report it as infeasible rather than silently relaxing the requirement.</w:t>
      </w:r>
    </w:p>
    <w:p w14:paraId="505EB521" w14:textId="77777777" w:rsidR="009E514E" w:rsidRDefault="004847DE">
      <w:pPr>
        <w:pStyle w:val="Heading2"/>
      </w:pPr>
      <w:r>
        <w:t>13.2 Modeling conventions</w:t>
      </w:r>
    </w:p>
    <w:tbl>
      <w:tblPr>
        <w:tblStyle w:val="TableGrid"/>
        <w:tblW w:w="0" w:type="auto"/>
        <w:jc w:val="center"/>
        <w:tblLayout w:type="fixed"/>
        <w:tblLook w:val="04A0" w:firstRow="1" w:lastRow="0" w:firstColumn="1" w:lastColumn="0" w:noHBand="0" w:noVBand="1"/>
      </w:tblPr>
      <w:tblGrid>
        <w:gridCol w:w="2304"/>
        <w:gridCol w:w="7344"/>
      </w:tblGrid>
      <w:tr w:rsidR="009E514E" w14:paraId="1587B137" w14:textId="77777777">
        <w:trPr>
          <w:tblHeader/>
          <w:jc w:val="center"/>
        </w:trPr>
        <w:tc>
          <w:tcPr>
            <w:tcW w:w="2304" w:type="dxa"/>
            <w:shd w:val="clear" w:color="auto" w:fill="16324F"/>
            <w:tcMar>
              <w:top w:w="90" w:type="dxa"/>
              <w:left w:w="100" w:type="dxa"/>
              <w:bottom w:w="90" w:type="dxa"/>
              <w:right w:w="100" w:type="dxa"/>
            </w:tcMar>
            <w:vAlign w:val="center"/>
          </w:tcPr>
          <w:p w14:paraId="5C57A434" w14:textId="77777777" w:rsidR="009E514E" w:rsidRDefault="004847DE">
            <w:pPr>
              <w:spacing w:after="0"/>
            </w:pPr>
            <w:r>
              <w:rPr>
                <w:b/>
                <w:color w:val="FFFFFF"/>
                <w:sz w:val="17"/>
              </w:rPr>
              <w:t>Parameter</w:t>
            </w:r>
          </w:p>
        </w:tc>
        <w:tc>
          <w:tcPr>
            <w:tcW w:w="7344" w:type="dxa"/>
            <w:shd w:val="clear" w:color="auto" w:fill="16324F"/>
            <w:tcMar>
              <w:top w:w="90" w:type="dxa"/>
              <w:left w:w="100" w:type="dxa"/>
              <w:bottom w:w="90" w:type="dxa"/>
              <w:right w:w="100" w:type="dxa"/>
            </w:tcMar>
            <w:vAlign w:val="center"/>
          </w:tcPr>
          <w:p w14:paraId="29434A57" w14:textId="77777777" w:rsidR="009E514E" w:rsidRDefault="004847DE">
            <w:pPr>
              <w:spacing w:after="0"/>
            </w:pPr>
            <w:r>
              <w:rPr>
                <w:b/>
                <w:color w:val="FFFFFF"/>
                <w:sz w:val="17"/>
              </w:rPr>
              <w:t>Decision</w:t>
            </w:r>
          </w:p>
        </w:tc>
      </w:tr>
      <w:tr w:rsidR="009E514E" w14:paraId="6E8E9014" w14:textId="77777777">
        <w:trPr>
          <w:jc w:val="center"/>
        </w:trPr>
        <w:tc>
          <w:tcPr>
            <w:tcW w:w="2304" w:type="dxa"/>
            <w:tcMar>
              <w:top w:w="90" w:type="dxa"/>
              <w:left w:w="100" w:type="dxa"/>
              <w:bottom w:w="90" w:type="dxa"/>
              <w:right w:w="100" w:type="dxa"/>
            </w:tcMar>
          </w:tcPr>
          <w:p w14:paraId="11A65B02" w14:textId="77777777" w:rsidR="009E514E" w:rsidRDefault="004847DE">
            <w:pPr>
              <w:spacing w:after="20"/>
            </w:pPr>
            <w:r>
              <w:rPr>
                <w:sz w:val="17"/>
              </w:rPr>
              <w:t>Time step</w:t>
            </w:r>
          </w:p>
        </w:tc>
        <w:tc>
          <w:tcPr>
            <w:tcW w:w="7344" w:type="dxa"/>
            <w:tcMar>
              <w:top w:w="90" w:type="dxa"/>
              <w:left w:w="100" w:type="dxa"/>
              <w:bottom w:w="90" w:type="dxa"/>
              <w:right w:w="100" w:type="dxa"/>
            </w:tcMar>
          </w:tcPr>
          <w:p w14:paraId="35FE0EE7" w14:textId="77777777" w:rsidR="009E514E" w:rsidRDefault="004847DE">
            <w:pPr>
              <w:spacing w:after="20"/>
            </w:pPr>
            <w:r>
              <w:rPr>
                <w:sz w:val="17"/>
              </w:rPr>
              <w:t>Use 1-hour slots for the initial implementation; adapt only if the obtained data makes this impractical, and then change all strategies together.</w:t>
            </w:r>
          </w:p>
        </w:tc>
      </w:tr>
      <w:tr w:rsidR="009E514E" w14:paraId="32DC269F" w14:textId="77777777">
        <w:trPr>
          <w:jc w:val="center"/>
        </w:trPr>
        <w:tc>
          <w:tcPr>
            <w:tcW w:w="2304" w:type="dxa"/>
            <w:shd w:val="clear" w:color="auto" w:fill="F3F6F8"/>
            <w:tcMar>
              <w:top w:w="90" w:type="dxa"/>
              <w:left w:w="100" w:type="dxa"/>
              <w:bottom w:w="90" w:type="dxa"/>
              <w:right w:w="100" w:type="dxa"/>
            </w:tcMar>
          </w:tcPr>
          <w:p w14:paraId="6E3A3923" w14:textId="77777777" w:rsidR="009E514E" w:rsidRDefault="004847DE">
            <w:pPr>
              <w:spacing w:after="20"/>
            </w:pPr>
            <w:r>
              <w:rPr>
                <w:sz w:val="17"/>
              </w:rPr>
              <w:t>Horizon</w:t>
            </w:r>
          </w:p>
        </w:tc>
        <w:tc>
          <w:tcPr>
            <w:tcW w:w="7344" w:type="dxa"/>
            <w:shd w:val="clear" w:color="auto" w:fill="F3F6F8"/>
            <w:tcMar>
              <w:top w:w="90" w:type="dxa"/>
              <w:left w:w="100" w:type="dxa"/>
              <w:bottom w:w="90" w:type="dxa"/>
              <w:right w:w="100" w:type="dxa"/>
            </w:tcMar>
          </w:tcPr>
          <w:p w14:paraId="4AAEE6E1" w14:textId="77777777" w:rsidR="009E514E" w:rsidRDefault="004847DE">
            <w:pPr>
              <w:spacing w:after="20"/>
            </w:pPr>
            <w:r>
              <w:rPr>
                <w:sz w:val="17"/>
              </w:rPr>
              <w:t>Use a 24-hour scenario horizon for the initial experiment, with all strategies evaluated over identical windows.</w:t>
            </w:r>
          </w:p>
        </w:tc>
      </w:tr>
      <w:tr w:rsidR="009E514E" w14:paraId="7A26EC8C" w14:textId="77777777">
        <w:trPr>
          <w:jc w:val="center"/>
        </w:trPr>
        <w:tc>
          <w:tcPr>
            <w:tcW w:w="2304" w:type="dxa"/>
            <w:tcMar>
              <w:top w:w="90" w:type="dxa"/>
              <w:left w:w="100" w:type="dxa"/>
              <w:bottom w:w="90" w:type="dxa"/>
              <w:right w:w="100" w:type="dxa"/>
            </w:tcMar>
          </w:tcPr>
          <w:p w14:paraId="42C27648" w14:textId="77777777" w:rsidR="009E514E" w:rsidRDefault="004847DE">
            <w:pPr>
              <w:spacing w:after="20"/>
            </w:pPr>
            <w:r>
              <w:rPr>
                <w:sz w:val="17"/>
              </w:rPr>
              <w:t>Charging efficiency</w:t>
            </w:r>
          </w:p>
        </w:tc>
        <w:tc>
          <w:tcPr>
            <w:tcW w:w="7344" w:type="dxa"/>
            <w:tcMar>
              <w:top w:w="90" w:type="dxa"/>
              <w:left w:w="100" w:type="dxa"/>
              <w:bottom w:w="90" w:type="dxa"/>
              <w:right w:w="100" w:type="dxa"/>
            </w:tcMar>
          </w:tcPr>
          <w:p w14:paraId="39407DCD" w14:textId="77777777" w:rsidR="009E514E" w:rsidRDefault="004847DE">
            <w:pPr>
              <w:spacing w:after="20"/>
            </w:pPr>
            <w:r>
              <w:rPr>
                <w:sz w:val="17"/>
              </w:rPr>
              <w:t>Use η = 0.9 where the required energy is battery-side energy. Do not apply η twice.</w:t>
            </w:r>
          </w:p>
        </w:tc>
      </w:tr>
      <w:tr w:rsidR="009E514E" w14:paraId="067FCC18" w14:textId="77777777">
        <w:trPr>
          <w:jc w:val="center"/>
        </w:trPr>
        <w:tc>
          <w:tcPr>
            <w:tcW w:w="2304" w:type="dxa"/>
            <w:shd w:val="clear" w:color="auto" w:fill="F3F6F8"/>
            <w:tcMar>
              <w:top w:w="90" w:type="dxa"/>
              <w:left w:w="100" w:type="dxa"/>
              <w:bottom w:w="90" w:type="dxa"/>
              <w:right w:w="100" w:type="dxa"/>
            </w:tcMar>
          </w:tcPr>
          <w:p w14:paraId="424DB736" w14:textId="77777777" w:rsidR="009E514E" w:rsidRDefault="004847DE">
            <w:pPr>
              <w:spacing w:after="20"/>
            </w:pPr>
            <w:r>
              <w:rPr>
                <w:sz w:val="17"/>
              </w:rPr>
              <w:t>Energy satisfaction</w:t>
            </w:r>
          </w:p>
        </w:tc>
        <w:tc>
          <w:tcPr>
            <w:tcW w:w="7344" w:type="dxa"/>
            <w:shd w:val="clear" w:color="auto" w:fill="F3F6F8"/>
            <w:tcMar>
              <w:top w:w="90" w:type="dxa"/>
              <w:left w:w="100" w:type="dxa"/>
              <w:bottom w:w="90" w:type="dxa"/>
              <w:right w:w="100" w:type="dxa"/>
            </w:tcMar>
          </w:tcPr>
          <w:p w14:paraId="3A7A724D" w14:textId="77777777" w:rsidR="009E514E" w:rsidRDefault="004847DE">
            <w:pPr>
              <w:spacing w:after="20"/>
            </w:pPr>
            <w:r>
              <w:rPr>
                <w:sz w:val="17"/>
              </w:rPr>
              <w:t>100% of each included EV's required energy must be delivered whenever the scenario is physically feasible.</w:t>
            </w:r>
          </w:p>
        </w:tc>
      </w:tr>
      <w:tr w:rsidR="009E514E" w14:paraId="660B8C26" w14:textId="77777777">
        <w:trPr>
          <w:jc w:val="center"/>
        </w:trPr>
        <w:tc>
          <w:tcPr>
            <w:tcW w:w="2304" w:type="dxa"/>
            <w:tcMar>
              <w:top w:w="90" w:type="dxa"/>
              <w:left w:w="100" w:type="dxa"/>
              <w:bottom w:w="90" w:type="dxa"/>
              <w:right w:w="100" w:type="dxa"/>
            </w:tcMar>
          </w:tcPr>
          <w:p w14:paraId="6FC55935" w14:textId="77777777" w:rsidR="009E514E" w:rsidRDefault="004847DE">
            <w:pPr>
              <w:spacing w:after="20"/>
            </w:pPr>
            <w:r>
              <w:rPr>
                <w:sz w:val="17"/>
              </w:rPr>
              <w:t>Solar allocation</w:t>
            </w:r>
          </w:p>
        </w:tc>
        <w:tc>
          <w:tcPr>
            <w:tcW w:w="7344" w:type="dxa"/>
            <w:tcMar>
              <w:top w:w="90" w:type="dxa"/>
              <w:left w:w="100" w:type="dxa"/>
              <w:bottom w:w="90" w:type="dxa"/>
              <w:right w:w="100" w:type="dxa"/>
            </w:tcMar>
          </w:tcPr>
          <w:p w14:paraId="00FC31B5" w14:textId="77777777" w:rsidR="009E514E" w:rsidRDefault="004847DE">
            <w:pPr>
              <w:spacing w:after="20"/>
            </w:pPr>
            <w:r>
              <w:rPr>
                <w:sz w:val="17"/>
              </w:rPr>
              <w:t>Solar serves base load first. Only surplus solar above base load can be credited as solar energy used by EVs.</w:t>
            </w:r>
          </w:p>
        </w:tc>
      </w:tr>
      <w:tr w:rsidR="009E514E" w14:paraId="4C0A4AA0" w14:textId="77777777">
        <w:trPr>
          <w:jc w:val="center"/>
        </w:trPr>
        <w:tc>
          <w:tcPr>
            <w:tcW w:w="2304" w:type="dxa"/>
            <w:shd w:val="clear" w:color="auto" w:fill="F3F6F8"/>
            <w:tcMar>
              <w:top w:w="90" w:type="dxa"/>
              <w:left w:w="100" w:type="dxa"/>
              <w:bottom w:w="90" w:type="dxa"/>
              <w:right w:w="100" w:type="dxa"/>
            </w:tcMar>
          </w:tcPr>
          <w:p w14:paraId="640C6BC4" w14:textId="77777777" w:rsidR="009E514E" w:rsidRDefault="004847DE">
            <w:pPr>
              <w:spacing w:after="20"/>
            </w:pPr>
            <w:r>
              <w:rPr>
                <w:sz w:val="17"/>
              </w:rPr>
              <w:lastRenderedPageBreak/>
              <w:t>Grid export</w:t>
            </w:r>
          </w:p>
        </w:tc>
        <w:tc>
          <w:tcPr>
            <w:tcW w:w="7344" w:type="dxa"/>
            <w:shd w:val="clear" w:color="auto" w:fill="F3F6F8"/>
            <w:tcMar>
              <w:top w:w="90" w:type="dxa"/>
              <w:left w:w="100" w:type="dxa"/>
              <w:bottom w:w="90" w:type="dxa"/>
              <w:right w:w="100" w:type="dxa"/>
            </w:tcMar>
          </w:tcPr>
          <w:p w14:paraId="4B8F1AF7" w14:textId="77777777" w:rsidR="009E514E" w:rsidRDefault="004847DE">
            <w:pPr>
              <w:spacing w:after="20"/>
            </w:pPr>
            <w:r>
              <w:rPr>
                <w:sz w:val="17"/>
              </w:rPr>
              <w:t>Out of scope. Grid import is constrained to be nonnegative; surplus generation not used by the site is treated as curtailed.</w:t>
            </w:r>
          </w:p>
        </w:tc>
      </w:tr>
      <w:tr w:rsidR="009E514E" w14:paraId="74342C11" w14:textId="77777777">
        <w:trPr>
          <w:jc w:val="center"/>
        </w:trPr>
        <w:tc>
          <w:tcPr>
            <w:tcW w:w="2304" w:type="dxa"/>
            <w:tcMar>
              <w:top w:w="90" w:type="dxa"/>
              <w:left w:w="100" w:type="dxa"/>
              <w:bottom w:w="90" w:type="dxa"/>
              <w:right w:w="100" w:type="dxa"/>
            </w:tcMar>
          </w:tcPr>
          <w:p w14:paraId="41DDAE3F" w14:textId="77777777" w:rsidR="009E514E" w:rsidRDefault="004847DE">
            <w:pPr>
              <w:spacing w:after="20"/>
            </w:pPr>
            <w:r>
              <w:rPr>
                <w:sz w:val="17"/>
              </w:rPr>
              <w:t>V2G / battery health / RL</w:t>
            </w:r>
          </w:p>
        </w:tc>
        <w:tc>
          <w:tcPr>
            <w:tcW w:w="7344" w:type="dxa"/>
            <w:tcMar>
              <w:top w:w="90" w:type="dxa"/>
              <w:left w:w="100" w:type="dxa"/>
              <w:bottom w:w="90" w:type="dxa"/>
              <w:right w:w="100" w:type="dxa"/>
            </w:tcMar>
          </w:tcPr>
          <w:p w14:paraId="707283B8" w14:textId="77777777" w:rsidR="009E514E" w:rsidRDefault="004847DE">
            <w:pPr>
              <w:spacing w:after="20"/>
            </w:pPr>
            <w:r>
              <w:rPr>
                <w:sz w:val="17"/>
              </w:rPr>
              <w:t>Out of scope.</w:t>
            </w:r>
          </w:p>
        </w:tc>
      </w:tr>
      <w:tr w:rsidR="009E514E" w14:paraId="498B96F6" w14:textId="77777777">
        <w:trPr>
          <w:jc w:val="center"/>
        </w:trPr>
        <w:tc>
          <w:tcPr>
            <w:tcW w:w="2304" w:type="dxa"/>
            <w:shd w:val="clear" w:color="auto" w:fill="F3F6F8"/>
            <w:tcMar>
              <w:top w:w="90" w:type="dxa"/>
              <w:left w:w="100" w:type="dxa"/>
              <w:bottom w:w="90" w:type="dxa"/>
              <w:right w:w="100" w:type="dxa"/>
            </w:tcMar>
          </w:tcPr>
          <w:p w14:paraId="108B7CB1" w14:textId="77777777" w:rsidR="009E514E" w:rsidRDefault="004847DE">
            <w:pPr>
              <w:spacing w:after="20"/>
            </w:pPr>
            <w:r>
              <w:rPr>
                <w:sz w:val="17"/>
              </w:rPr>
              <w:t>Emission metric</w:t>
            </w:r>
          </w:p>
        </w:tc>
        <w:tc>
          <w:tcPr>
            <w:tcW w:w="7344" w:type="dxa"/>
            <w:shd w:val="clear" w:color="auto" w:fill="F3F6F8"/>
            <w:tcMar>
              <w:top w:w="90" w:type="dxa"/>
              <w:left w:w="100" w:type="dxa"/>
              <w:bottom w:w="90" w:type="dxa"/>
              <w:right w:w="100" w:type="dxa"/>
            </w:tcMar>
          </w:tcPr>
          <w:p w14:paraId="523B5729" w14:textId="77777777" w:rsidR="009E514E" w:rsidRDefault="004847DE">
            <w:pPr>
              <w:spacing w:after="20"/>
            </w:pPr>
            <w:r>
              <w:rPr>
                <w:sz w:val="17"/>
              </w:rPr>
              <w:t>Use 0.4 kg CO₂/kWh as the declared scenario assumption from the midsem slide unless a location-matched official factor is available. CO₂ is an evaluation metric, not an LP objective term.</w:t>
            </w:r>
          </w:p>
        </w:tc>
      </w:tr>
    </w:tbl>
    <w:p w14:paraId="0B2B37C2" w14:textId="77777777" w:rsidR="009E514E" w:rsidRDefault="009E514E">
      <w:pPr>
        <w:spacing w:after="0"/>
      </w:pPr>
    </w:p>
    <w:p w14:paraId="1406BF88" w14:textId="77777777" w:rsidR="009E514E" w:rsidRDefault="004847DE">
      <w:pPr>
        <w:pStyle w:val="Heading2"/>
      </w:pPr>
      <w:r>
        <w:t>13.3 Forecasting and perfect-foresight protocol</w:t>
      </w:r>
    </w:p>
    <w:p w14:paraId="61EE84C5" w14:textId="77777777" w:rsidR="009E514E" w:rsidRDefault="004847DE">
      <w:pPr>
        <w:pStyle w:val="ListBullet"/>
        <w:spacing w:after="40"/>
      </w:pPr>
      <w:r>
        <w:t>Mandatory ML target: solar generation, because it directly affects the solar-aware LP objective and grid import.</w:t>
      </w:r>
    </w:p>
    <w:p w14:paraId="16685488" w14:textId="77777777" w:rsidR="009E514E" w:rsidRDefault="004847DE">
      <w:pPr>
        <w:pStyle w:val="ListBullet"/>
        <w:spacing w:after="40"/>
      </w:pPr>
      <w:r>
        <w:t>Base-load forecasting: forecast base load as well if the selected dataset contains a suitable historical time series. If no such series is available, treat the supplied base-load profile as known for this coursework and state that simplifying assumption.</w:t>
      </w:r>
    </w:p>
    <w:p w14:paraId="3B7FAC84" w14:textId="77777777" w:rsidR="009E514E" w:rsidRDefault="004847DE">
      <w:pPr>
        <w:pStyle w:val="ListBullet"/>
        <w:spacing w:after="40"/>
      </w:pPr>
      <w:r>
        <w:t>Do not forecast a published TOU tariff if it is known in advance.</w:t>
      </w:r>
    </w:p>
    <w:p w14:paraId="2C0A05E4" w14:textId="77777777" w:rsidR="009E514E" w:rsidRDefault="004847DE">
      <w:pPr>
        <w:pStyle w:val="ListBullet"/>
        <w:spacing w:after="40"/>
      </w:pPr>
      <w:r>
        <w:t>Treat each EV's arrival, departure and required energy as known inputs in both modes. This deliberately isolates uncertainty in solar and, where available, base load instead of mixing session-prediction errors into the experiment.</w:t>
      </w:r>
    </w:p>
    <w:p w14:paraId="1790CFAD" w14:textId="77777777" w:rsidR="009E514E" w:rsidRDefault="004847DE">
      <w:pPr>
        <w:pStyle w:val="ListBullet"/>
        <w:spacing w:after="40"/>
      </w:pPr>
      <w:r>
        <w:t>Forecast horizon: 24 hours, matching the LP scenario horizon.</w:t>
      </w:r>
    </w:p>
    <w:p w14:paraId="297BDD24" w14:textId="77777777" w:rsidR="009E514E" w:rsidRDefault="004847DE">
      <w:pPr>
        <w:pStyle w:val="ListBullet"/>
        <w:spacing w:after="40"/>
      </w:pPr>
      <w:r>
        <w:t>Data split: chronological 70% training, 15% validation and 15% held-out testing. Do not shuffle time-series observations.</w:t>
      </w:r>
    </w:p>
    <w:p w14:paraId="0FDF77E3" w14:textId="77777777" w:rsidR="009E514E" w:rsidRDefault="004847DE">
      <w:pPr>
        <w:pStyle w:val="ListBullet"/>
        <w:spacing w:after="40"/>
      </w:pPr>
      <w:r>
        <w:t>Model: compare a simple persistence / same-hour historical baseline against one scikit-learn model, preferably RandomForestRegressor. Use hour-of-day, day-of-week and past-value lag features only when they are available at prediction time.</w:t>
      </w:r>
    </w:p>
    <w:p w14:paraId="0B06EFB9" w14:textId="77777777" w:rsidR="009E514E" w:rsidRDefault="004847DE">
      <w:pPr>
        <w:pStyle w:val="ListBullet"/>
        <w:spacing w:after="40"/>
      </w:pPr>
      <w:r>
        <w:t>Report MAE and RMSE for each forecast target, and inspect actual-versus-predicted plots.</w:t>
      </w:r>
    </w:p>
    <w:p w14:paraId="24273EC9" w14:textId="77777777" w:rsidR="009E514E" w:rsidRDefault="004847DE">
      <w:pPr>
        <w:pStyle w:val="ListBullet"/>
        <w:spacing w:after="40"/>
      </w:pPr>
      <w:r>
        <w:t>Forecast-based LP: use predicted solar and any forecasted base-load values for the test horizon.</w:t>
      </w:r>
    </w:p>
    <w:p w14:paraId="10A06FCD" w14:textId="77777777" w:rsidR="009E514E" w:rsidRDefault="004847DE">
      <w:pPr>
        <w:pStyle w:val="ListBullet"/>
        <w:spacing w:after="40"/>
      </w:pPr>
      <w:r>
        <w:t>Perfect-foresight LP: use actual future solar and the actual future base load only if base load is also a forecast target. Reuse the same LP function, objective, constraints, EV sessions, tariff, test windows and solver settings.</w:t>
      </w:r>
    </w:p>
    <w:p w14:paraId="75EDC996" w14:textId="77777777" w:rsidR="009E514E" w:rsidRDefault="004847DE">
      <w:pPr>
        <w:pStyle w:val="ListBullet"/>
        <w:spacing w:after="40"/>
      </w:pPr>
      <w:r>
        <w:t>Evaluate both schedules against the actual test-period environment. Perfect foresight is an ideal-information benchmark, not a deployable forecast.</w:t>
      </w:r>
    </w:p>
    <w:p w14:paraId="3E5B6F96" w14:textId="77777777" w:rsidR="009E514E" w:rsidRDefault="004847DE">
      <w:pPr>
        <w:pStyle w:val="Heading2"/>
      </w:pPr>
      <w:r>
        <w:t>13.4 Dataset selection and adaptation rules</w:t>
      </w:r>
    </w:p>
    <w:p w14:paraId="54D49D24" w14:textId="77777777" w:rsidR="009E514E" w:rsidRDefault="004847DE">
      <w:pPr>
        <w:pStyle w:val="ListBullet"/>
        <w:spacing w:after="40"/>
      </w:pPr>
      <w:r>
        <w:t>Use one coherent geographic scenario: EV sessions, solar generation, base load and tariff must represent a compatible location and time period. Do not combine unrelated locations without clearly labeling the scenario as synthetic.</w:t>
      </w:r>
    </w:p>
    <w:p w14:paraId="7B9D4B23" w14:textId="77777777" w:rsidR="009E514E" w:rsidRDefault="004847DE">
      <w:pPr>
        <w:pStyle w:val="ListBullet"/>
        <w:spacing w:after="40"/>
      </w:pPr>
      <w:r>
        <w:t>Preferred starting point from the project plan: 50–100 ACN-Data charging sessions; NREL NSRDB solar generation; and a compatible NREL/OEDI or other documented base-load profile, plus a documented TOU tariff, if these can be aligned.</w:t>
      </w:r>
    </w:p>
    <w:p w14:paraId="5C586E7B" w14:textId="77777777" w:rsidR="009E514E" w:rsidRDefault="004847DE">
      <w:pPr>
        <w:pStyle w:val="ListBullet"/>
        <w:spacing w:after="40"/>
      </w:pPr>
      <w:r>
        <w:t>Keep the raw datasets unchanged. Save cleaned and aligned versions under data/processed and document source, unit, time zone, missing-data treatment and any exclusions.</w:t>
      </w:r>
    </w:p>
    <w:p w14:paraId="47934CC2" w14:textId="77777777" w:rsidR="009E514E" w:rsidRDefault="004847DE">
      <w:pPr>
        <w:pStyle w:val="ListBullet"/>
        <w:spacing w:after="40"/>
      </w:pPr>
      <w:r>
        <w:t>If the obtained dataset lacks one input, do not fabricate measured data. Either use a clearly labeled documented scenario assumption or simplify the experiment and state the limitation.</w:t>
      </w:r>
    </w:p>
    <w:p w14:paraId="78F493C7" w14:textId="77777777" w:rsidR="009E514E" w:rsidRDefault="004847DE">
      <w:pPr>
        <w:pStyle w:val="ListBullet"/>
        <w:spacing w:after="40"/>
      </w:pPr>
      <w:r>
        <w:t>If 1-hour resampling would erase essential session detail or make too many sessions infeasible, report this and use a finer common interval across every strategy rather than changing one strategy alone.</w:t>
      </w:r>
    </w:p>
    <w:p w14:paraId="59D6294F" w14:textId="77777777" w:rsidR="009E514E" w:rsidRDefault="004847DE">
      <w:pPr>
        <w:pStyle w:val="Heading2"/>
      </w:pPr>
      <w:r>
        <w:t>13.5 Sensitivity and robustness check</w:t>
      </w:r>
    </w:p>
    <w:p w14:paraId="07FBAAD2" w14:textId="77777777" w:rsidR="009E514E" w:rsidRDefault="004847DE">
      <w:r>
        <w:t>Use 1:5:2 as the primary weight ratio. To show that the result is not solely an artifact of subjective weights, optionally run a small sensitivity check with equal normalized weights (1:1:1) on a few representative test scenarios. Keep the primary reported comparison based on 1:5:2 and clearly label the sensitivity results.</w:t>
      </w:r>
    </w:p>
    <w:p w14:paraId="5CD4FC13" w14:textId="77777777" w:rsidR="009E514E" w:rsidRDefault="004847DE">
      <w:pPr>
        <w:pStyle w:val="Heading2"/>
      </w:pPr>
      <w:r>
        <w:lastRenderedPageBreak/>
        <w:t>13.6 What remains legitimately dataset-dependent</w:t>
      </w:r>
    </w:p>
    <w:p w14:paraId="71D7512C" w14:textId="77777777" w:rsidR="009E514E" w:rsidRDefault="004847DE">
      <w:r>
        <w:t>The team does not need to debate the modeling choices above. After the dataset arrives, Member 4 only needs to establish: the actual column names and units; whether a compatible base-load series exists; the real geographic/time coverage; missing-data handling; and whether 1-hour slots can represent the data adequately. Any change to the time step or forecast targets must be documented and applied consistently.</w:t>
      </w:r>
    </w:p>
    <w:sectPr w:rsidR="009E514E" w:rsidSect="00034616">
      <w:headerReference w:type="default" r:id="rId8"/>
      <w:footerReference w:type="default" r:id="rId9"/>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55D9" w14:textId="77777777" w:rsidR="004847DE" w:rsidRDefault="004847DE">
      <w:pPr>
        <w:spacing w:after="0" w:line="240" w:lineRule="auto"/>
      </w:pPr>
      <w:r>
        <w:separator/>
      </w:r>
    </w:p>
  </w:endnote>
  <w:endnote w:type="continuationSeparator" w:id="0">
    <w:p w14:paraId="5C677A1F" w14:textId="77777777" w:rsidR="004847DE" w:rsidRDefault="00484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38F0" w14:textId="77777777" w:rsidR="009E514E" w:rsidRDefault="004847DE">
    <w:pPr>
      <w:pStyle w:val="Footer"/>
      <w:jc w:val="center"/>
    </w:pPr>
    <w:r>
      <w:rPr>
        <w:color w:val="5A646E"/>
        <w:sz w:val="16"/>
      </w:rPr>
      <w:t>Group 10 • Technical roadmap • Working specification</w:t>
    </w:r>
  </w:p>
  <w:p w14:paraId="68ED4366" w14:textId="77777777" w:rsidR="009E514E" w:rsidRDefault="004847DE">
    <w:pPr>
      <w:jc w:val="right"/>
    </w:pPr>
    <w:r>
      <w:rPr>
        <w:sz w:val="16"/>
      </w:rPr>
      <w:t xml:space="preserve">Page </w:t>
    </w:r>
    <w:r>
      <w:rPr>
        <w:sz w:val="16"/>
      </w:rPr>
      <w:fldChar w:fldCharType="begin"/>
    </w:r>
    <w:r>
      <w:rPr>
        <w:sz w:val="16"/>
      </w:rPr>
      <w:instrText>PAGE</w:instrText>
    </w:r>
    <w:r>
      <w:rPr>
        <w:sz w:val="16"/>
      </w:rPr>
      <w:fldChar w:fldCharType="separate"/>
    </w:r>
    <w:r w:rsidR="00D63FF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2210F" w14:textId="77777777" w:rsidR="004847DE" w:rsidRDefault="004847DE">
      <w:pPr>
        <w:spacing w:after="0" w:line="240" w:lineRule="auto"/>
      </w:pPr>
      <w:r>
        <w:separator/>
      </w:r>
    </w:p>
  </w:footnote>
  <w:footnote w:type="continuationSeparator" w:id="0">
    <w:p w14:paraId="2FE4810D" w14:textId="77777777" w:rsidR="004847DE" w:rsidRDefault="00484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AF44" w14:textId="77777777" w:rsidR="009E514E" w:rsidRDefault="004847DE">
    <w:pPr>
      <w:pStyle w:val="Header"/>
      <w:jc w:val="right"/>
    </w:pPr>
    <w:r>
      <w:rPr>
        <w:b/>
        <w:color w:val="5A646E"/>
        <w:sz w:val="16"/>
      </w:rPr>
      <w:t>EV SMART CHARGING  |  TECHNICAL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82644">
    <w:abstractNumId w:val="8"/>
  </w:num>
  <w:num w:numId="2" w16cid:durableId="1941252564">
    <w:abstractNumId w:val="6"/>
  </w:num>
  <w:num w:numId="3" w16cid:durableId="626547105">
    <w:abstractNumId w:val="5"/>
  </w:num>
  <w:num w:numId="4" w16cid:durableId="1619221480">
    <w:abstractNumId w:val="4"/>
  </w:num>
  <w:num w:numId="5" w16cid:durableId="1760175029">
    <w:abstractNumId w:val="7"/>
  </w:num>
  <w:num w:numId="6" w16cid:durableId="1036542173">
    <w:abstractNumId w:val="3"/>
  </w:num>
  <w:num w:numId="7" w16cid:durableId="873154343">
    <w:abstractNumId w:val="2"/>
  </w:num>
  <w:num w:numId="8" w16cid:durableId="245723146">
    <w:abstractNumId w:val="1"/>
  </w:num>
  <w:num w:numId="9" w16cid:durableId="1307902880">
    <w:abstractNumId w:val="0"/>
  </w:num>
  <w:num w:numId="10" w16cid:durableId="1506167568">
    <w:abstractNumId w:val="7"/>
    <w:lvlOverride w:ilvl="0">
      <w:startOverride w:val="1"/>
    </w:lvlOverride>
  </w:num>
  <w:num w:numId="11" w16cid:durableId="1867792088">
    <w:abstractNumId w:val="7"/>
    <w:lvlOverride w:ilvl="0">
      <w:startOverride w:val="1"/>
    </w:lvlOverride>
  </w:num>
  <w:num w:numId="12" w16cid:durableId="402223721">
    <w:abstractNumId w:val="7"/>
    <w:lvlOverride w:ilvl="0">
      <w:startOverride w:val="1"/>
    </w:lvlOverride>
  </w:num>
  <w:num w:numId="13" w16cid:durableId="537427299">
    <w:abstractNumId w:val="7"/>
    <w:lvlOverride w:ilvl="0">
      <w:startOverride w:val="1"/>
    </w:lvlOverride>
  </w:num>
  <w:num w:numId="14" w16cid:durableId="118937055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E80"/>
    <w:rsid w:val="0015074B"/>
    <w:rsid w:val="001C47AE"/>
    <w:rsid w:val="0029639D"/>
    <w:rsid w:val="00326F90"/>
    <w:rsid w:val="003D7A9E"/>
    <w:rsid w:val="004847DE"/>
    <w:rsid w:val="00622723"/>
    <w:rsid w:val="007F03FD"/>
    <w:rsid w:val="009E514E"/>
    <w:rsid w:val="00AA1D8D"/>
    <w:rsid w:val="00B47730"/>
    <w:rsid w:val="00CB0664"/>
    <w:rsid w:val="00D63FFE"/>
    <w:rsid w:val="00DE59DF"/>
    <w:rsid w:val="00E435C9"/>
    <w:rsid w:val="00EC6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94080"/>
  <w14:defaultImageDpi w14:val="300"/>
  <w15:docId w15:val="{A986592C-E267-46A3-AD15-C3D7B228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D5D8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A64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1931</TotalTime>
  <Pages>15</Pages>
  <Words>5555</Words>
  <Characters>31667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EV Smart Charging — Four-Person Technical Roadmap</vt:lpstr>
    </vt:vector>
  </TitlesOfParts>
  <Manager/>
  <Company/>
  <LinksUpToDate>false</LinksUpToDate>
  <CharactersWithSpaces>37148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Smart Charging — Four-Person Technical Roadmap</dc:title>
  <dc:subject>Finalized technical decisions, role divisions, implementation steps and integration plan</dc:subject>
  <dc:creator>python-docx</dc:creator>
  <cp:keywords>EV, smart charging, LP, TOU, forecasting, perfect foresight</cp:keywords>
  <dc:description>generated by python-docx</dc:description>
  <cp:lastModifiedBy>Aadit Mathur</cp:lastModifiedBy>
  <cp:revision>6</cp:revision>
  <dcterms:created xsi:type="dcterms:W3CDTF">2013-12-23T23:15:00Z</dcterms:created>
  <dcterms:modified xsi:type="dcterms:W3CDTF">2026-10-21T14:54:00Z</dcterms:modified>
  <cp:category/>
</cp:coreProperties>
</file>