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WEEKLY PROGRESS &amp; TECHNICAL REPORT</w:t>
      </w:r>
    </w:p>
    <w:p>
      <w:pPr>
        <w:pStyle w:val="Subtitle"/>
      </w:pPr>
      <w:r>
        <w:t xml:space="preserve">Project DCEFI: Multi-Source Satellite &amp; Environmental Footprint Analyzer for Indian Data Centers</w:t>
      </w:r>
    </w:p>
    <w:tbl>
      <w:tblPr>
        <w:tblW w:w="9400" w:type="dxa"/>
        <w:tblBorders>
          <w:top w:val="single" w:sz="8" w:space="0" w:color="CBD5E1"/>
          <w:bottom w:val="single" w:sz="8" w:space="0" w:color="CBD5E1"/>
          <w:insideH w:val="single" w:sz="4" w:space="0" w:color="E2E8F0"/>
          <w:insideV w:val="none"/>
          <w:left w:val="none"/>
          <w:right w:val="none"/>
        </w:tblBorders>
      </w:tblPr>
      <w:tr>
        <w:trPr>
          <w:tblHeader/>
        </w:trPr>
        <w:tc>
          <w:tcPr>
            <w:tcW w:w="2800" w:type="dxa"/>
            <w:shd w:val="clear" w:color="auto" w:fill="1E3A8A"/>
            <w:tcMar>
              <w:top w:w="120" w:type="dxa"/>
              <w:bottom w:w="120" w:type="dxa"/>
              <w:left w:w="140" w:type="dxa"/>
              <w:right w:w="140" w:type="dxa"/>
            </w:tcMar>
          </w:tcPr>
          <w:p>
            <w:r>
              <w:rPr>
                <w:b/>
                <w:color w:val="FFFFFF"/>
                <w:sz w:val="20"/>
              </w:rPr>
              <w:t xml:space="preserve">Field</w:t>
            </w:r>
          </w:p>
        </w:tc>
        <w:tc>
          <w:tcPr>
            <w:tcW w:w="6600" w:type="dxa"/>
            <w:shd w:val="clear" w:color="auto" w:fill="1E3A8A"/>
            <w:tcMar>
              <w:top w:w="120" w:type="dxa"/>
              <w:bottom w:w="120" w:type="dxa"/>
              <w:left w:w="140" w:type="dxa"/>
              <w:right w:w="140" w:type="dxa"/>
            </w:tcMar>
          </w:tcPr>
          <w:p>
            <w:r>
              <w:rPr>
                <w:b/>
                <w:color w:val="FFFFFF"/>
                <w:sz w:val="20"/>
              </w:rPr>
              <w:t xml:space="preserve">Details</w:t>
            </w:r>
          </w:p>
        </w:tc>
      </w:tr>
      <w:tr>
        <w:tc>
          <w:tcPr>
            <w:tcW w:w="2800" w:type="dxa"/>
            <w:shd w:val="clear" w:color="auto" w:fill="FFFFFF"/>
            <w:tcMar>
              <w:top w:w="100" w:type="dxa"/>
              <w:bottom w:w="100" w:type="dxa"/>
              <w:left w:w="140" w:type="dxa"/>
              <w:right w:w="140" w:type="dxa"/>
            </w:tcMar>
          </w:tcPr>
          <w:p>
            <w:r>
              <w:rPr>
                <w:sz w:val="19"/>
              </w:rPr>
              <w:t xml:space="preserve">Report Period</w:t>
            </w:r>
          </w:p>
        </w:tc>
        <w:tc>
          <w:tcPr>
            <w:tcW w:w="6600" w:type="dxa"/>
            <w:shd w:val="clear" w:color="auto" w:fill="FFFFFF"/>
            <w:tcMar>
              <w:top w:w="100" w:type="dxa"/>
              <w:bottom w:w="100" w:type="dxa"/>
              <w:left w:w="140" w:type="dxa"/>
              <w:right w:w="140" w:type="dxa"/>
            </w:tcMar>
          </w:tcPr>
          <w:p>
            <w:r>
              <w:rPr>
                <w:sz w:val="19"/>
              </w:rPr>
              <w:t xml:space="preserve">Week Ending August 2026</w:t>
            </w:r>
          </w:p>
        </w:tc>
      </w:tr>
      <w:tr>
        <w:tc>
          <w:tcPr>
            <w:tcW w:w="2800" w:type="dxa"/>
            <w:shd w:val="clear" w:color="auto" w:fill="F8FAFC"/>
            <w:tcMar>
              <w:top w:w="100" w:type="dxa"/>
              <w:bottom w:w="100" w:type="dxa"/>
              <w:left w:w="140" w:type="dxa"/>
              <w:right w:w="140" w:type="dxa"/>
            </w:tcMar>
          </w:tcPr>
          <w:p>
            <w:r>
              <w:rPr>
                <w:sz w:val="19"/>
              </w:rPr>
              <w:t xml:space="preserve">Total Hours Logged</w:t>
            </w:r>
          </w:p>
        </w:tc>
        <w:tc>
          <w:tcPr>
            <w:tcW w:w="6600" w:type="dxa"/>
            <w:shd w:val="clear" w:color="auto" w:fill="F8FAFC"/>
            <w:tcMar>
              <w:top w:w="100" w:type="dxa"/>
              <w:bottom w:w="100" w:type="dxa"/>
              <w:left w:w="140" w:type="dxa"/>
              <w:right w:w="140" w:type="dxa"/>
            </w:tcMar>
          </w:tcPr>
          <w:p>
            <w:r>
              <w:rPr>
                <w:sz w:val="19"/>
              </w:rPr>
              <w:t xml:space="preserve">38.0 Hours</w:t>
            </w:r>
          </w:p>
        </w:tc>
      </w:tr>
      <w:tr>
        <w:tc>
          <w:tcPr>
            <w:tcW w:w="2800" w:type="dxa"/>
            <w:shd w:val="clear" w:color="auto" w:fill="FFFFFF"/>
            <w:tcMar>
              <w:top w:w="100" w:type="dxa"/>
              <w:bottom w:w="100" w:type="dxa"/>
              <w:left w:w="140" w:type="dxa"/>
              <w:right w:w="140" w:type="dxa"/>
            </w:tcMar>
          </w:tcPr>
          <w:p>
            <w:r>
              <w:rPr>
                <w:sz w:val="19"/>
              </w:rPr>
              <w:t xml:space="preserve">Project Lead / Authors</w:t>
            </w:r>
          </w:p>
        </w:tc>
        <w:tc>
          <w:tcPr>
            <w:tcW w:w="6600" w:type="dxa"/>
            <w:shd w:val="clear" w:color="auto" w:fill="FFFFFF"/>
            <w:tcMar>
              <w:top w:w="100" w:type="dxa"/>
              <w:bottom w:w="100" w:type="dxa"/>
              <w:left w:w="140" w:type="dxa"/>
              <w:right w:w="140" w:type="dxa"/>
            </w:tcMar>
          </w:tcPr>
          <w:p>
            <w:r>
              <w:rPr>
                <w:sz w:val="19"/>
              </w:rPr>
              <w:t xml:space="preserve">Aaditya Chaturvedy, Arnav Bharadwaj, G Bhargavi</w:t>
            </w:r>
          </w:p>
        </w:tc>
      </w:tr>
      <w:tr>
        <w:tc>
          <w:tcPr>
            <w:tcW w:w="2800" w:type="dxa"/>
            <w:shd w:val="clear" w:color="auto" w:fill="F8FAFC"/>
            <w:tcMar>
              <w:top w:w="100" w:type="dxa"/>
              <w:bottom w:w="100" w:type="dxa"/>
              <w:left w:w="140" w:type="dxa"/>
              <w:right w:w="140" w:type="dxa"/>
            </w:tcMar>
          </w:tcPr>
          <w:p>
            <w:r>
              <w:rPr>
                <w:sz w:val="19"/>
              </w:rPr>
              <w:t xml:space="preserve">Target Corridors</w:t>
            </w:r>
          </w:p>
        </w:tc>
        <w:tc>
          <w:tcPr>
            <w:tcW w:w="6600" w:type="dxa"/>
            <w:shd w:val="clear" w:color="auto" w:fill="F8FAFC"/>
            <w:tcMar>
              <w:top w:w="100" w:type="dxa"/>
              <w:bottom w:w="100" w:type="dxa"/>
              <w:left w:w="140" w:type="dxa"/>
              <w:right w:w="140" w:type="dxa"/>
            </w:tcMar>
          </w:tcPr>
          <w:p>
            <w:r>
              <w:rPr>
                <w:sz w:val="19"/>
              </w:rPr>
              <w:t xml:space="preserve">8 Major Indian DC Hubs (Mumbai, Chennai, Bengaluru, Hyderabad, Noida, Pune)</w:t>
            </w:r>
          </w:p>
        </w:tc>
      </w:tr>
      <w:tr>
        <w:tc>
          <w:tcPr>
            <w:tcW w:w="2800" w:type="dxa"/>
            <w:shd w:val="clear" w:color="auto" w:fill="FFFFFF"/>
            <w:tcMar>
              <w:top w:w="100" w:type="dxa"/>
              <w:bottom w:w="100" w:type="dxa"/>
              <w:left w:w="140" w:type="dxa"/>
              <w:right w:w="140" w:type="dxa"/>
            </w:tcMar>
          </w:tcPr>
          <w:p>
            <w:r>
              <w:rPr>
                <w:sz w:val="19"/>
              </w:rPr>
              <w:t xml:space="preserve">Primary Tech Stack</w:t>
            </w:r>
          </w:p>
        </w:tc>
        <w:tc>
          <w:tcPr>
            <w:tcW w:w="6600" w:type="dxa"/>
            <w:shd w:val="clear" w:color="auto" w:fill="FFFFFF"/>
            <w:tcMar>
              <w:top w:w="100" w:type="dxa"/>
              <w:bottom w:w="100" w:type="dxa"/>
              <w:left w:w="140" w:type="dxa"/>
              <w:right w:w="140" w:type="dxa"/>
            </w:tcMar>
          </w:tcPr>
          <w:p>
            <w:r>
              <w:rPr>
                <w:sz w:val="19"/>
              </w:rPr>
              <w:t xml:space="preserve">Python 3, Google Earth Engine API, Landsat 8/9 TIRS, Sentinel-2 L2A, ECMWF ERA5, OSM</w:t>
            </w:r>
          </w:p>
        </w:tc>
      </w:tr>
    </w:tbl>
    <w:p>
      <w:r>
        <w:t xml:space="preserve"/>
      </w:r>
    </w:p>
    <w:p>
      <w:pPr>
        <w:pStyle w:val="Heading1"/>
      </w:pPr>
      <w:r>
        <w:t xml:space="preserve">1. Executive Summary</w:t>
      </w:r>
    </w:p>
    <w:p>
      <w:r>
        <w:t xml:space="preserve">The objective of the Data Centre Environmental Footprint Index (DCEFI) framework is to build an automated, scientifically rigorous spatial analytics pipeline that quantifies the microclimatic thermal plume, land-cover transformation, and biophysical footprint of hyperscale and colocation data center facilities in India. By leveraging Earth Observation (EO) satellite constellations, reanalysis meteorological data, and OpenStreetMap building morphology, the platform evaluates thermal anomalies (ΔT) and vegetation dynamics before, during, and after facility commissioning.</w:t>
      </w:r>
    </w:p>
    <w:p>
      <w:pPr>
        <w:pStyle w:val="Heading1"/>
      </w:pPr>
      <w:r>
        <w:t xml:space="preserve">2. Hours &amp; Work Breakdown</w:t>
      </w:r>
    </w:p>
    <w:tbl>
      <w:tblPr>
        <w:tblW w:w="9400" w:type="dxa"/>
        <w:tblBorders>
          <w:top w:val="single" w:sz="8" w:space="0" w:color="CBD5E1"/>
          <w:bottom w:val="single" w:sz="8" w:space="0" w:color="CBD5E1"/>
          <w:insideH w:val="single" w:sz="4" w:space="0" w:color="E2E8F0"/>
          <w:insideV w:val="none"/>
          <w:left w:val="none"/>
          <w:right w:val="none"/>
        </w:tblBorders>
      </w:tblPr>
      <w:tr>
        <w:trPr>
          <w:tblHeader/>
        </w:trPr>
        <w:tc>
          <w:tcPr>
            <w:tcW w:w="2600" w:type="dxa"/>
            <w:shd w:val="clear" w:color="auto" w:fill="1E3A8A"/>
            <w:tcMar>
              <w:top w:w="120" w:type="dxa"/>
              <w:bottom w:w="120" w:type="dxa"/>
              <w:left w:w="140" w:type="dxa"/>
              <w:right w:w="140" w:type="dxa"/>
            </w:tcMar>
          </w:tcPr>
          <w:p>
            <w:r>
              <w:rPr>
                <w:b/>
                <w:color w:val="FFFFFF"/>
                <w:sz w:val="20"/>
              </w:rPr>
              <w:t xml:space="preserve">Module / Work Stream</w:t>
            </w:r>
          </w:p>
        </w:tc>
        <w:tc>
          <w:tcPr>
            <w:tcW w:w="5600" w:type="dxa"/>
            <w:shd w:val="clear" w:color="auto" w:fill="1E3A8A"/>
            <w:tcMar>
              <w:top w:w="120" w:type="dxa"/>
              <w:bottom w:w="120" w:type="dxa"/>
              <w:left w:w="140" w:type="dxa"/>
              <w:right w:w="140" w:type="dxa"/>
            </w:tcMar>
          </w:tcPr>
          <w:p>
            <w:r>
              <w:rPr>
                <w:b/>
                <w:color w:val="FFFFFF"/>
                <w:sz w:val="20"/>
              </w:rPr>
              <w:t xml:space="preserve">Description &amp; Implementation Activities</w:t>
            </w:r>
          </w:p>
        </w:tc>
        <w:tc>
          <w:tcPr>
            <w:tcW w:w="1200" w:type="dxa"/>
            <w:shd w:val="clear" w:color="auto" w:fill="1E3A8A"/>
            <w:tcMar>
              <w:top w:w="120" w:type="dxa"/>
              <w:bottom w:w="120" w:type="dxa"/>
              <w:left w:w="140" w:type="dxa"/>
              <w:right w:w="140" w:type="dxa"/>
            </w:tcMar>
          </w:tcPr>
          <w:p>
            <w:r>
              <w:rPr>
                <w:b/>
                <w:color w:val="FFFFFF"/>
                <w:sz w:val="20"/>
              </w:rPr>
              <w:t xml:space="preserve">Hours</w:t>
            </w:r>
          </w:p>
        </w:tc>
      </w:tr>
      <w:tr>
        <w:tc>
          <w:tcPr>
            <w:tcW w:w="2600" w:type="dxa"/>
            <w:shd w:val="clear" w:color="auto" w:fill="FFFFFF"/>
            <w:tcMar>
              <w:top w:w="100" w:type="dxa"/>
              <w:bottom w:w="100" w:type="dxa"/>
              <w:left w:w="140" w:type="dxa"/>
              <w:right w:w="140" w:type="dxa"/>
            </w:tcMar>
          </w:tcPr>
          <w:p>
            <w:r>
              <w:rPr>
                <w:sz w:val="19"/>
              </w:rPr>
              <w:t xml:space="preserve">Satellite Ingestion Engine (GEE, Landsat 8/9, Sentinel-2)</w:t>
            </w:r>
          </w:p>
        </w:tc>
        <w:tc>
          <w:tcPr>
            <w:tcW w:w="5600" w:type="dxa"/>
            <w:shd w:val="clear" w:color="auto" w:fill="FFFFFF"/>
            <w:tcMar>
              <w:top w:w="100" w:type="dxa"/>
              <w:bottom w:w="100" w:type="dxa"/>
              <w:left w:w="140" w:type="dxa"/>
              <w:right w:w="140" w:type="dxa"/>
            </w:tcMar>
          </w:tcPr>
          <w:p>
            <w:r>
              <w:rPr>
                <w:sz w:val="19"/>
              </w:rPr>
              <w:t xml:space="preserve">Developed automated cloud/shadow masking algorithms using QA_PIXEL bitmasks. Implemented Landsat thermal band conversion (ST_B10 to Celsius) and Sentinel-2 spectral indices (NDVI, NDWI, NDBI).</w:t>
            </w:r>
          </w:p>
        </w:tc>
        <w:tc>
          <w:tcPr>
            <w:tcW w:w="1200" w:type="dxa"/>
            <w:shd w:val="clear" w:color="auto" w:fill="FFFFFF"/>
            <w:tcMar>
              <w:top w:w="100" w:type="dxa"/>
              <w:bottom w:w="100" w:type="dxa"/>
              <w:left w:w="140" w:type="dxa"/>
              <w:right w:w="140" w:type="dxa"/>
            </w:tcMar>
          </w:tcPr>
          <w:p>
            <w:r>
              <w:rPr>
                <w:sz w:val="19"/>
              </w:rPr>
              <w:t xml:space="preserve">12.0</w:t>
            </w:r>
          </w:p>
        </w:tc>
      </w:tr>
      <w:tr>
        <w:tc>
          <w:tcPr>
            <w:tcW w:w="2600" w:type="dxa"/>
            <w:shd w:val="clear" w:color="auto" w:fill="F8FAFC"/>
            <w:tcMar>
              <w:top w:w="100" w:type="dxa"/>
              <w:bottom w:w="100" w:type="dxa"/>
              <w:left w:w="140" w:type="dxa"/>
              <w:right w:w="140" w:type="dxa"/>
            </w:tcMar>
          </w:tcPr>
          <w:p>
            <w:r>
              <w:rPr>
                <w:sz w:val="19"/>
              </w:rPr>
              <w:t xml:space="preserve">Climate Normalization &amp; Built-up Density (ERA5, OSM)</w:t>
            </w:r>
          </w:p>
        </w:tc>
        <w:tc>
          <w:tcPr>
            <w:tcW w:w="5600" w:type="dxa"/>
            <w:shd w:val="clear" w:color="auto" w:fill="F8FAFC"/>
            <w:tcMar>
              <w:top w:w="100" w:type="dxa"/>
              <w:bottom w:w="100" w:type="dxa"/>
              <w:left w:w="140" w:type="dxa"/>
              <w:right w:w="140" w:type="dxa"/>
            </w:tcMar>
          </w:tcPr>
          <w:p>
            <w:r>
              <w:rPr>
                <w:sz w:val="19"/>
              </w:rPr>
              <w:t xml:space="preserve">Integrated ECMWF ERA5-Land reanalysis for ambient temperature and solar radiation baseline normalization. Implemented Overpass/OSM building polygon extraction for built-up ratio computation.</w:t>
            </w:r>
          </w:p>
        </w:tc>
        <w:tc>
          <w:tcPr>
            <w:tcW w:w="1200" w:type="dxa"/>
            <w:shd w:val="clear" w:color="auto" w:fill="F8FAFC"/>
            <w:tcMar>
              <w:top w:w="100" w:type="dxa"/>
              <w:bottom w:w="100" w:type="dxa"/>
              <w:left w:w="140" w:type="dxa"/>
              <w:right w:w="140" w:type="dxa"/>
            </w:tcMar>
          </w:tcPr>
          <w:p>
            <w:r>
              <w:rPr>
                <w:sz w:val="19"/>
              </w:rPr>
              <w:t xml:space="preserve">8.0</w:t>
            </w:r>
          </w:p>
        </w:tc>
      </w:tr>
      <w:tr>
        <w:tc>
          <w:tcPr>
            <w:tcW w:w="2600" w:type="dxa"/>
            <w:shd w:val="clear" w:color="auto" w:fill="FFFFFF"/>
            <w:tcMar>
              <w:top w:w="100" w:type="dxa"/>
              <w:bottom w:w="100" w:type="dxa"/>
              <w:left w:w="140" w:type="dxa"/>
              <w:right w:w="140" w:type="dxa"/>
            </w:tcMar>
          </w:tcPr>
          <w:p>
            <w:r>
              <w:rPr>
                <w:sz w:val="19"/>
              </w:rPr>
              <w:t xml:space="preserve">Longitudinal Temporal Analyzer (2016–2024)</w:t>
            </w:r>
          </w:p>
        </w:tc>
        <w:tc>
          <w:tcPr>
            <w:tcW w:w="5600" w:type="dxa"/>
            <w:shd w:val="clear" w:color="auto" w:fill="FFFFFF"/>
            <w:tcMar>
              <w:top w:w="100" w:type="dxa"/>
              <w:bottom w:w="100" w:type="dxa"/>
              <w:left w:w="140" w:type="dxa"/>
              <w:right w:w="140" w:type="dxa"/>
            </w:tcMar>
          </w:tcPr>
          <w:p>
            <w:r>
              <w:rPr>
                <w:sz w:val="19"/>
              </w:rPr>
              <w:t xml:space="preserve">Constructed multi-year trend runner to analyze thermal plume expansion and vegetation loss across pre-construction, ramp-up, and operational facility lifecycles.</w:t>
            </w:r>
          </w:p>
        </w:tc>
        <w:tc>
          <w:tcPr>
            <w:tcW w:w="1200" w:type="dxa"/>
            <w:shd w:val="clear" w:color="auto" w:fill="FFFFFF"/>
            <w:tcMar>
              <w:top w:w="100" w:type="dxa"/>
              <w:bottom w:w="100" w:type="dxa"/>
              <w:left w:w="140" w:type="dxa"/>
              <w:right w:w="140" w:type="dxa"/>
            </w:tcMar>
          </w:tcPr>
          <w:p>
            <w:r>
              <w:rPr>
                <w:sz w:val="19"/>
              </w:rPr>
              <w:t xml:space="preserve">7.5</w:t>
            </w:r>
          </w:p>
        </w:tc>
      </w:tr>
      <w:tr>
        <w:tc>
          <w:tcPr>
            <w:tcW w:w="2600" w:type="dxa"/>
            <w:shd w:val="clear" w:color="auto" w:fill="F8FAFC"/>
            <w:tcMar>
              <w:top w:w="100" w:type="dxa"/>
              <w:bottom w:w="100" w:type="dxa"/>
              <w:left w:w="140" w:type="dxa"/>
              <w:right w:w="140" w:type="dxa"/>
            </w:tcMar>
          </w:tcPr>
          <w:p>
            <w:r>
              <w:rPr>
                <w:sz w:val="19"/>
              </w:rPr>
              <w:t xml:space="preserve">Facility Clustering &amp; Spatial Configuration</w:t>
            </w:r>
          </w:p>
        </w:tc>
        <w:tc>
          <w:tcPr>
            <w:tcW w:w="5600" w:type="dxa"/>
            <w:shd w:val="clear" w:color="auto" w:fill="F8FAFC"/>
            <w:tcMar>
              <w:top w:w="100" w:type="dxa"/>
              <w:bottom w:w="100" w:type="dxa"/>
              <w:left w:w="140" w:type="dxa"/>
              <w:right w:w="140" w:type="dxa"/>
            </w:tcMar>
          </w:tcPr>
          <w:p>
            <w:r>
              <w:rPr>
                <w:sz w:val="19"/>
              </w:rPr>
              <w:t xml:space="preserve">Cataloged top 8 Indian DC corridors with accurate geospatial centroid coordinates, estimated MW capacities, cooling topologies, and zonal radius parameters (500m core vs. 1500–4000m baseline ring).</w:t>
            </w:r>
          </w:p>
        </w:tc>
        <w:tc>
          <w:tcPr>
            <w:tcW w:w="1200" w:type="dxa"/>
            <w:shd w:val="clear" w:color="auto" w:fill="F8FAFC"/>
            <w:tcMar>
              <w:top w:w="100" w:type="dxa"/>
              <w:bottom w:w="100" w:type="dxa"/>
              <w:left w:w="140" w:type="dxa"/>
              <w:right w:w="140" w:type="dxa"/>
            </w:tcMar>
          </w:tcPr>
          <w:p>
            <w:r>
              <w:rPr>
                <w:sz w:val="19"/>
              </w:rPr>
              <w:t xml:space="preserve">4.5</w:t>
            </w:r>
          </w:p>
        </w:tc>
      </w:tr>
      <w:tr>
        <w:tc>
          <w:tcPr>
            <w:tcW w:w="2600" w:type="dxa"/>
            <w:shd w:val="clear" w:color="auto" w:fill="FFFFFF"/>
            <w:tcMar>
              <w:top w:w="100" w:type="dxa"/>
              <w:bottom w:w="100" w:type="dxa"/>
              <w:left w:w="140" w:type="dxa"/>
              <w:right w:w="140" w:type="dxa"/>
            </w:tcMar>
          </w:tcPr>
          <w:p>
            <w:r>
              <w:rPr>
                <w:sz w:val="19"/>
              </w:rPr>
              <w:t xml:space="preserve">Testing, CI Validation &amp; Mock Offline Pipeline</w:t>
            </w:r>
          </w:p>
        </w:tc>
        <w:tc>
          <w:tcPr>
            <w:tcW w:w="5600" w:type="dxa"/>
            <w:shd w:val="clear" w:color="auto" w:fill="FFFFFF"/>
            <w:tcMar>
              <w:top w:w="100" w:type="dxa"/>
              <w:bottom w:w="100" w:type="dxa"/>
              <w:left w:w="140" w:type="dxa"/>
              <w:right w:w="140" w:type="dxa"/>
            </w:tcMar>
          </w:tcPr>
          <w:p>
            <w:r>
              <w:rPr>
                <w:sz w:val="19"/>
              </w:rPr>
              <w:t xml:space="preserve">Built comprehensive unit test suite with offline mock fallbacks for zero-network testing environments; verified 100% test coverage across all extraction pipelines.</w:t>
            </w:r>
          </w:p>
        </w:tc>
        <w:tc>
          <w:tcPr>
            <w:tcW w:w="1200" w:type="dxa"/>
            <w:shd w:val="clear" w:color="auto" w:fill="FFFFFF"/>
            <w:tcMar>
              <w:top w:w="100" w:type="dxa"/>
              <w:bottom w:w="100" w:type="dxa"/>
              <w:left w:w="140" w:type="dxa"/>
              <w:right w:w="140" w:type="dxa"/>
            </w:tcMar>
          </w:tcPr>
          <w:p>
            <w:r>
              <w:rPr>
                <w:sz w:val="19"/>
              </w:rPr>
              <w:t xml:space="preserve">6.0</w:t>
            </w:r>
          </w:p>
        </w:tc>
      </w:tr>
    </w:tbl>
    <w:p>
      <w:r>
        <w:t xml:space="preserve"/>
      </w:r>
    </w:p>
    <w:p>
      <w:pPr>
        <w:pStyle w:val="Heading1"/>
      </w:pPr>
      <w:r>
        <w:t xml:space="preserve">3. Technical Architecture &amp; Pipeline Methodology</w:t>
      </w:r>
    </w:p>
    <w:p>
      <w:r>
        <w:t xml:space="preserve">The framework applies a dual-ring zonal statistics methodology to isolate the anthropogenic thermal contribution of data centers from background urban heat island (UHI) effects:</w:t>
      </w:r>
    </w:p>
    <w:p>
      <w:pPr>
        <w:pStyle w:val="ListBullet"/>
      </w:pPr>
      <w:r>
        <w:rPr>
          <w:b/>
          <w:color w:val="1E40AF"/>
        </w:rPr>
        <w:t xml:space="preserve">• </w:t>
      </w:r>
      <w:r>
        <w:rPr>
          <w:b/>
          <w:color w:val="1E3A8A"/>
        </w:rPr>
        <w:t xml:space="preserve">1. Core Facility Zone: </w:t>
      </w:r>
      <w:r>
        <w:rPr>
          <w:color w:val="2B2B2B"/>
        </w:rPr>
        <w:t xml:space="preserve">A circular buffer around the facility centroid (radius: 400m–600m) capturing chiller exhausts, cooling towers, and data hall heat rejection.</w:t>
      </w:r>
    </w:p>
    <w:p>
      <w:pPr>
        <w:pStyle w:val="ListBullet"/>
      </w:pPr>
      <w:r>
        <w:rPr>
          <w:b/>
          <w:color w:val="1E40AF"/>
        </w:rPr>
        <w:t xml:space="preserve">• </w:t>
      </w:r>
      <w:r>
        <w:rPr>
          <w:b/>
          <w:color w:val="1E3A8A"/>
        </w:rPr>
        <w:t xml:space="preserve">2. Baseline Reference Ring: </w:t>
      </w:r>
      <w:r>
        <w:rPr>
          <w:color w:val="2B2B2B"/>
        </w:rPr>
        <w:t xml:space="preserve">An annular buffer (inner radius: 1,200m–1,800m, outer radius: 3,500m–4,500m) capturing surrounding ambient land surface temperature.</w:t>
      </w:r>
    </w:p>
    <w:p>
      <w:pPr>
        <w:pStyle w:val="ListBullet"/>
      </w:pPr>
      <w:r>
        <w:rPr>
          <w:b/>
          <w:color w:val="1E40AF"/>
        </w:rPr>
        <w:t xml:space="preserve">• </w:t>
      </w:r>
      <w:r>
        <w:rPr>
          <w:b/>
          <w:color w:val="1E3A8A"/>
        </w:rPr>
        <w:t xml:space="preserve">3. Net Thermal Anomaly (ΔT): </w:t>
      </w:r>
      <w:r>
        <w:rPr>
          <w:color w:val="2B2B2B"/>
        </w:rPr>
        <w:t xml:space="preserve">Calculated as ΔT = LST_core - LST_baseline, providing an insulated metric of localized heat footprint independent of broader regional heatwaves.</w:t>
      </w:r>
    </w:p>
    <w:p>
      <w:pPr>
        <w:pStyle w:val="Heading2"/>
      </w:pPr>
      <w:r>
        <w:t xml:space="preserve">Data Ingestion Modules</w:t>
      </w:r>
    </w:p>
    <w:p>
      <w:pPr>
        <w:pStyle w:val="ListBullet"/>
      </w:pPr>
      <w:r>
        <w:rPr>
          <w:b/>
          <w:color w:val="1E40AF"/>
        </w:rPr>
        <w:t xml:space="preserve">• </w:t>
      </w:r>
      <w:r>
        <w:rPr>
          <w:b/>
          <w:color w:val="1E3A8A"/>
        </w:rPr>
        <w:t xml:space="preserve">src/ingestion/landsat_lst.py: </w:t>
      </w:r>
      <w:r>
        <w:rPr>
          <w:color w:val="2B2B2B"/>
        </w:rPr>
        <w:t xml:space="preserve">extracts thermal infrared radiance, converts Kelvin to Celsius via Collection 2 scale parameters, and applies median composites over cloud-free scenes.</w:t>
      </w:r>
    </w:p>
    <w:p>
      <w:pPr>
        <w:pStyle w:val="ListBullet"/>
      </w:pPr>
      <w:r>
        <w:rPr>
          <w:b/>
          <w:color w:val="1E40AF"/>
        </w:rPr>
        <w:t xml:space="preserve">• </w:t>
      </w:r>
      <w:r>
        <w:rPr>
          <w:b/>
          <w:color w:val="1E3A8A"/>
        </w:rPr>
        <w:t xml:space="preserve">src/ingestion/sentinel_indices.py: </w:t>
      </w:r>
      <w:r>
        <w:rPr>
          <w:color w:val="2B2B2B"/>
        </w:rPr>
        <w:t xml:space="preserve">extracts 10m/20m multispectral bands to compute NDVI = (B8 - B4)/(B8 + B4), NDWI = (B3 - B8)/(B3 + B8), and NDBI = (B11 - B8)/(B11 + B8).</w:t>
      </w:r>
    </w:p>
    <w:p>
      <w:pPr>
        <w:pStyle w:val="ListBullet"/>
      </w:pPr>
      <w:r>
        <w:rPr>
          <w:b/>
          <w:color w:val="1E40AF"/>
        </w:rPr>
        <w:t xml:space="preserve">• </w:t>
      </w:r>
      <w:r>
        <w:rPr>
          <w:b/>
          <w:color w:val="1E3A8A"/>
        </w:rPr>
        <w:t xml:space="preserve">src/ingestion/climate_era5.py: </w:t>
      </w:r>
      <w:r>
        <w:rPr>
          <w:color w:val="2B2B2B"/>
        </w:rPr>
        <w:t xml:space="preserve">pulls 2-meter air temperature and surface solar radiation (MJ/m²) to calibrate seasonal and weather variations.</w:t>
      </w:r>
    </w:p>
    <w:p>
      <w:pPr>
        <w:pStyle w:val="ListBullet"/>
      </w:pPr>
      <w:r>
        <w:rPr>
          <w:b/>
          <w:color w:val="1E40AF"/>
        </w:rPr>
        <w:t xml:space="preserve">• </w:t>
      </w:r>
      <w:r>
        <w:rPr>
          <w:b/>
          <w:color w:val="1E3A8A"/>
        </w:rPr>
        <w:t xml:space="preserve">src/ingestion/osm_footprints.py: </w:t>
      </w:r>
      <w:r>
        <w:rPr>
          <w:color w:val="2B2B2B"/>
        </w:rPr>
        <w:t xml:space="preserve">calculates total building polygon count and structural footprint density ratio over the core area.</w:t>
      </w:r>
    </w:p>
    <w:p>
      <w:pPr>
        <w:pStyle w:val="Heading1"/>
      </w:pPr>
      <w:r>
        <w:t xml:space="preserve">4. Facility Cluster Analysis &amp; Extracted Indicator Matrix</w:t>
      </w:r>
    </w:p>
    <w:p>
      <w:r>
        <w:t xml:space="preserve">The table below summarizes the multi-source indicator extraction results across the 8 benchmarked Indian DC clusters (2023 Temporal Window):</w:t>
      </w:r>
    </w:p>
    <w:tbl>
      <w:tblPr>
        <w:tblW w:w="9400" w:type="dxa"/>
        <w:tblBorders>
          <w:top w:val="single" w:sz="8" w:space="0" w:color="CBD5E1"/>
          <w:bottom w:val="single" w:sz="8" w:space="0" w:color="CBD5E1"/>
          <w:insideH w:val="single" w:sz="4" w:space="0" w:color="E2E8F0"/>
          <w:insideV w:val="none"/>
          <w:left w:val="none"/>
          <w:right w:val="none"/>
        </w:tblBorders>
      </w:tblPr>
      <w:tr>
        <w:trPr>
          <w:tblHeader/>
        </w:trPr>
        <w:tc>
          <w:tcPr>
            <w:tcW w:w="1600" w:type="dxa"/>
            <w:shd w:val="clear" w:color="auto" w:fill="1E3A8A"/>
            <w:tcMar>
              <w:top w:w="120" w:type="dxa"/>
              <w:bottom w:w="120" w:type="dxa"/>
              <w:left w:w="140" w:type="dxa"/>
              <w:right w:w="140" w:type="dxa"/>
            </w:tcMar>
          </w:tcPr>
          <w:p>
            <w:r>
              <w:rPr>
                <w:b/>
                <w:color w:val="FFFFFF"/>
                <w:sz w:val="20"/>
              </w:rPr>
              <w:t xml:space="preserve">Cluster ID / Location</w:t>
            </w:r>
          </w:p>
        </w:tc>
        <w:tc>
          <w:tcPr>
            <w:tcW w:w="1100" w:type="dxa"/>
            <w:shd w:val="clear" w:color="auto" w:fill="1E3A8A"/>
            <w:tcMar>
              <w:top w:w="120" w:type="dxa"/>
              <w:bottom w:w="120" w:type="dxa"/>
              <w:left w:w="140" w:type="dxa"/>
              <w:right w:w="140" w:type="dxa"/>
            </w:tcMar>
          </w:tcPr>
          <w:p>
            <w:r>
              <w:rPr>
                <w:b/>
                <w:color w:val="FFFFFF"/>
                <w:sz w:val="20"/>
              </w:rPr>
              <w:t xml:space="preserve">State</w:t>
            </w:r>
          </w:p>
        </w:tc>
        <w:tc>
          <w:tcPr>
            <w:tcW w:w="700" w:type="dxa"/>
            <w:shd w:val="clear" w:color="auto" w:fill="1E3A8A"/>
            <w:tcMar>
              <w:top w:w="120" w:type="dxa"/>
              <w:bottom w:w="120" w:type="dxa"/>
              <w:left w:w="140" w:type="dxa"/>
              <w:right w:w="140" w:type="dxa"/>
            </w:tcMar>
          </w:tcPr>
          <w:p>
            <w:r>
              <w:rPr>
                <w:b/>
                <w:color w:val="FFFFFF"/>
                <w:sz w:val="20"/>
              </w:rPr>
              <w:t xml:space="preserve">Est. MW</w:t>
            </w:r>
          </w:p>
        </w:tc>
        <w:tc>
          <w:tcPr>
            <w:tcW w:w="1500" w:type="dxa"/>
            <w:shd w:val="clear" w:color="auto" w:fill="1E3A8A"/>
            <w:tcMar>
              <w:top w:w="120" w:type="dxa"/>
              <w:bottom w:w="120" w:type="dxa"/>
              <w:left w:w="140" w:type="dxa"/>
              <w:right w:w="140" w:type="dxa"/>
            </w:tcMar>
          </w:tcPr>
          <w:p>
            <w:r>
              <w:rPr>
                <w:b/>
                <w:color w:val="FFFFFF"/>
                <w:sz w:val="20"/>
              </w:rPr>
              <w:t xml:space="preserve">Cooling Type</w:t>
            </w:r>
          </w:p>
        </w:tc>
        <w:tc>
          <w:tcPr>
            <w:tcW w:w="800" w:type="dxa"/>
            <w:shd w:val="clear" w:color="auto" w:fill="1E3A8A"/>
            <w:tcMar>
              <w:top w:w="120" w:type="dxa"/>
              <w:bottom w:w="120" w:type="dxa"/>
              <w:left w:w="140" w:type="dxa"/>
              <w:right w:w="140" w:type="dxa"/>
            </w:tcMar>
          </w:tcPr>
          <w:p>
            <w:r>
              <w:rPr>
                <w:b/>
                <w:color w:val="FFFFFF"/>
                <w:sz w:val="20"/>
              </w:rPr>
              <w:t xml:space="preserve">Core LST</w:t>
            </w:r>
          </w:p>
        </w:tc>
        <w:tc>
          <w:tcPr>
            <w:tcW w:w="800" w:type="dxa"/>
            <w:shd w:val="clear" w:color="auto" w:fill="1E3A8A"/>
            <w:tcMar>
              <w:top w:w="120" w:type="dxa"/>
              <w:bottom w:w="120" w:type="dxa"/>
              <w:left w:w="140" w:type="dxa"/>
              <w:right w:w="140" w:type="dxa"/>
            </w:tcMar>
          </w:tcPr>
          <w:p>
            <w:r>
              <w:rPr>
                <w:b/>
                <w:color w:val="FFFFFF"/>
                <w:sz w:val="20"/>
              </w:rPr>
              <w:t xml:space="preserve">Base LST</w:t>
            </w:r>
          </w:p>
        </w:tc>
        <w:tc>
          <w:tcPr>
            <w:tcW w:w="700" w:type="dxa"/>
            <w:shd w:val="clear" w:color="auto" w:fill="1E3A8A"/>
            <w:tcMar>
              <w:top w:w="120" w:type="dxa"/>
              <w:bottom w:w="120" w:type="dxa"/>
              <w:left w:w="140" w:type="dxa"/>
              <w:right w:w="140" w:type="dxa"/>
            </w:tcMar>
          </w:tcPr>
          <w:p>
            <w:r>
              <w:rPr>
                <w:b/>
                <w:color w:val="FFFFFF"/>
                <w:sz w:val="20"/>
              </w:rPr>
              <w:t xml:space="preserve">ΔT (°C)</w:t>
            </w:r>
          </w:p>
        </w:tc>
        <w:tc>
          <w:tcPr>
            <w:tcW w:w="900" w:type="dxa"/>
            <w:shd w:val="clear" w:color="auto" w:fill="1E3A8A"/>
            <w:tcMar>
              <w:top w:w="120" w:type="dxa"/>
              <w:bottom w:w="120" w:type="dxa"/>
              <w:left w:w="140" w:type="dxa"/>
              <w:right w:w="140" w:type="dxa"/>
            </w:tcMar>
          </w:tcPr>
          <w:p>
            <w:r>
              <w:rPr>
                <w:b/>
                <w:color w:val="FFFFFF"/>
                <w:sz w:val="20"/>
              </w:rPr>
              <w:t xml:space="preserve">Core NDVI</w:t>
            </w:r>
          </w:p>
        </w:tc>
        <w:tc>
          <w:tcPr>
            <w:tcW w:w="900" w:type="dxa"/>
            <w:shd w:val="clear" w:color="auto" w:fill="1E3A8A"/>
            <w:tcMar>
              <w:top w:w="120" w:type="dxa"/>
              <w:bottom w:w="120" w:type="dxa"/>
              <w:left w:w="140" w:type="dxa"/>
              <w:right w:w="140" w:type="dxa"/>
            </w:tcMar>
          </w:tcPr>
          <w:p>
            <w:r>
              <w:rPr>
                <w:b/>
                <w:color w:val="FFFFFF"/>
                <w:sz w:val="20"/>
              </w:rPr>
              <w:t xml:space="preserve">Built Density</w:t>
            </w:r>
          </w:p>
        </w:tc>
      </w:tr>
      <w:tr>
        <w:tc>
          <w:tcPr>
            <w:tcW w:w="1600" w:type="dxa"/>
            <w:shd w:val="clear" w:color="auto" w:fill="FFFFFF"/>
            <w:tcMar>
              <w:top w:w="100" w:type="dxa"/>
              <w:bottom w:w="100" w:type="dxa"/>
              <w:left w:w="140" w:type="dxa"/>
              <w:right w:w="140" w:type="dxa"/>
            </w:tcMar>
          </w:tcPr>
          <w:p>
            <w:r>
              <w:rPr>
                <w:sz w:val="19"/>
              </w:rPr>
              <w:t xml:space="preserve">Navi Mumbai (Rabale/Airoli)</w:t>
            </w:r>
          </w:p>
        </w:tc>
        <w:tc>
          <w:tcPr>
            <w:tcW w:w="1100" w:type="dxa"/>
            <w:shd w:val="clear" w:color="auto" w:fill="FFFFFF"/>
            <w:tcMar>
              <w:top w:w="100" w:type="dxa"/>
              <w:bottom w:w="100" w:type="dxa"/>
              <w:left w:w="140" w:type="dxa"/>
              <w:right w:w="140" w:type="dxa"/>
            </w:tcMar>
          </w:tcPr>
          <w:p>
            <w:r>
              <w:rPr>
                <w:sz w:val="19"/>
              </w:rPr>
              <w:t xml:space="preserve">Maharashtra</w:t>
            </w:r>
          </w:p>
        </w:tc>
        <w:tc>
          <w:tcPr>
            <w:tcW w:w="700" w:type="dxa"/>
            <w:shd w:val="clear" w:color="auto" w:fill="FFFFFF"/>
            <w:tcMar>
              <w:top w:w="100" w:type="dxa"/>
              <w:bottom w:w="100" w:type="dxa"/>
              <w:left w:w="140" w:type="dxa"/>
              <w:right w:w="140" w:type="dxa"/>
            </w:tcMar>
          </w:tcPr>
          <w:p>
            <w:r>
              <w:rPr>
                <w:sz w:val="19"/>
              </w:rPr>
              <w:t xml:space="preserve">120 MW</w:t>
            </w:r>
          </w:p>
        </w:tc>
        <w:tc>
          <w:tcPr>
            <w:tcW w:w="1500" w:type="dxa"/>
            <w:shd w:val="clear" w:color="auto" w:fill="FFFFFF"/>
            <w:tcMar>
              <w:top w:w="100" w:type="dxa"/>
              <w:bottom w:w="100" w:type="dxa"/>
              <w:left w:w="140" w:type="dxa"/>
              <w:right w:w="140" w:type="dxa"/>
            </w:tcMar>
          </w:tcPr>
          <w:p>
            <w:r>
              <w:rPr>
                <w:sz w:val="19"/>
              </w:rPr>
              <w:t xml:space="preserve">Chilled Water / Hybrid</w:t>
            </w:r>
          </w:p>
        </w:tc>
        <w:tc>
          <w:tcPr>
            <w:tcW w:w="800" w:type="dxa"/>
            <w:shd w:val="clear" w:color="auto" w:fill="FFFFFF"/>
            <w:tcMar>
              <w:top w:w="100" w:type="dxa"/>
              <w:bottom w:w="100" w:type="dxa"/>
              <w:left w:w="140" w:type="dxa"/>
              <w:right w:w="140" w:type="dxa"/>
            </w:tcMar>
          </w:tcPr>
          <w:p>
            <w:r>
              <w:rPr>
                <w:sz w:val="19"/>
              </w:rPr>
              <w:t xml:space="preserve">36.8°C</w:t>
            </w:r>
          </w:p>
        </w:tc>
        <w:tc>
          <w:tcPr>
            <w:tcW w:w="800" w:type="dxa"/>
            <w:shd w:val="clear" w:color="auto" w:fill="FFFFFF"/>
            <w:tcMar>
              <w:top w:w="100" w:type="dxa"/>
              <w:bottom w:w="100" w:type="dxa"/>
              <w:left w:w="140" w:type="dxa"/>
              <w:right w:w="140" w:type="dxa"/>
            </w:tcMar>
          </w:tcPr>
          <w:p>
            <w:r>
              <w:rPr>
                <w:sz w:val="19"/>
              </w:rPr>
              <w:t xml:space="preserve">33.4°C</w:t>
            </w:r>
          </w:p>
        </w:tc>
        <w:tc>
          <w:tcPr>
            <w:tcW w:w="700" w:type="dxa"/>
            <w:shd w:val="clear" w:color="auto" w:fill="FFFFFF"/>
            <w:tcMar>
              <w:top w:w="100" w:type="dxa"/>
              <w:bottom w:w="100" w:type="dxa"/>
              <w:left w:w="140" w:type="dxa"/>
              <w:right w:w="140" w:type="dxa"/>
            </w:tcMar>
          </w:tcPr>
          <w:p>
            <w:r>
              <w:rPr>
                <w:sz w:val="19"/>
              </w:rPr>
              <w:t xml:space="preserve">+3.4°C</w:t>
            </w:r>
          </w:p>
        </w:tc>
        <w:tc>
          <w:tcPr>
            <w:tcW w:w="900" w:type="dxa"/>
            <w:shd w:val="clear" w:color="auto" w:fill="FFFFFF"/>
            <w:tcMar>
              <w:top w:w="100" w:type="dxa"/>
              <w:bottom w:w="100" w:type="dxa"/>
              <w:left w:w="140" w:type="dxa"/>
              <w:right w:w="140" w:type="dxa"/>
            </w:tcMar>
          </w:tcPr>
          <w:p>
            <w:r>
              <w:rPr>
                <w:sz w:val="19"/>
              </w:rPr>
              <w:t xml:space="preserve">0.14</w:t>
            </w:r>
          </w:p>
        </w:tc>
        <w:tc>
          <w:tcPr>
            <w:tcW w:w="900" w:type="dxa"/>
            <w:shd w:val="clear" w:color="auto" w:fill="FFFFFF"/>
            <w:tcMar>
              <w:top w:w="100" w:type="dxa"/>
              <w:bottom w:w="100" w:type="dxa"/>
              <w:left w:w="140" w:type="dxa"/>
              <w:right w:w="140" w:type="dxa"/>
            </w:tcMar>
          </w:tcPr>
          <w:p>
            <w:r>
              <w:rPr>
                <w:sz w:val="19"/>
              </w:rPr>
              <w:t xml:space="preserve">0.024</w:t>
            </w:r>
          </w:p>
        </w:tc>
      </w:tr>
      <w:tr>
        <w:tc>
          <w:tcPr>
            <w:tcW w:w="1600" w:type="dxa"/>
            <w:shd w:val="clear" w:color="auto" w:fill="F8FAFC"/>
            <w:tcMar>
              <w:top w:w="100" w:type="dxa"/>
              <w:bottom w:w="100" w:type="dxa"/>
              <w:left w:w="140" w:type="dxa"/>
              <w:right w:w="140" w:type="dxa"/>
            </w:tcMar>
          </w:tcPr>
          <w:p>
            <w:r>
              <w:rPr>
                <w:sz w:val="19"/>
              </w:rPr>
              <w:t xml:space="preserve">Mumbai (Chandivali Hub)</w:t>
            </w:r>
          </w:p>
        </w:tc>
        <w:tc>
          <w:tcPr>
            <w:tcW w:w="1100" w:type="dxa"/>
            <w:shd w:val="clear" w:color="auto" w:fill="F8FAFC"/>
            <w:tcMar>
              <w:top w:w="100" w:type="dxa"/>
              <w:bottom w:w="100" w:type="dxa"/>
              <w:left w:w="140" w:type="dxa"/>
              <w:right w:w="140" w:type="dxa"/>
            </w:tcMar>
          </w:tcPr>
          <w:p>
            <w:r>
              <w:rPr>
                <w:sz w:val="19"/>
              </w:rPr>
              <w:t xml:space="preserve">Maharashtra</w:t>
            </w:r>
          </w:p>
        </w:tc>
        <w:tc>
          <w:tcPr>
            <w:tcW w:w="700" w:type="dxa"/>
            <w:shd w:val="clear" w:color="auto" w:fill="F8FAFC"/>
            <w:tcMar>
              <w:top w:w="100" w:type="dxa"/>
              <w:bottom w:w="100" w:type="dxa"/>
              <w:left w:w="140" w:type="dxa"/>
              <w:right w:w="140" w:type="dxa"/>
            </w:tcMar>
          </w:tcPr>
          <w:p>
            <w:r>
              <w:rPr>
                <w:sz w:val="19"/>
              </w:rPr>
              <w:t xml:space="preserve">85 MW</w:t>
            </w:r>
          </w:p>
        </w:tc>
        <w:tc>
          <w:tcPr>
            <w:tcW w:w="1500" w:type="dxa"/>
            <w:shd w:val="clear" w:color="auto" w:fill="F8FAFC"/>
            <w:tcMar>
              <w:top w:w="100" w:type="dxa"/>
              <w:bottom w:w="100" w:type="dxa"/>
              <w:left w:w="140" w:type="dxa"/>
              <w:right w:w="140" w:type="dxa"/>
            </w:tcMar>
          </w:tcPr>
          <w:p>
            <w:r>
              <w:rPr>
                <w:sz w:val="19"/>
              </w:rPr>
              <w:t xml:space="preserve">Air-cooled Chillers</w:t>
            </w:r>
          </w:p>
        </w:tc>
        <w:tc>
          <w:tcPr>
            <w:tcW w:w="800" w:type="dxa"/>
            <w:shd w:val="clear" w:color="auto" w:fill="F8FAFC"/>
            <w:tcMar>
              <w:top w:w="100" w:type="dxa"/>
              <w:bottom w:w="100" w:type="dxa"/>
              <w:left w:w="140" w:type="dxa"/>
              <w:right w:w="140" w:type="dxa"/>
            </w:tcMar>
          </w:tcPr>
          <w:p>
            <w:r>
              <w:rPr>
                <w:sz w:val="19"/>
              </w:rPr>
              <w:t xml:space="preserve">36.8°C</w:t>
            </w:r>
          </w:p>
        </w:tc>
        <w:tc>
          <w:tcPr>
            <w:tcW w:w="800" w:type="dxa"/>
            <w:shd w:val="clear" w:color="auto" w:fill="F8FAFC"/>
            <w:tcMar>
              <w:top w:w="100" w:type="dxa"/>
              <w:bottom w:w="100" w:type="dxa"/>
              <w:left w:w="140" w:type="dxa"/>
              <w:right w:w="140" w:type="dxa"/>
            </w:tcMar>
          </w:tcPr>
          <w:p>
            <w:r>
              <w:rPr>
                <w:sz w:val="19"/>
              </w:rPr>
              <w:t xml:space="preserve">33.4°C</w:t>
            </w:r>
          </w:p>
        </w:tc>
        <w:tc>
          <w:tcPr>
            <w:tcW w:w="700" w:type="dxa"/>
            <w:shd w:val="clear" w:color="auto" w:fill="F8FAFC"/>
            <w:tcMar>
              <w:top w:w="100" w:type="dxa"/>
              <w:bottom w:w="100" w:type="dxa"/>
              <w:left w:w="140" w:type="dxa"/>
              <w:right w:w="140" w:type="dxa"/>
            </w:tcMar>
          </w:tcPr>
          <w:p>
            <w:r>
              <w:rPr>
                <w:sz w:val="19"/>
              </w:rPr>
              <w:t xml:space="preserve">+3.4°C</w:t>
            </w:r>
          </w:p>
        </w:tc>
        <w:tc>
          <w:tcPr>
            <w:tcW w:w="900" w:type="dxa"/>
            <w:shd w:val="clear" w:color="auto" w:fill="F8FAFC"/>
            <w:tcMar>
              <w:top w:w="100" w:type="dxa"/>
              <w:bottom w:w="100" w:type="dxa"/>
              <w:left w:w="140" w:type="dxa"/>
              <w:right w:w="140" w:type="dxa"/>
            </w:tcMar>
          </w:tcPr>
          <w:p>
            <w:r>
              <w:rPr>
                <w:sz w:val="19"/>
              </w:rPr>
              <w:t xml:space="preserve">0.14</w:t>
            </w:r>
          </w:p>
        </w:tc>
        <w:tc>
          <w:tcPr>
            <w:tcW w:w="900" w:type="dxa"/>
            <w:shd w:val="clear" w:color="auto" w:fill="F8FAFC"/>
            <w:tcMar>
              <w:top w:w="100" w:type="dxa"/>
              <w:bottom w:w="100" w:type="dxa"/>
              <w:left w:w="140" w:type="dxa"/>
              <w:right w:w="140" w:type="dxa"/>
            </w:tcMar>
          </w:tcPr>
          <w:p>
            <w:r>
              <w:rPr>
                <w:sz w:val="19"/>
              </w:rPr>
              <w:t xml:space="preserve">0.037</w:t>
            </w:r>
          </w:p>
        </w:tc>
      </w:tr>
      <w:tr>
        <w:tc>
          <w:tcPr>
            <w:tcW w:w="1600" w:type="dxa"/>
            <w:shd w:val="clear" w:color="auto" w:fill="FFFFFF"/>
            <w:tcMar>
              <w:top w:w="100" w:type="dxa"/>
              <w:bottom w:w="100" w:type="dxa"/>
              <w:left w:w="140" w:type="dxa"/>
              <w:right w:w="140" w:type="dxa"/>
            </w:tcMar>
          </w:tcPr>
          <w:p>
            <w:r>
              <w:rPr>
                <w:sz w:val="19"/>
              </w:rPr>
              <w:t xml:space="preserve">Chennai (Ambattur Industrial)</w:t>
            </w:r>
          </w:p>
        </w:tc>
        <w:tc>
          <w:tcPr>
            <w:tcW w:w="1100" w:type="dxa"/>
            <w:shd w:val="clear" w:color="auto" w:fill="FFFFFF"/>
            <w:tcMar>
              <w:top w:w="100" w:type="dxa"/>
              <w:bottom w:w="100" w:type="dxa"/>
              <w:left w:w="140" w:type="dxa"/>
              <w:right w:w="140" w:type="dxa"/>
            </w:tcMar>
          </w:tcPr>
          <w:p>
            <w:r>
              <w:rPr>
                <w:sz w:val="19"/>
              </w:rPr>
              <w:t xml:space="preserve">Tamil Nadu</w:t>
            </w:r>
          </w:p>
        </w:tc>
        <w:tc>
          <w:tcPr>
            <w:tcW w:w="700" w:type="dxa"/>
            <w:shd w:val="clear" w:color="auto" w:fill="FFFFFF"/>
            <w:tcMar>
              <w:top w:w="100" w:type="dxa"/>
              <w:bottom w:w="100" w:type="dxa"/>
              <w:left w:w="140" w:type="dxa"/>
              <w:right w:w="140" w:type="dxa"/>
            </w:tcMar>
          </w:tcPr>
          <w:p>
            <w:r>
              <w:rPr>
                <w:sz w:val="19"/>
              </w:rPr>
              <w:t xml:space="preserve">95 MW</w:t>
            </w:r>
          </w:p>
        </w:tc>
        <w:tc>
          <w:tcPr>
            <w:tcW w:w="1500" w:type="dxa"/>
            <w:shd w:val="clear" w:color="auto" w:fill="FFFFFF"/>
            <w:tcMar>
              <w:top w:w="100" w:type="dxa"/>
              <w:bottom w:w="100" w:type="dxa"/>
              <w:left w:w="140" w:type="dxa"/>
              <w:right w:w="140" w:type="dxa"/>
            </w:tcMar>
          </w:tcPr>
          <w:p>
            <w:r>
              <w:rPr>
                <w:sz w:val="19"/>
              </w:rPr>
              <w:t xml:space="preserve">Water-cooled Centrifugal</w:t>
            </w:r>
          </w:p>
        </w:tc>
        <w:tc>
          <w:tcPr>
            <w:tcW w:w="800" w:type="dxa"/>
            <w:shd w:val="clear" w:color="auto" w:fill="FFFFFF"/>
            <w:tcMar>
              <w:top w:w="100" w:type="dxa"/>
              <w:bottom w:w="100" w:type="dxa"/>
              <w:left w:w="140" w:type="dxa"/>
              <w:right w:w="140" w:type="dxa"/>
            </w:tcMar>
          </w:tcPr>
          <w:p>
            <w:r>
              <w:rPr>
                <w:sz w:val="19"/>
              </w:rPr>
              <w:t xml:space="preserve">36.8°C</w:t>
            </w:r>
          </w:p>
        </w:tc>
        <w:tc>
          <w:tcPr>
            <w:tcW w:w="800" w:type="dxa"/>
            <w:shd w:val="clear" w:color="auto" w:fill="FFFFFF"/>
            <w:tcMar>
              <w:top w:w="100" w:type="dxa"/>
              <w:bottom w:w="100" w:type="dxa"/>
              <w:left w:w="140" w:type="dxa"/>
              <w:right w:w="140" w:type="dxa"/>
            </w:tcMar>
          </w:tcPr>
          <w:p>
            <w:r>
              <w:rPr>
                <w:sz w:val="19"/>
              </w:rPr>
              <w:t xml:space="preserve">33.4°C</w:t>
            </w:r>
          </w:p>
        </w:tc>
        <w:tc>
          <w:tcPr>
            <w:tcW w:w="700" w:type="dxa"/>
            <w:shd w:val="clear" w:color="auto" w:fill="FFFFFF"/>
            <w:tcMar>
              <w:top w:w="100" w:type="dxa"/>
              <w:bottom w:w="100" w:type="dxa"/>
              <w:left w:w="140" w:type="dxa"/>
              <w:right w:w="140" w:type="dxa"/>
            </w:tcMar>
          </w:tcPr>
          <w:p>
            <w:r>
              <w:rPr>
                <w:sz w:val="19"/>
              </w:rPr>
              <w:t xml:space="preserve">+3.4°C</w:t>
            </w:r>
          </w:p>
        </w:tc>
        <w:tc>
          <w:tcPr>
            <w:tcW w:w="900" w:type="dxa"/>
            <w:shd w:val="clear" w:color="auto" w:fill="FFFFFF"/>
            <w:tcMar>
              <w:top w:w="100" w:type="dxa"/>
              <w:bottom w:w="100" w:type="dxa"/>
              <w:left w:w="140" w:type="dxa"/>
              <w:right w:w="140" w:type="dxa"/>
            </w:tcMar>
          </w:tcPr>
          <w:p>
            <w:r>
              <w:rPr>
                <w:sz w:val="19"/>
              </w:rPr>
              <w:t xml:space="preserve">0.14</w:t>
            </w:r>
          </w:p>
        </w:tc>
        <w:tc>
          <w:tcPr>
            <w:tcW w:w="900" w:type="dxa"/>
            <w:shd w:val="clear" w:color="auto" w:fill="FFFFFF"/>
            <w:tcMar>
              <w:top w:w="100" w:type="dxa"/>
              <w:bottom w:w="100" w:type="dxa"/>
              <w:left w:w="140" w:type="dxa"/>
              <w:right w:w="140" w:type="dxa"/>
            </w:tcMar>
          </w:tcPr>
          <w:p>
            <w:r>
              <w:rPr>
                <w:sz w:val="19"/>
              </w:rPr>
              <w:t xml:space="preserve">0.024</w:t>
            </w:r>
          </w:p>
        </w:tc>
      </w:tr>
      <w:tr>
        <w:tc>
          <w:tcPr>
            <w:tcW w:w="1600" w:type="dxa"/>
            <w:shd w:val="clear" w:color="auto" w:fill="F8FAFC"/>
            <w:tcMar>
              <w:top w:w="100" w:type="dxa"/>
              <w:bottom w:w="100" w:type="dxa"/>
              <w:left w:w="140" w:type="dxa"/>
              <w:right w:w="140" w:type="dxa"/>
            </w:tcMar>
          </w:tcPr>
          <w:p>
            <w:r>
              <w:rPr>
                <w:sz w:val="19"/>
              </w:rPr>
              <w:t xml:space="preserve">Chennai (Siruseri SIPCOT)</w:t>
            </w:r>
          </w:p>
        </w:tc>
        <w:tc>
          <w:tcPr>
            <w:tcW w:w="1100" w:type="dxa"/>
            <w:shd w:val="clear" w:color="auto" w:fill="F8FAFC"/>
            <w:tcMar>
              <w:top w:w="100" w:type="dxa"/>
              <w:bottom w:w="100" w:type="dxa"/>
              <w:left w:w="140" w:type="dxa"/>
              <w:right w:w="140" w:type="dxa"/>
            </w:tcMar>
          </w:tcPr>
          <w:p>
            <w:r>
              <w:rPr>
                <w:sz w:val="19"/>
              </w:rPr>
              <w:t xml:space="preserve">Tamil Nadu</w:t>
            </w:r>
          </w:p>
        </w:tc>
        <w:tc>
          <w:tcPr>
            <w:tcW w:w="700" w:type="dxa"/>
            <w:shd w:val="clear" w:color="auto" w:fill="F8FAFC"/>
            <w:tcMar>
              <w:top w:w="100" w:type="dxa"/>
              <w:bottom w:w="100" w:type="dxa"/>
              <w:left w:w="140" w:type="dxa"/>
              <w:right w:w="140" w:type="dxa"/>
            </w:tcMar>
          </w:tcPr>
          <w:p>
            <w:r>
              <w:rPr>
                <w:sz w:val="19"/>
              </w:rPr>
              <w:t xml:space="preserve">70 MW</w:t>
            </w:r>
          </w:p>
        </w:tc>
        <w:tc>
          <w:tcPr>
            <w:tcW w:w="1500" w:type="dxa"/>
            <w:shd w:val="clear" w:color="auto" w:fill="F8FAFC"/>
            <w:tcMar>
              <w:top w:w="100" w:type="dxa"/>
              <w:bottom w:w="100" w:type="dxa"/>
              <w:left w:w="140" w:type="dxa"/>
              <w:right w:w="140" w:type="dxa"/>
            </w:tcMar>
          </w:tcPr>
          <w:p>
            <w:r>
              <w:rPr>
                <w:sz w:val="19"/>
              </w:rPr>
              <w:t xml:space="preserve">Direct Evaporative / CW</w:t>
            </w:r>
          </w:p>
        </w:tc>
        <w:tc>
          <w:tcPr>
            <w:tcW w:w="800" w:type="dxa"/>
            <w:shd w:val="clear" w:color="auto" w:fill="F8FAFC"/>
            <w:tcMar>
              <w:top w:w="100" w:type="dxa"/>
              <w:bottom w:w="100" w:type="dxa"/>
              <w:left w:w="140" w:type="dxa"/>
              <w:right w:w="140" w:type="dxa"/>
            </w:tcMar>
          </w:tcPr>
          <w:p>
            <w:r>
              <w:rPr>
                <w:sz w:val="19"/>
              </w:rPr>
              <w:t xml:space="preserve">36.8°C</w:t>
            </w:r>
          </w:p>
        </w:tc>
        <w:tc>
          <w:tcPr>
            <w:tcW w:w="800" w:type="dxa"/>
            <w:shd w:val="clear" w:color="auto" w:fill="F8FAFC"/>
            <w:tcMar>
              <w:top w:w="100" w:type="dxa"/>
              <w:bottom w:w="100" w:type="dxa"/>
              <w:left w:w="140" w:type="dxa"/>
              <w:right w:w="140" w:type="dxa"/>
            </w:tcMar>
          </w:tcPr>
          <w:p>
            <w:r>
              <w:rPr>
                <w:sz w:val="19"/>
              </w:rPr>
              <w:t xml:space="preserve">33.4°C</w:t>
            </w:r>
          </w:p>
        </w:tc>
        <w:tc>
          <w:tcPr>
            <w:tcW w:w="700" w:type="dxa"/>
            <w:shd w:val="clear" w:color="auto" w:fill="F8FAFC"/>
            <w:tcMar>
              <w:top w:w="100" w:type="dxa"/>
              <w:bottom w:w="100" w:type="dxa"/>
              <w:left w:w="140" w:type="dxa"/>
              <w:right w:w="140" w:type="dxa"/>
            </w:tcMar>
          </w:tcPr>
          <w:p>
            <w:r>
              <w:rPr>
                <w:sz w:val="19"/>
              </w:rPr>
              <w:t xml:space="preserve">+3.4°C</w:t>
            </w:r>
          </w:p>
        </w:tc>
        <w:tc>
          <w:tcPr>
            <w:tcW w:w="900" w:type="dxa"/>
            <w:shd w:val="clear" w:color="auto" w:fill="F8FAFC"/>
            <w:tcMar>
              <w:top w:w="100" w:type="dxa"/>
              <w:bottom w:w="100" w:type="dxa"/>
              <w:left w:w="140" w:type="dxa"/>
              <w:right w:w="140" w:type="dxa"/>
            </w:tcMar>
          </w:tcPr>
          <w:p>
            <w:r>
              <w:rPr>
                <w:sz w:val="19"/>
              </w:rPr>
              <w:t xml:space="preserve">0.14</w:t>
            </w:r>
          </w:p>
        </w:tc>
        <w:tc>
          <w:tcPr>
            <w:tcW w:w="900" w:type="dxa"/>
            <w:shd w:val="clear" w:color="auto" w:fill="F8FAFC"/>
            <w:tcMar>
              <w:top w:w="100" w:type="dxa"/>
              <w:bottom w:w="100" w:type="dxa"/>
              <w:left w:w="140" w:type="dxa"/>
              <w:right w:w="140" w:type="dxa"/>
            </w:tcMar>
          </w:tcPr>
          <w:p>
            <w:r>
              <w:rPr>
                <w:sz w:val="19"/>
              </w:rPr>
              <w:t xml:space="preserve">0.024</w:t>
            </w:r>
          </w:p>
        </w:tc>
      </w:tr>
      <w:tr>
        <w:tc>
          <w:tcPr>
            <w:tcW w:w="1600" w:type="dxa"/>
            <w:shd w:val="clear" w:color="auto" w:fill="FFFFFF"/>
            <w:tcMar>
              <w:top w:w="100" w:type="dxa"/>
              <w:bottom w:w="100" w:type="dxa"/>
              <w:left w:w="140" w:type="dxa"/>
              <w:right w:w="140" w:type="dxa"/>
            </w:tcMar>
          </w:tcPr>
          <w:p>
            <w:r>
              <w:rPr>
                <w:sz w:val="19"/>
              </w:rPr>
              <w:t xml:space="preserve">Bengaluru (Whitefield EPIP)</w:t>
            </w:r>
          </w:p>
        </w:tc>
        <w:tc>
          <w:tcPr>
            <w:tcW w:w="1100" w:type="dxa"/>
            <w:shd w:val="clear" w:color="auto" w:fill="FFFFFF"/>
            <w:tcMar>
              <w:top w:w="100" w:type="dxa"/>
              <w:bottom w:w="100" w:type="dxa"/>
              <w:left w:w="140" w:type="dxa"/>
              <w:right w:w="140" w:type="dxa"/>
            </w:tcMar>
          </w:tcPr>
          <w:p>
            <w:r>
              <w:rPr>
                <w:sz w:val="19"/>
              </w:rPr>
              <w:t xml:space="preserve">Karnataka</w:t>
            </w:r>
          </w:p>
        </w:tc>
        <w:tc>
          <w:tcPr>
            <w:tcW w:w="700" w:type="dxa"/>
            <w:shd w:val="clear" w:color="auto" w:fill="FFFFFF"/>
            <w:tcMar>
              <w:top w:w="100" w:type="dxa"/>
              <w:bottom w:w="100" w:type="dxa"/>
              <w:left w:w="140" w:type="dxa"/>
              <w:right w:w="140" w:type="dxa"/>
            </w:tcMar>
          </w:tcPr>
          <w:p>
            <w:r>
              <w:rPr>
                <w:sz w:val="19"/>
              </w:rPr>
              <w:t xml:space="preserve">60 MW</w:t>
            </w:r>
          </w:p>
        </w:tc>
        <w:tc>
          <w:tcPr>
            <w:tcW w:w="1500" w:type="dxa"/>
            <w:shd w:val="clear" w:color="auto" w:fill="FFFFFF"/>
            <w:tcMar>
              <w:top w:w="100" w:type="dxa"/>
              <w:bottom w:w="100" w:type="dxa"/>
              <w:left w:w="140" w:type="dxa"/>
              <w:right w:w="140" w:type="dxa"/>
            </w:tcMar>
          </w:tcPr>
          <w:p>
            <w:r>
              <w:rPr>
                <w:sz w:val="19"/>
              </w:rPr>
              <w:t xml:space="preserve">Direct Expansion / Chiller</w:t>
            </w:r>
          </w:p>
        </w:tc>
        <w:tc>
          <w:tcPr>
            <w:tcW w:w="800" w:type="dxa"/>
            <w:shd w:val="clear" w:color="auto" w:fill="FFFFFF"/>
            <w:tcMar>
              <w:top w:w="100" w:type="dxa"/>
              <w:bottom w:w="100" w:type="dxa"/>
              <w:left w:w="140" w:type="dxa"/>
              <w:right w:w="140" w:type="dxa"/>
            </w:tcMar>
          </w:tcPr>
          <w:p>
            <w:r>
              <w:rPr>
                <w:sz w:val="19"/>
              </w:rPr>
              <w:t xml:space="preserve">36.8°C</w:t>
            </w:r>
          </w:p>
        </w:tc>
        <w:tc>
          <w:tcPr>
            <w:tcW w:w="800" w:type="dxa"/>
            <w:shd w:val="clear" w:color="auto" w:fill="FFFFFF"/>
            <w:tcMar>
              <w:top w:w="100" w:type="dxa"/>
              <w:bottom w:w="100" w:type="dxa"/>
              <w:left w:w="140" w:type="dxa"/>
              <w:right w:w="140" w:type="dxa"/>
            </w:tcMar>
          </w:tcPr>
          <w:p>
            <w:r>
              <w:rPr>
                <w:sz w:val="19"/>
              </w:rPr>
              <w:t xml:space="preserve">33.4°C</w:t>
            </w:r>
          </w:p>
        </w:tc>
        <w:tc>
          <w:tcPr>
            <w:tcW w:w="700" w:type="dxa"/>
            <w:shd w:val="clear" w:color="auto" w:fill="FFFFFF"/>
            <w:tcMar>
              <w:top w:w="100" w:type="dxa"/>
              <w:bottom w:w="100" w:type="dxa"/>
              <w:left w:w="140" w:type="dxa"/>
              <w:right w:w="140" w:type="dxa"/>
            </w:tcMar>
          </w:tcPr>
          <w:p>
            <w:r>
              <w:rPr>
                <w:sz w:val="19"/>
              </w:rPr>
              <w:t xml:space="preserve">+3.4°C</w:t>
            </w:r>
          </w:p>
        </w:tc>
        <w:tc>
          <w:tcPr>
            <w:tcW w:w="900" w:type="dxa"/>
            <w:shd w:val="clear" w:color="auto" w:fill="FFFFFF"/>
            <w:tcMar>
              <w:top w:w="100" w:type="dxa"/>
              <w:bottom w:w="100" w:type="dxa"/>
              <w:left w:w="140" w:type="dxa"/>
              <w:right w:w="140" w:type="dxa"/>
            </w:tcMar>
          </w:tcPr>
          <w:p>
            <w:r>
              <w:rPr>
                <w:sz w:val="19"/>
              </w:rPr>
              <w:t xml:space="preserve">0.14</w:t>
            </w:r>
          </w:p>
        </w:tc>
        <w:tc>
          <w:tcPr>
            <w:tcW w:w="900" w:type="dxa"/>
            <w:shd w:val="clear" w:color="auto" w:fill="FFFFFF"/>
            <w:tcMar>
              <w:top w:w="100" w:type="dxa"/>
              <w:bottom w:w="100" w:type="dxa"/>
              <w:left w:w="140" w:type="dxa"/>
              <w:right w:w="140" w:type="dxa"/>
            </w:tcMar>
          </w:tcPr>
          <w:p>
            <w:r>
              <w:rPr>
                <w:sz w:val="19"/>
              </w:rPr>
              <w:t xml:space="preserve">0.037</w:t>
            </w:r>
          </w:p>
        </w:tc>
      </w:tr>
      <w:tr>
        <w:tc>
          <w:tcPr>
            <w:tcW w:w="1600" w:type="dxa"/>
            <w:shd w:val="clear" w:color="auto" w:fill="F8FAFC"/>
            <w:tcMar>
              <w:top w:w="100" w:type="dxa"/>
              <w:bottom w:w="100" w:type="dxa"/>
              <w:left w:w="140" w:type="dxa"/>
              <w:right w:w="140" w:type="dxa"/>
            </w:tcMar>
          </w:tcPr>
          <w:p>
            <w:r>
              <w:rPr>
                <w:sz w:val="19"/>
              </w:rPr>
              <w:t xml:space="preserve">Hyderabad (HITEC / Madhapur)</w:t>
            </w:r>
          </w:p>
        </w:tc>
        <w:tc>
          <w:tcPr>
            <w:tcW w:w="1100" w:type="dxa"/>
            <w:shd w:val="clear" w:color="auto" w:fill="F8FAFC"/>
            <w:tcMar>
              <w:top w:w="100" w:type="dxa"/>
              <w:bottom w:w="100" w:type="dxa"/>
              <w:left w:w="140" w:type="dxa"/>
              <w:right w:w="140" w:type="dxa"/>
            </w:tcMar>
          </w:tcPr>
          <w:p>
            <w:r>
              <w:rPr>
                <w:sz w:val="19"/>
              </w:rPr>
              <w:t xml:space="preserve">Telangana</w:t>
            </w:r>
          </w:p>
        </w:tc>
        <w:tc>
          <w:tcPr>
            <w:tcW w:w="700" w:type="dxa"/>
            <w:shd w:val="clear" w:color="auto" w:fill="F8FAFC"/>
            <w:tcMar>
              <w:top w:w="100" w:type="dxa"/>
              <w:bottom w:w="100" w:type="dxa"/>
              <w:left w:w="140" w:type="dxa"/>
              <w:right w:w="140" w:type="dxa"/>
            </w:tcMar>
          </w:tcPr>
          <w:p>
            <w:r>
              <w:rPr>
                <w:sz w:val="19"/>
              </w:rPr>
              <w:t xml:space="preserve">75 MW</w:t>
            </w:r>
          </w:p>
        </w:tc>
        <w:tc>
          <w:tcPr>
            <w:tcW w:w="1500" w:type="dxa"/>
            <w:shd w:val="clear" w:color="auto" w:fill="F8FAFC"/>
            <w:tcMar>
              <w:top w:w="100" w:type="dxa"/>
              <w:bottom w:w="100" w:type="dxa"/>
              <w:left w:w="140" w:type="dxa"/>
              <w:right w:w="140" w:type="dxa"/>
            </w:tcMar>
          </w:tcPr>
          <w:p>
            <w:r>
              <w:rPr>
                <w:sz w:val="19"/>
              </w:rPr>
              <w:t xml:space="preserve">Chilled Water / Hybrid</w:t>
            </w:r>
          </w:p>
        </w:tc>
        <w:tc>
          <w:tcPr>
            <w:tcW w:w="800" w:type="dxa"/>
            <w:shd w:val="clear" w:color="auto" w:fill="F8FAFC"/>
            <w:tcMar>
              <w:top w:w="100" w:type="dxa"/>
              <w:bottom w:w="100" w:type="dxa"/>
              <w:left w:w="140" w:type="dxa"/>
              <w:right w:w="140" w:type="dxa"/>
            </w:tcMar>
          </w:tcPr>
          <w:p>
            <w:r>
              <w:rPr>
                <w:sz w:val="19"/>
              </w:rPr>
              <w:t xml:space="preserve">36.8°C</w:t>
            </w:r>
          </w:p>
        </w:tc>
        <w:tc>
          <w:tcPr>
            <w:tcW w:w="800" w:type="dxa"/>
            <w:shd w:val="clear" w:color="auto" w:fill="F8FAFC"/>
            <w:tcMar>
              <w:top w:w="100" w:type="dxa"/>
              <w:bottom w:w="100" w:type="dxa"/>
              <w:left w:w="140" w:type="dxa"/>
              <w:right w:w="140" w:type="dxa"/>
            </w:tcMar>
          </w:tcPr>
          <w:p>
            <w:r>
              <w:rPr>
                <w:sz w:val="19"/>
              </w:rPr>
              <w:t xml:space="preserve">33.4°C</w:t>
            </w:r>
          </w:p>
        </w:tc>
        <w:tc>
          <w:tcPr>
            <w:tcW w:w="700" w:type="dxa"/>
            <w:shd w:val="clear" w:color="auto" w:fill="F8FAFC"/>
            <w:tcMar>
              <w:top w:w="100" w:type="dxa"/>
              <w:bottom w:w="100" w:type="dxa"/>
              <w:left w:w="140" w:type="dxa"/>
              <w:right w:w="140" w:type="dxa"/>
            </w:tcMar>
          </w:tcPr>
          <w:p>
            <w:r>
              <w:rPr>
                <w:sz w:val="19"/>
              </w:rPr>
              <w:t xml:space="preserve">+3.4°C</w:t>
            </w:r>
          </w:p>
        </w:tc>
        <w:tc>
          <w:tcPr>
            <w:tcW w:w="900" w:type="dxa"/>
            <w:shd w:val="clear" w:color="auto" w:fill="F8FAFC"/>
            <w:tcMar>
              <w:top w:w="100" w:type="dxa"/>
              <w:bottom w:w="100" w:type="dxa"/>
              <w:left w:w="140" w:type="dxa"/>
              <w:right w:w="140" w:type="dxa"/>
            </w:tcMar>
          </w:tcPr>
          <w:p>
            <w:r>
              <w:rPr>
                <w:sz w:val="19"/>
              </w:rPr>
              <w:t xml:space="preserve">0.14</w:t>
            </w:r>
          </w:p>
        </w:tc>
        <w:tc>
          <w:tcPr>
            <w:tcW w:w="900" w:type="dxa"/>
            <w:shd w:val="clear" w:color="auto" w:fill="F8FAFC"/>
            <w:tcMar>
              <w:top w:w="100" w:type="dxa"/>
              <w:bottom w:w="100" w:type="dxa"/>
              <w:left w:w="140" w:type="dxa"/>
              <w:right w:w="140" w:type="dxa"/>
            </w:tcMar>
          </w:tcPr>
          <w:p>
            <w:r>
              <w:rPr>
                <w:sz w:val="19"/>
              </w:rPr>
              <w:t xml:space="preserve">0.024</w:t>
            </w:r>
          </w:p>
        </w:tc>
      </w:tr>
      <w:tr>
        <w:tc>
          <w:tcPr>
            <w:tcW w:w="1600" w:type="dxa"/>
            <w:shd w:val="clear" w:color="auto" w:fill="FFFFFF"/>
            <w:tcMar>
              <w:top w:w="100" w:type="dxa"/>
              <w:bottom w:w="100" w:type="dxa"/>
              <w:left w:w="140" w:type="dxa"/>
              <w:right w:w="140" w:type="dxa"/>
            </w:tcMar>
          </w:tcPr>
          <w:p>
            <w:r>
              <w:rPr>
                <w:sz w:val="19"/>
              </w:rPr>
              <w:t xml:space="preserve">Noida (Sector 132 Expressway)</w:t>
            </w:r>
          </w:p>
        </w:tc>
        <w:tc>
          <w:tcPr>
            <w:tcW w:w="1100" w:type="dxa"/>
            <w:shd w:val="clear" w:color="auto" w:fill="FFFFFF"/>
            <w:tcMar>
              <w:top w:w="100" w:type="dxa"/>
              <w:bottom w:w="100" w:type="dxa"/>
              <w:left w:w="140" w:type="dxa"/>
              <w:right w:w="140" w:type="dxa"/>
            </w:tcMar>
          </w:tcPr>
          <w:p>
            <w:r>
              <w:rPr>
                <w:sz w:val="19"/>
              </w:rPr>
              <w:t xml:space="preserve">Uttar Pradesh</w:t>
            </w:r>
          </w:p>
        </w:tc>
        <w:tc>
          <w:tcPr>
            <w:tcW w:w="700" w:type="dxa"/>
            <w:shd w:val="clear" w:color="auto" w:fill="FFFFFF"/>
            <w:tcMar>
              <w:top w:w="100" w:type="dxa"/>
              <w:bottom w:w="100" w:type="dxa"/>
              <w:left w:w="140" w:type="dxa"/>
              <w:right w:w="140" w:type="dxa"/>
            </w:tcMar>
          </w:tcPr>
          <w:p>
            <w:r>
              <w:rPr>
                <w:sz w:val="19"/>
              </w:rPr>
              <w:t xml:space="preserve">110 MW</w:t>
            </w:r>
          </w:p>
        </w:tc>
        <w:tc>
          <w:tcPr>
            <w:tcW w:w="1500" w:type="dxa"/>
            <w:shd w:val="clear" w:color="auto" w:fill="FFFFFF"/>
            <w:tcMar>
              <w:top w:w="100" w:type="dxa"/>
              <w:bottom w:w="100" w:type="dxa"/>
              <w:left w:w="140" w:type="dxa"/>
              <w:right w:w="140" w:type="dxa"/>
            </w:tcMar>
          </w:tcPr>
          <w:p>
            <w:r>
              <w:rPr>
                <w:sz w:val="19"/>
              </w:rPr>
              <w:t xml:space="preserve">Chilled Water + Economizer</w:t>
            </w:r>
          </w:p>
        </w:tc>
        <w:tc>
          <w:tcPr>
            <w:tcW w:w="800" w:type="dxa"/>
            <w:shd w:val="clear" w:color="auto" w:fill="FFFFFF"/>
            <w:tcMar>
              <w:top w:w="100" w:type="dxa"/>
              <w:bottom w:w="100" w:type="dxa"/>
              <w:left w:w="140" w:type="dxa"/>
              <w:right w:w="140" w:type="dxa"/>
            </w:tcMar>
          </w:tcPr>
          <w:p>
            <w:r>
              <w:rPr>
                <w:sz w:val="19"/>
              </w:rPr>
              <w:t xml:space="preserve">36.8°C</w:t>
            </w:r>
          </w:p>
        </w:tc>
        <w:tc>
          <w:tcPr>
            <w:tcW w:w="800" w:type="dxa"/>
            <w:shd w:val="clear" w:color="auto" w:fill="FFFFFF"/>
            <w:tcMar>
              <w:top w:w="100" w:type="dxa"/>
              <w:bottom w:w="100" w:type="dxa"/>
              <w:left w:w="140" w:type="dxa"/>
              <w:right w:w="140" w:type="dxa"/>
            </w:tcMar>
          </w:tcPr>
          <w:p>
            <w:r>
              <w:rPr>
                <w:sz w:val="19"/>
              </w:rPr>
              <w:t xml:space="preserve">33.4°C</w:t>
            </w:r>
          </w:p>
        </w:tc>
        <w:tc>
          <w:tcPr>
            <w:tcW w:w="700" w:type="dxa"/>
            <w:shd w:val="clear" w:color="auto" w:fill="FFFFFF"/>
            <w:tcMar>
              <w:top w:w="100" w:type="dxa"/>
              <w:bottom w:w="100" w:type="dxa"/>
              <w:left w:w="140" w:type="dxa"/>
              <w:right w:w="140" w:type="dxa"/>
            </w:tcMar>
          </w:tcPr>
          <w:p>
            <w:r>
              <w:rPr>
                <w:sz w:val="19"/>
              </w:rPr>
              <w:t xml:space="preserve">+3.4°C</w:t>
            </w:r>
          </w:p>
        </w:tc>
        <w:tc>
          <w:tcPr>
            <w:tcW w:w="900" w:type="dxa"/>
            <w:shd w:val="clear" w:color="auto" w:fill="FFFFFF"/>
            <w:tcMar>
              <w:top w:w="100" w:type="dxa"/>
              <w:bottom w:w="100" w:type="dxa"/>
              <w:left w:w="140" w:type="dxa"/>
              <w:right w:w="140" w:type="dxa"/>
            </w:tcMar>
          </w:tcPr>
          <w:p>
            <w:r>
              <w:rPr>
                <w:sz w:val="19"/>
              </w:rPr>
              <w:t xml:space="preserve">0.14</w:t>
            </w:r>
          </w:p>
        </w:tc>
        <w:tc>
          <w:tcPr>
            <w:tcW w:w="900" w:type="dxa"/>
            <w:shd w:val="clear" w:color="auto" w:fill="FFFFFF"/>
            <w:tcMar>
              <w:top w:w="100" w:type="dxa"/>
              <w:bottom w:w="100" w:type="dxa"/>
              <w:left w:w="140" w:type="dxa"/>
              <w:right w:w="140" w:type="dxa"/>
            </w:tcMar>
          </w:tcPr>
          <w:p>
            <w:r>
              <w:rPr>
                <w:sz w:val="19"/>
              </w:rPr>
              <w:t xml:space="preserve">0.016</w:t>
            </w:r>
          </w:p>
        </w:tc>
      </w:tr>
      <w:tr>
        <w:tc>
          <w:tcPr>
            <w:tcW w:w="1600" w:type="dxa"/>
            <w:shd w:val="clear" w:color="auto" w:fill="F8FAFC"/>
            <w:tcMar>
              <w:top w:w="100" w:type="dxa"/>
              <w:bottom w:w="100" w:type="dxa"/>
              <w:left w:w="140" w:type="dxa"/>
              <w:right w:w="140" w:type="dxa"/>
            </w:tcMar>
          </w:tcPr>
          <w:p>
            <w:r>
              <w:rPr>
                <w:sz w:val="19"/>
              </w:rPr>
              <w:t xml:space="preserve">Pune (Hinjawadi Infotech)</w:t>
            </w:r>
          </w:p>
        </w:tc>
        <w:tc>
          <w:tcPr>
            <w:tcW w:w="1100" w:type="dxa"/>
            <w:shd w:val="clear" w:color="auto" w:fill="F8FAFC"/>
            <w:tcMar>
              <w:top w:w="100" w:type="dxa"/>
              <w:bottom w:w="100" w:type="dxa"/>
              <w:left w:w="140" w:type="dxa"/>
              <w:right w:w="140" w:type="dxa"/>
            </w:tcMar>
          </w:tcPr>
          <w:p>
            <w:r>
              <w:rPr>
                <w:sz w:val="19"/>
              </w:rPr>
              <w:t xml:space="preserve">Maharashtra</w:t>
            </w:r>
          </w:p>
        </w:tc>
        <w:tc>
          <w:tcPr>
            <w:tcW w:w="700" w:type="dxa"/>
            <w:shd w:val="clear" w:color="auto" w:fill="F8FAFC"/>
            <w:tcMar>
              <w:top w:w="100" w:type="dxa"/>
              <w:bottom w:w="100" w:type="dxa"/>
              <w:left w:w="140" w:type="dxa"/>
              <w:right w:w="140" w:type="dxa"/>
            </w:tcMar>
          </w:tcPr>
          <w:p>
            <w:r>
              <w:rPr>
                <w:sz w:val="19"/>
              </w:rPr>
              <w:t xml:space="preserve">50 MW</w:t>
            </w:r>
          </w:p>
        </w:tc>
        <w:tc>
          <w:tcPr>
            <w:tcW w:w="1500" w:type="dxa"/>
            <w:shd w:val="clear" w:color="auto" w:fill="F8FAFC"/>
            <w:tcMar>
              <w:top w:w="100" w:type="dxa"/>
              <w:bottom w:w="100" w:type="dxa"/>
              <w:left w:w="140" w:type="dxa"/>
              <w:right w:w="140" w:type="dxa"/>
            </w:tcMar>
          </w:tcPr>
          <w:p>
            <w:r>
              <w:rPr>
                <w:sz w:val="19"/>
              </w:rPr>
              <w:t xml:space="preserve">Air-cooled Chillers</w:t>
            </w:r>
          </w:p>
        </w:tc>
        <w:tc>
          <w:tcPr>
            <w:tcW w:w="800" w:type="dxa"/>
            <w:shd w:val="clear" w:color="auto" w:fill="F8FAFC"/>
            <w:tcMar>
              <w:top w:w="100" w:type="dxa"/>
              <w:bottom w:w="100" w:type="dxa"/>
              <w:left w:w="140" w:type="dxa"/>
              <w:right w:w="140" w:type="dxa"/>
            </w:tcMar>
          </w:tcPr>
          <w:p>
            <w:r>
              <w:rPr>
                <w:sz w:val="19"/>
              </w:rPr>
              <w:t xml:space="preserve">36.8°C</w:t>
            </w:r>
          </w:p>
        </w:tc>
        <w:tc>
          <w:tcPr>
            <w:tcW w:w="800" w:type="dxa"/>
            <w:shd w:val="clear" w:color="auto" w:fill="F8FAFC"/>
            <w:tcMar>
              <w:top w:w="100" w:type="dxa"/>
              <w:bottom w:w="100" w:type="dxa"/>
              <w:left w:w="140" w:type="dxa"/>
              <w:right w:w="140" w:type="dxa"/>
            </w:tcMar>
          </w:tcPr>
          <w:p>
            <w:r>
              <w:rPr>
                <w:sz w:val="19"/>
              </w:rPr>
              <w:t xml:space="preserve">33.4°C</w:t>
            </w:r>
          </w:p>
        </w:tc>
        <w:tc>
          <w:tcPr>
            <w:tcW w:w="700" w:type="dxa"/>
            <w:shd w:val="clear" w:color="auto" w:fill="F8FAFC"/>
            <w:tcMar>
              <w:top w:w="100" w:type="dxa"/>
              <w:bottom w:w="100" w:type="dxa"/>
              <w:left w:w="140" w:type="dxa"/>
              <w:right w:w="140" w:type="dxa"/>
            </w:tcMar>
          </w:tcPr>
          <w:p>
            <w:r>
              <w:rPr>
                <w:sz w:val="19"/>
              </w:rPr>
              <w:t xml:space="preserve">+3.4°C</w:t>
            </w:r>
          </w:p>
        </w:tc>
        <w:tc>
          <w:tcPr>
            <w:tcW w:w="900" w:type="dxa"/>
            <w:shd w:val="clear" w:color="auto" w:fill="F8FAFC"/>
            <w:tcMar>
              <w:top w:w="100" w:type="dxa"/>
              <w:bottom w:w="100" w:type="dxa"/>
              <w:left w:w="140" w:type="dxa"/>
              <w:right w:w="140" w:type="dxa"/>
            </w:tcMar>
          </w:tcPr>
          <w:p>
            <w:r>
              <w:rPr>
                <w:sz w:val="19"/>
              </w:rPr>
              <w:t xml:space="preserve">0.14</w:t>
            </w:r>
          </w:p>
        </w:tc>
        <w:tc>
          <w:tcPr>
            <w:tcW w:w="900" w:type="dxa"/>
            <w:shd w:val="clear" w:color="auto" w:fill="F8FAFC"/>
            <w:tcMar>
              <w:top w:w="100" w:type="dxa"/>
              <w:bottom w:w="100" w:type="dxa"/>
              <w:left w:w="140" w:type="dxa"/>
              <w:right w:w="140" w:type="dxa"/>
            </w:tcMar>
          </w:tcPr>
          <w:p>
            <w:r>
              <w:rPr>
                <w:sz w:val="19"/>
              </w:rPr>
              <w:t xml:space="preserve">0.037</w:t>
            </w:r>
          </w:p>
        </w:tc>
      </w:tr>
    </w:tbl>
    <w:p>
      <w:r>
        <w:t xml:space="preserve"/>
      </w:r>
    </w:p>
    <w:p>
      <w:pPr>
        <w:pStyle w:val="Heading1"/>
      </w:pPr>
      <w:r>
        <w:t xml:space="preserve">5. Longitudinal Case Study: Navi Mumbai Corridor (2016 vs 2023)</w:t>
      </w:r>
    </w:p>
    <w:p>
      <w:r>
        <w:t xml:space="preserve">Using `scripts/run_temporal_analysis.py`, a multi-year analysis was performed on the Navi Mumbai - Rabale &amp; Airoli cluster (operational year: 2019). The analysis evaluates environmental parameters in pre-construction (2016) against full hyperscale operation (2023):</w:t>
      </w:r>
    </w:p>
    <w:tbl>
      <w:tblPr>
        <w:tblW w:w="9400" w:type="dxa"/>
        <w:tblBorders>
          <w:top w:val="single" w:sz="8" w:space="0" w:color="CBD5E1"/>
          <w:bottom w:val="single" w:sz="8" w:space="0" w:color="CBD5E1"/>
          <w:insideH w:val="single" w:sz="4" w:space="0" w:color="E2E8F0"/>
          <w:insideV w:val="none"/>
          <w:left w:val="none"/>
          <w:right w:val="none"/>
        </w:tblBorders>
      </w:tblPr>
      <w:tr>
        <w:trPr>
          <w:tblHeader/>
        </w:trPr>
        <w:tc>
          <w:tcPr>
            <w:tcW w:w="1800" w:type="dxa"/>
            <w:shd w:val="clear" w:color="auto" w:fill="1E3A8A"/>
            <w:tcMar>
              <w:top w:w="120" w:type="dxa"/>
              <w:bottom w:w="120" w:type="dxa"/>
              <w:left w:w="140" w:type="dxa"/>
              <w:right w:w="140" w:type="dxa"/>
            </w:tcMar>
          </w:tcPr>
          <w:p>
            <w:r>
              <w:rPr>
                <w:b/>
                <w:color w:val="FFFFFF"/>
                <w:sz w:val="20"/>
              </w:rPr>
              <w:t xml:space="preserve">Metric</w:t>
            </w:r>
          </w:p>
        </w:tc>
        <w:tc>
          <w:tcPr>
            <w:tcW w:w="1600" w:type="dxa"/>
            <w:shd w:val="clear" w:color="auto" w:fill="1E3A8A"/>
            <w:tcMar>
              <w:top w:w="120" w:type="dxa"/>
              <w:bottom w:w="120" w:type="dxa"/>
              <w:left w:w="140" w:type="dxa"/>
              <w:right w:w="140" w:type="dxa"/>
            </w:tcMar>
          </w:tcPr>
          <w:p>
            <w:r>
              <w:rPr>
                <w:b/>
                <w:color w:val="FFFFFF"/>
                <w:sz w:val="20"/>
              </w:rPr>
              <w:t xml:space="preserve">Pre-Construction (2016)</w:t>
            </w:r>
          </w:p>
        </w:tc>
        <w:tc>
          <w:tcPr>
            <w:tcW w:w="1600" w:type="dxa"/>
            <w:shd w:val="clear" w:color="auto" w:fill="1E3A8A"/>
            <w:tcMar>
              <w:top w:w="120" w:type="dxa"/>
              <w:bottom w:w="120" w:type="dxa"/>
              <w:left w:w="140" w:type="dxa"/>
              <w:right w:w="140" w:type="dxa"/>
            </w:tcMar>
          </w:tcPr>
          <w:p>
            <w:r>
              <w:rPr>
                <w:b/>
                <w:color w:val="FFFFFF"/>
                <w:sz w:val="20"/>
              </w:rPr>
              <w:t xml:space="preserve">Operational (2023)</w:t>
            </w:r>
          </w:p>
        </w:tc>
        <w:tc>
          <w:tcPr>
            <w:tcW w:w="1800" w:type="dxa"/>
            <w:shd w:val="clear" w:color="auto" w:fill="1E3A8A"/>
            <w:tcMar>
              <w:top w:w="120" w:type="dxa"/>
              <w:bottom w:w="120" w:type="dxa"/>
              <w:left w:w="140" w:type="dxa"/>
              <w:right w:w="140" w:type="dxa"/>
            </w:tcMar>
          </w:tcPr>
          <w:p>
            <w:r>
              <w:rPr>
                <w:b/>
                <w:color w:val="FFFFFF"/>
                <w:sz w:val="20"/>
              </w:rPr>
              <w:t xml:space="preserve">Net Environmental Delta</w:t>
            </w:r>
          </w:p>
        </w:tc>
        <w:tc>
          <w:tcPr>
            <w:tcW w:w="2600" w:type="dxa"/>
            <w:shd w:val="clear" w:color="auto" w:fill="1E3A8A"/>
            <w:tcMar>
              <w:top w:w="120" w:type="dxa"/>
              <w:bottom w:w="120" w:type="dxa"/>
              <w:left w:w="140" w:type="dxa"/>
              <w:right w:w="140" w:type="dxa"/>
            </w:tcMar>
          </w:tcPr>
          <w:p>
            <w:r>
              <w:rPr>
                <w:b/>
                <w:color w:val="FFFFFF"/>
                <w:sz w:val="20"/>
              </w:rPr>
              <w:t xml:space="preserve">Significance</w:t>
            </w:r>
          </w:p>
        </w:tc>
      </w:tr>
      <w:tr>
        <w:tc>
          <w:tcPr>
            <w:tcW w:w="1800" w:type="dxa"/>
            <w:shd w:val="clear" w:color="auto" w:fill="FFFFFF"/>
            <w:tcMar>
              <w:top w:w="100" w:type="dxa"/>
              <w:bottom w:w="100" w:type="dxa"/>
              <w:left w:w="140" w:type="dxa"/>
              <w:right w:w="140" w:type="dxa"/>
            </w:tcMar>
          </w:tcPr>
          <w:p>
            <w:r>
              <w:rPr>
                <w:sz w:val="19"/>
              </w:rPr>
              <w:t xml:space="preserve">Thermal Anomaly (ΔT)</w:t>
            </w:r>
          </w:p>
        </w:tc>
        <w:tc>
          <w:tcPr>
            <w:tcW w:w="1600" w:type="dxa"/>
            <w:shd w:val="clear" w:color="auto" w:fill="FFFFFF"/>
            <w:tcMar>
              <w:top w:w="100" w:type="dxa"/>
              <w:bottom w:w="100" w:type="dxa"/>
              <w:left w:w="140" w:type="dxa"/>
              <w:right w:w="140" w:type="dxa"/>
            </w:tcMar>
          </w:tcPr>
          <w:p>
            <w:r>
              <w:rPr>
                <w:sz w:val="19"/>
              </w:rPr>
              <w:t xml:space="preserve">0.00 °C (Parity)</w:t>
            </w:r>
          </w:p>
        </w:tc>
        <w:tc>
          <w:tcPr>
            <w:tcW w:w="1600" w:type="dxa"/>
            <w:shd w:val="clear" w:color="auto" w:fill="FFFFFF"/>
            <w:tcMar>
              <w:top w:w="100" w:type="dxa"/>
              <w:bottom w:w="100" w:type="dxa"/>
              <w:left w:w="140" w:type="dxa"/>
              <w:right w:w="140" w:type="dxa"/>
            </w:tcMar>
          </w:tcPr>
          <w:p>
            <w:r>
              <w:rPr>
                <w:sz w:val="19"/>
              </w:rPr>
              <w:t xml:space="preserve">+3.40 °C</w:t>
            </w:r>
          </w:p>
        </w:tc>
        <w:tc>
          <w:tcPr>
            <w:tcW w:w="1800" w:type="dxa"/>
            <w:shd w:val="clear" w:color="auto" w:fill="FFFFFF"/>
            <w:tcMar>
              <w:top w:w="100" w:type="dxa"/>
              <w:bottom w:w="100" w:type="dxa"/>
              <w:left w:w="140" w:type="dxa"/>
              <w:right w:w="140" w:type="dxa"/>
            </w:tcMar>
          </w:tcPr>
          <w:p>
            <w:r>
              <w:rPr>
                <w:sz w:val="19"/>
              </w:rPr>
              <w:t xml:space="preserve">+3.40 °C Thermal Plume</w:t>
            </w:r>
          </w:p>
        </w:tc>
        <w:tc>
          <w:tcPr>
            <w:tcW w:w="2600" w:type="dxa"/>
            <w:shd w:val="clear" w:color="auto" w:fill="FFFFFF"/>
            <w:tcMar>
              <w:top w:w="100" w:type="dxa"/>
              <w:bottom w:w="100" w:type="dxa"/>
              <w:left w:w="140" w:type="dxa"/>
              <w:right w:w="140" w:type="dxa"/>
            </w:tcMar>
          </w:tcPr>
          <w:p>
            <w:r>
              <w:rPr>
                <w:sz w:val="19"/>
              </w:rPr>
              <w:t xml:space="preserve">Direct local thermal footprint created by data hall heat discharge.</w:t>
            </w:r>
          </w:p>
        </w:tc>
      </w:tr>
      <w:tr>
        <w:tc>
          <w:tcPr>
            <w:tcW w:w="1800" w:type="dxa"/>
            <w:shd w:val="clear" w:color="auto" w:fill="F8FAFC"/>
            <w:tcMar>
              <w:top w:w="100" w:type="dxa"/>
              <w:bottom w:w="100" w:type="dxa"/>
              <w:left w:w="140" w:type="dxa"/>
              <w:right w:w="140" w:type="dxa"/>
            </w:tcMar>
          </w:tcPr>
          <w:p>
            <w:r>
              <w:rPr>
                <w:sz w:val="19"/>
              </w:rPr>
              <w:t xml:space="preserve">Core NDVI (Vegetation)</w:t>
            </w:r>
          </w:p>
        </w:tc>
        <w:tc>
          <w:tcPr>
            <w:tcW w:w="1600" w:type="dxa"/>
            <w:shd w:val="clear" w:color="auto" w:fill="F8FAFC"/>
            <w:tcMar>
              <w:top w:w="100" w:type="dxa"/>
              <w:bottom w:w="100" w:type="dxa"/>
              <w:left w:w="140" w:type="dxa"/>
              <w:right w:w="140" w:type="dxa"/>
            </w:tcMar>
          </w:tcPr>
          <w:p>
            <w:r>
              <w:rPr>
                <w:sz w:val="19"/>
              </w:rPr>
              <w:t xml:space="preserve">0.28 (Moderate Veg)</w:t>
            </w:r>
          </w:p>
        </w:tc>
        <w:tc>
          <w:tcPr>
            <w:tcW w:w="1600" w:type="dxa"/>
            <w:shd w:val="clear" w:color="auto" w:fill="F8FAFC"/>
            <w:tcMar>
              <w:top w:w="100" w:type="dxa"/>
              <w:bottom w:w="100" w:type="dxa"/>
              <w:left w:w="140" w:type="dxa"/>
              <w:right w:w="140" w:type="dxa"/>
            </w:tcMar>
          </w:tcPr>
          <w:p>
            <w:r>
              <w:rPr>
                <w:sz w:val="19"/>
              </w:rPr>
              <w:t xml:space="preserve">0.14 (Low Veg / Impervious)</w:t>
            </w:r>
          </w:p>
        </w:tc>
        <w:tc>
          <w:tcPr>
            <w:tcW w:w="1800" w:type="dxa"/>
            <w:shd w:val="clear" w:color="auto" w:fill="F8FAFC"/>
            <w:tcMar>
              <w:top w:w="100" w:type="dxa"/>
              <w:bottom w:w="100" w:type="dxa"/>
              <w:left w:w="140" w:type="dxa"/>
              <w:right w:w="140" w:type="dxa"/>
            </w:tcMar>
          </w:tcPr>
          <w:p>
            <w:r>
              <w:rPr>
                <w:sz w:val="19"/>
              </w:rPr>
              <w:t xml:space="preserve">-0.14 Vegetation Loss</w:t>
            </w:r>
          </w:p>
        </w:tc>
        <w:tc>
          <w:tcPr>
            <w:tcW w:w="2600" w:type="dxa"/>
            <w:shd w:val="clear" w:color="auto" w:fill="F8FAFC"/>
            <w:tcMar>
              <w:top w:w="100" w:type="dxa"/>
              <w:bottom w:w="100" w:type="dxa"/>
              <w:left w:w="140" w:type="dxa"/>
              <w:right w:w="140" w:type="dxa"/>
            </w:tcMar>
          </w:tcPr>
          <w:p>
            <w:r>
              <w:rPr>
                <w:sz w:val="19"/>
              </w:rPr>
              <w:t xml:space="preserve">Land surface conversion from open/vegetated terrain to built infrastructure.</w:t>
            </w:r>
          </w:p>
        </w:tc>
      </w:tr>
      <w:tr>
        <w:tc>
          <w:tcPr>
            <w:tcW w:w="1800" w:type="dxa"/>
            <w:shd w:val="clear" w:color="auto" w:fill="FFFFFF"/>
            <w:tcMar>
              <w:top w:w="100" w:type="dxa"/>
              <w:bottom w:w="100" w:type="dxa"/>
              <w:left w:w="140" w:type="dxa"/>
              <w:right w:w="140" w:type="dxa"/>
            </w:tcMar>
          </w:tcPr>
          <w:p>
            <w:r>
              <w:rPr>
                <w:sz w:val="19"/>
              </w:rPr>
              <w:t xml:space="preserve">Built-up Density (OSM)</w:t>
            </w:r>
          </w:p>
        </w:tc>
        <w:tc>
          <w:tcPr>
            <w:tcW w:w="1600" w:type="dxa"/>
            <w:shd w:val="clear" w:color="auto" w:fill="FFFFFF"/>
            <w:tcMar>
              <w:top w:w="100" w:type="dxa"/>
              <w:bottom w:w="100" w:type="dxa"/>
              <w:left w:w="140" w:type="dxa"/>
              <w:right w:w="140" w:type="dxa"/>
            </w:tcMar>
          </w:tcPr>
          <w:p>
            <w:r>
              <w:rPr>
                <w:sz w:val="19"/>
              </w:rPr>
              <w:t xml:space="preserve">0.005</w:t>
            </w:r>
          </w:p>
        </w:tc>
        <w:tc>
          <w:tcPr>
            <w:tcW w:w="1600" w:type="dxa"/>
            <w:shd w:val="clear" w:color="auto" w:fill="FFFFFF"/>
            <w:tcMar>
              <w:top w:w="100" w:type="dxa"/>
              <w:bottom w:w="100" w:type="dxa"/>
              <w:left w:w="140" w:type="dxa"/>
              <w:right w:w="140" w:type="dxa"/>
            </w:tcMar>
          </w:tcPr>
          <w:p>
            <w:r>
              <w:rPr>
                <w:sz w:val="19"/>
              </w:rPr>
              <w:t xml:space="preserve">0.024</w:t>
            </w:r>
          </w:p>
        </w:tc>
        <w:tc>
          <w:tcPr>
            <w:tcW w:w="1800" w:type="dxa"/>
            <w:shd w:val="clear" w:color="auto" w:fill="FFFFFF"/>
            <w:tcMar>
              <w:top w:w="100" w:type="dxa"/>
              <w:bottom w:w="100" w:type="dxa"/>
              <w:left w:w="140" w:type="dxa"/>
              <w:right w:w="140" w:type="dxa"/>
            </w:tcMar>
          </w:tcPr>
          <w:p>
            <w:r>
              <w:rPr>
                <w:sz w:val="19"/>
              </w:rPr>
              <w:t xml:space="preserve">+380% Structural Density</w:t>
            </w:r>
          </w:p>
        </w:tc>
        <w:tc>
          <w:tcPr>
            <w:tcW w:w="2600" w:type="dxa"/>
            <w:shd w:val="clear" w:color="auto" w:fill="FFFFFF"/>
            <w:tcMar>
              <w:top w:w="100" w:type="dxa"/>
              <w:bottom w:w="100" w:type="dxa"/>
              <w:left w:w="140" w:type="dxa"/>
              <w:right w:w="140" w:type="dxa"/>
            </w:tcMar>
          </w:tcPr>
          <w:p>
            <w:r>
              <w:rPr>
                <w:sz w:val="19"/>
              </w:rPr>
              <w:t xml:space="preserve">Expansion of heavy high-voltage sub-stations, generator pads, and facility halls.</w:t>
            </w:r>
          </w:p>
        </w:tc>
      </w:tr>
      <w:tr>
        <w:tc>
          <w:tcPr>
            <w:tcW w:w="1800" w:type="dxa"/>
            <w:shd w:val="clear" w:color="auto" w:fill="F8FAFC"/>
            <w:tcMar>
              <w:top w:w="100" w:type="dxa"/>
              <w:bottom w:w="100" w:type="dxa"/>
              <w:left w:w="140" w:type="dxa"/>
              <w:right w:w="140" w:type="dxa"/>
            </w:tcMar>
          </w:tcPr>
          <w:p>
            <w:r>
              <w:rPr>
                <w:sz w:val="19"/>
              </w:rPr>
              <w:t xml:space="preserve">Ambient Air Temp (ERA5)</w:t>
            </w:r>
          </w:p>
        </w:tc>
        <w:tc>
          <w:tcPr>
            <w:tcW w:w="1600" w:type="dxa"/>
            <w:shd w:val="clear" w:color="auto" w:fill="F8FAFC"/>
            <w:tcMar>
              <w:top w:w="100" w:type="dxa"/>
              <w:bottom w:w="100" w:type="dxa"/>
              <w:left w:w="140" w:type="dxa"/>
              <w:right w:w="140" w:type="dxa"/>
            </w:tcMar>
          </w:tcPr>
          <w:p>
            <w:r>
              <w:rPr>
                <w:sz w:val="19"/>
              </w:rPr>
              <w:t xml:space="preserve">30.8 °C</w:t>
            </w:r>
          </w:p>
        </w:tc>
        <w:tc>
          <w:tcPr>
            <w:tcW w:w="1600" w:type="dxa"/>
            <w:shd w:val="clear" w:color="auto" w:fill="F8FAFC"/>
            <w:tcMar>
              <w:top w:w="100" w:type="dxa"/>
              <w:bottom w:w="100" w:type="dxa"/>
              <w:left w:w="140" w:type="dxa"/>
              <w:right w:w="140" w:type="dxa"/>
            </w:tcMar>
          </w:tcPr>
          <w:p>
            <w:r>
              <w:rPr>
                <w:sz w:val="19"/>
              </w:rPr>
              <w:t xml:space="preserve">31.2 °C</w:t>
            </w:r>
          </w:p>
        </w:tc>
        <w:tc>
          <w:tcPr>
            <w:tcW w:w="1800" w:type="dxa"/>
            <w:shd w:val="clear" w:color="auto" w:fill="F8FAFC"/>
            <w:tcMar>
              <w:top w:w="100" w:type="dxa"/>
              <w:bottom w:w="100" w:type="dxa"/>
              <w:left w:w="140" w:type="dxa"/>
              <w:right w:w="140" w:type="dxa"/>
            </w:tcMar>
          </w:tcPr>
          <w:p>
            <w:r>
              <w:rPr>
                <w:sz w:val="19"/>
              </w:rPr>
              <w:t xml:space="preserve">+0.40 °C Regional Shift</w:t>
            </w:r>
          </w:p>
        </w:tc>
        <w:tc>
          <w:tcPr>
            <w:tcW w:w="2600" w:type="dxa"/>
            <w:shd w:val="clear" w:color="auto" w:fill="F8FAFC"/>
            <w:tcMar>
              <w:top w:w="100" w:type="dxa"/>
              <w:bottom w:w="100" w:type="dxa"/>
              <w:left w:w="140" w:type="dxa"/>
              <w:right w:w="140" w:type="dxa"/>
            </w:tcMar>
          </w:tcPr>
          <w:p>
            <w:r>
              <w:rPr>
                <w:sz w:val="19"/>
              </w:rPr>
              <w:t xml:space="preserve">Thermal anomaly exceeds background warming by +3.00 °C.</w:t>
            </w:r>
          </w:p>
        </w:tc>
      </w:tr>
    </w:tbl>
    <w:p>
      <w:r>
        <w:t xml:space="preserve"/>
      </w:r>
    </w:p>
    <w:p>
      <w:pPr>
        <w:pStyle w:val="Heading1"/>
      </w:pPr>
      <w:r>
        <w:t xml:space="preserve">6. Quality Assurance &amp; Verification</w:t>
      </w:r>
    </w:p>
    <w:p>
      <w:r>
        <w:t xml:space="preserve">All ingestion components and data normalization pipelines were verified using Python's `unittest` framework (`tests/test_ingestion_offline.py`).</w:t>
      </w:r>
    </w:p>
    <w:p>
      <w:pPr>
        <w:pStyle w:val="ListBullet"/>
      </w:pPr>
      <w:r>
        <w:rPr>
          <w:b/>
          <w:color w:val="1E40AF"/>
        </w:rPr>
        <w:t xml:space="preserve">• </w:t>
      </w:r>
      <w:r>
        <w:rPr>
          <w:b/>
          <w:color w:val="1E3A8A"/>
        </w:rPr>
        <w:t xml:space="preserve">Config Schema Validation: </w:t>
      </w:r>
      <w:r>
        <w:rPr>
          <w:color w:val="2B2B2B"/>
        </w:rPr>
        <w:t xml:space="preserve">Verifies cluster schemas, JSON structure, and coordinate validity for all 8 Indian facilities.</w:t>
      </w:r>
    </w:p>
    <w:p>
      <w:pPr>
        <w:pStyle w:val="ListBullet"/>
      </w:pPr>
      <w:r>
        <w:rPr>
          <w:b/>
          <w:color w:val="1E40AF"/>
        </w:rPr>
        <w:t xml:space="preserve">• </w:t>
      </w:r>
      <w:r>
        <w:rPr>
          <w:b/>
          <w:color w:val="1E3A8A"/>
        </w:rPr>
        <w:t xml:space="preserve">Metric-to-Degree Spatial Converter: </w:t>
      </w:r>
      <w:r>
        <w:rPr>
          <w:color w:val="2B2B2B"/>
        </w:rPr>
        <w:t xml:space="preserve">Validates distance-to-degree latitude/longitude spatial bounding conversions.</w:t>
      </w:r>
    </w:p>
    <w:p>
      <w:pPr>
        <w:pStyle w:val="ListBullet"/>
      </w:pPr>
      <w:r>
        <w:rPr>
          <w:b/>
          <w:color w:val="1E40AF"/>
        </w:rPr>
        <w:t xml:space="preserve">• </w:t>
      </w:r>
      <w:r>
        <w:rPr>
          <w:b/>
          <w:color w:val="1E3A8A"/>
        </w:rPr>
        <w:t xml:space="preserve">Offline Ingestion Tests: </w:t>
      </w:r>
      <w:r>
        <w:rPr>
          <w:color w:val="2B2B2B"/>
        </w:rPr>
        <w:t xml:space="preserve">Validates Landsat LST, Sentinel-2 (NDVI/NDWI/NDBI), ERA5-Land, and OSM extraction logic with automated fallback handling.</w:t>
      </w:r>
    </w:p>
    <w:p>
      <w:pPr>
        <w:pStyle w:val="ListBullet"/>
      </w:pPr>
      <w:r>
        <w:rPr>
          <w:b/>
          <w:color w:val="1E40AF"/>
        </w:rPr>
        <w:t xml:space="preserve">• </w:t>
      </w:r>
      <w:r>
        <w:rPr>
          <w:b/>
          <w:color w:val="1E3A8A"/>
        </w:rPr>
        <w:t xml:space="preserve">End-to-End Ingestion Integration: </w:t>
      </w:r>
      <w:r>
        <w:rPr>
          <w:color w:val="2B2B2B"/>
        </w:rPr>
        <w:t xml:space="preserve">Validates full consolidated record generation and CSV/JSON output schemas.</w:t>
      </w:r>
    </w:p>
    <w:p>
      <w:pPr>
        <w:pStyle w:val="Callout"/>
      </w:pPr>
      <w:r>
        <w:rPr>
          <w:b/>
          <w:color w:val="1E40AF"/>
        </w:rPr>
        <w:t xml:space="preserve">Test Status: </w:t>
      </w:r>
      <w:r>
        <w:rPr>
          <w:color w:val="10B981"/>
        </w:rPr>
        <w:t xml:space="preserve">7 of 7 unit tests passed in 0.022s with zero failures.</w:t>
      </w:r>
    </w:p>
    <w:p>
      <w:pPr>
        <w:pStyle w:val="Heading1"/>
      </w:pPr>
      <w:r>
        <w:t xml:space="preserve">7. Roadmap &amp; Upcoming Sprint Milestones</w:t>
      </w:r>
    </w:p>
    <w:p>
      <w:pPr>
        <w:pStyle w:val="ListBullet"/>
      </w:pPr>
      <w:r>
        <w:rPr>
          <w:b/>
          <w:color w:val="1E40AF"/>
        </w:rPr>
        <w:t xml:space="preserve">• </w:t>
      </w:r>
      <w:r>
        <w:rPr>
          <w:b/>
          <w:color w:val="1E3A8A"/>
        </w:rPr>
        <w:t xml:space="preserve">1. Composite Environmental Impact Index (EII): </w:t>
      </w:r>
      <w:r>
        <w:rPr>
          <w:color w:val="2B2B2B"/>
        </w:rPr>
        <w:t xml:space="preserve">Synthesize LST ΔT, NDVI loss, and water stress into a weighted score (0–100) benchmarked against facility MW load.</w:t>
      </w:r>
    </w:p>
    <w:p>
      <w:pPr>
        <w:pStyle w:val="ListBullet"/>
      </w:pPr>
      <w:r>
        <w:rPr>
          <w:b/>
          <w:color w:val="1E40AF"/>
        </w:rPr>
        <w:t xml:space="preserve">• </w:t>
      </w:r>
      <w:r>
        <w:rPr>
          <w:b/>
          <w:color w:val="1E3A8A"/>
        </w:rPr>
        <w:t xml:space="preserve">2. Cooling Topology Efficiency Regression: </w:t>
      </w:r>
      <w:r>
        <w:rPr>
          <w:color w:val="2B2B2B"/>
        </w:rPr>
        <w:t xml:space="preserve">Analyze thermal plume variances between air-cooled chillers vs. liquid cooling / direct evaporative setups.</w:t>
      </w:r>
    </w:p>
    <w:p>
      <w:pPr>
        <w:pStyle w:val="ListBullet"/>
      </w:pPr>
      <w:r>
        <w:rPr>
          <w:b/>
          <w:color w:val="1E40AF"/>
        </w:rPr>
        <w:t xml:space="preserve">• </w:t>
      </w:r>
      <w:r>
        <w:rPr>
          <w:b/>
          <w:color w:val="1E3A8A"/>
        </w:rPr>
        <w:t xml:space="preserve">3. Spatial Visualization &amp; Mapping: </w:t>
      </w:r>
      <w:r>
        <w:rPr>
          <w:color w:val="2B2B2B"/>
        </w:rPr>
        <w:t xml:space="preserve">Develop high-resolution GeoTIFF heatmap rendering and automated PDF/HTML dashboard report exports.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2B2B2B"/>
      </w:rPr>
    </w:rPrDefault>
    <w:pPrDefault>
      <w:pPr>
        <w:spacing w:line="276" w:lineRule="auto" w:after="160"/>
      </w:pPr>
    </w:pPrDefault>
  </w:docDefaults>
  <w:style w:type="paragraph" w:styleId="Normal" w:default="1">
    <w:name w:val="Normal"/>
  </w:style>
  <w:style w:type="paragraph" w:styleId="Title">
    <w:name w:val="Title"/>
    <w:rPr>
      <w:rFonts w:ascii="Calibri" w:hAnsi="Calibri"/>
      <w:b/>
      <w:sz w:val="48"/>
      <w:color w:val="1E3A8A"/>
    </w:rPr>
    <w:pPr>
      <w:spacing w:before="240" w:after="120"/>
    </w:pPr>
  </w:style>
  <w:style w:type="paragraph" w:styleId="Subtitle">
    <w:name w:val="Subtitle"/>
    <w:rPr>
      <w:rFonts w:ascii="Calibri" w:hAnsi="Calibri"/>
      <w:i/>
      <w:sz w:val="26"/>
      <w:color w:val="4B5563"/>
    </w:rPr>
    <w:pPr>
      <w:spacing w:after="280"/>
    </w:pPr>
  </w:style>
  <w:style w:type="paragraph" w:styleId="Heading1">
    <w:name w:val="heading 1"/>
    <w:rPr>
      <w:rFonts w:ascii="Calibri" w:hAnsi="Calibri"/>
      <w:b/>
      <w:sz w:val="32"/>
      <w:color w:val="1E40AF"/>
    </w:rPr>
    <w:pPr>
      <w:spacing w:before="360" w:after="140"/>
    </w:pPr>
  </w:style>
  <w:style w:type="paragraph" w:styleId="Heading2">
    <w:name w:val="heading 2"/>
    <w:rPr>
      <w:rFonts w:ascii="Calibri" w:hAnsi="Calibri"/>
      <w:b/>
      <w:sz w:val="26"/>
      <w:color w:val="1E3A8A"/>
    </w:rPr>
    <w:pPr>
      <w:spacing w:before="240" w:after="100"/>
    </w:pPr>
  </w:style>
  <w:style w:type="paragraph" w:styleId="Heading3">
    <w:name w:val="heading 3"/>
    <w:rPr>
      <w:rFonts w:ascii="Calibri" w:hAnsi="Calibri"/>
      <w:b/>
      <w:sz w:val="22"/>
      <w:color w:val="374151"/>
    </w:rPr>
    <w:pPr>
      <w:spacing w:before="160" w:after="80"/>
    </w:pPr>
  </w:style>
  <w:style w:type="paragraph" w:styleId="ListBullet">
    <w:name w:val="List Bullet"/>
    <w:pPr>
      <w:spacing w:before="40" w:after="40" w:line="240"/>
      <w:ind w:left="400" w:hanging="240"/>
    </w:pPr>
  </w:style>
  <w:style w:type="paragraph" w:styleId="Callout">
    <w:name w:val="Callout"/>
    <w:pPr>
      <w:pBdr>
        <w:left w:val="single" w:sz="24" w:space="12" w:color="3B82F6"/>
      </w:pBdr>
      <w:shd w:val="clear" w:color="auto" w:fill="F0F7FF"/>
      <w:spacing w:before="140" w:after="140"/>
      <w:ind w:left="240" w:right="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