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9EDC49" w14:textId="77777777" w:rsidR="008005DE" w:rsidRDefault="008005DE" w:rsidP="008005DE">
      <w:pPr>
        <w:jc w:val="center"/>
        <w:rPr>
          <w:rFonts w:ascii="Times New Roman" w:hAnsi="Times New Roman" w:cs="Times New Roman"/>
          <w:b/>
          <w:bCs/>
          <w:sz w:val="48"/>
          <w:szCs w:val="44"/>
        </w:rPr>
      </w:pPr>
      <w:r w:rsidRPr="008005DE">
        <w:rPr>
          <w:rFonts w:ascii="Times New Roman" w:hAnsi="Times New Roman" w:cs="Times New Roman"/>
          <w:b/>
          <w:bCs/>
          <w:sz w:val="48"/>
          <w:szCs w:val="44"/>
        </w:rPr>
        <w:t>Problem 1</w:t>
      </w:r>
    </w:p>
    <w:p w14:paraId="6F75BB3A" w14:textId="77777777" w:rsidR="008005DE" w:rsidRDefault="008005DE" w:rsidP="008005DE">
      <w:pPr>
        <w:rPr>
          <w:rFonts w:ascii="Times New Roman" w:hAnsi="Times New Roman" w:cs="Times New Roman"/>
          <w:sz w:val="48"/>
          <w:szCs w:val="44"/>
        </w:rPr>
      </w:pPr>
    </w:p>
    <w:p w14:paraId="129C90B1" w14:textId="70DB718C" w:rsidR="0074325D" w:rsidRDefault="008005DE" w:rsidP="008005DE">
      <w:pPr>
        <w:jc w:val="both"/>
        <w:rPr>
          <w:rFonts w:ascii="Times New Roman" w:hAnsi="Times New Roman" w:cs="Times New Roman"/>
          <w:sz w:val="24"/>
          <w:szCs w:val="22"/>
        </w:rPr>
      </w:pPr>
      <w:r w:rsidRPr="008005DE">
        <w:rPr>
          <w:rFonts w:ascii="Times New Roman" w:hAnsi="Times New Roman" w:cs="Times New Roman"/>
          <w:b/>
          <w:bCs/>
          <w:sz w:val="28"/>
          <w:szCs w:val="24"/>
        </w:rPr>
        <w:t>Problem Statement:-</w:t>
      </w:r>
      <w:r w:rsidRPr="008005DE">
        <w:rPr>
          <w:rFonts w:ascii="Times New Roman" w:hAnsi="Times New Roman" w:cs="Times New Roman"/>
          <w:sz w:val="24"/>
          <w:szCs w:val="22"/>
        </w:rPr>
        <w:t xml:space="preserve"> </w:t>
      </w:r>
      <w:r w:rsidR="003E0C19">
        <w:rPr>
          <w:rFonts w:ascii="Times New Roman" w:hAnsi="Times New Roman" w:cs="Times New Roman"/>
          <w:sz w:val="24"/>
          <w:szCs w:val="22"/>
        </w:rPr>
        <w:t xml:space="preserve"> </w:t>
      </w:r>
      <w:r w:rsidRPr="008005DE">
        <w:rPr>
          <w:rFonts w:ascii="Times New Roman" w:hAnsi="Times New Roman" w:cs="Times New Roman"/>
          <w:sz w:val="24"/>
          <w:szCs w:val="22"/>
        </w:rPr>
        <w:t>Aadhaar serves as a foundational digital identity system for residents of India. Ensuring timely and inclusive enrolment across all regions and age groups is critical for effective governance and service delivery. However, enrolment levels may vary significantly across states, districts, and demographic segments due to factors such as accessibility, awareness, and administrative capacity. Identifying these variations and gaps is essential to improve enrolment coverage and inclusiveness.</w:t>
      </w:r>
    </w:p>
    <w:p w14:paraId="1B678A14" w14:textId="77777777" w:rsidR="008005DE" w:rsidRDefault="008005DE" w:rsidP="008005DE">
      <w:pPr>
        <w:jc w:val="both"/>
        <w:rPr>
          <w:rFonts w:ascii="Times New Roman" w:hAnsi="Times New Roman" w:cs="Times New Roman"/>
          <w:sz w:val="24"/>
          <w:szCs w:val="22"/>
        </w:rPr>
      </w:pPr>
    </w:p>
    <w:p w14:paraId="6E28E872" w14:textId="475D3D4D" w:rsidR="008005DE" w:rsidRDefault="008005DE" w:rsidP="008005DE">
      <w:pPr>
        <w:jc w:val="both"/>
        <w:rPr>
          <w:rFonts w:ascii="Times New Roman" w:hAnsi="Times New Roman" w:cs="Times New Roman"/>
          <w:sz w:val="24"/>
          <w:szCs w:val="22"/>
        </w:rPr>
      </w:pPr>
      <w:r w:rsidRPr="008005DE">
        <w:rPr>
          <w:rFonts w:ascii="Times New Roman" w:hAnsi="Times New Roman" w:cs="Times New Roman"/>
          <w:b/>
          <w:bCs/>
          <w:sz w:val="28"/>
          <w:szCs w:val="24"/>
        </w:rPr>
        <w:t>Proposed Approach</w:t>
      </w:r>
      <w:r>
        <w:rPr>
          <w:rFonts w:ascii="Times New Roman" w:hAnsi="Times New Roman" w:cs="Times New Roman"/>
          <w:b/>
          <w:bCs/>
          <w:sz w:val="28"/>
          <w:szCs w:val="24"/>
        </w:rPr>
        <w:t xml:space="preserve">:- </w:t>
      </w:r>
      <w:r w:rsidRPr="008005DE">
        <w:rPr>
          <w:rFonts w:ascii="Times New Roman" w:hAnsi="Times New Roman" w:cs="Times New Roman"/>
          <w:sz w:val="24"/>
          <w:szCs w:val="22"/>
        </w:rPr>
        <w:t>This project adopts a data driven analytical approach using the UIDAI Aadhaar Enrolment dataset to examine temporal, geographic, and age wise enrolment patterns. Exploratory data analysis and visualisation techniques are applied to identify trends, disparities, and anomalies. The insights derived aim to support better planning of enrolment initiatives and targeted interventions in under enrolled regions and population groups.</w:t>
      </w:r>
    </w:p>
    <w:p w14:paraId="326A4CAF" w14:textId="77777777" w:rsidR="003E0C19" w:rsidRDefault="003E0C19" w:rsidP="008005DE">
      <w:pPr>
        <w:jc w:val="both"/>
        <w:rPr>
          <w:rFonts w:ascii="Times New Roman" w:hAnsi="Times New Roman" w:cs="Times New Roman"/>
          <w:sz w:val="24"/>
          <w:szCs w:val="22"/>
        </w:rPr>
      </w:pPr>
    </w:p>
    <w:p w14:paraId="330CA560" w14:textId="2AE67505" w:rsidR="003E0C19" w:rsidRPr="009C6187" w:rsidRDefault="003E0C19" w:rsidP="008005DE">
      <w:pPr>
        <w:jc w:val="both"/>
        <w:rPr>
          <w:rFonts w:ascii="Times New Roman" w:hAnsi="Times New Roman" w:cs="Times New Roman"/>
          <w:b/>
          <w:bCs/>
          <w:sz w:val="28"/>
          <w:szCs w:val="24"/>
        </w:rPr>
      </w:pPr>
      <w:r w:rsidRPr="009C6187">
        <w:rPr>
          <w:rFonts w:ascii="Times New Roman" w:hAnsi="Times New Roman" w:cs="Times New Roman"/>
          <w:b/>
          <w:bCs/>
          <w:sz w:val="28"/>
          <w:szCs w:val="24"/>
        </w:rPr>
        <w:t>Dataset Used:-</w:t>
      </w:r>
      <w:r w:rsidR="00391C17" w:rsidRPr="009C6187">
        <w:rPr>
          <w:rFonts w:ascii="Times New Roman" w:hAnsi="Times New Roman" w:cs="Times New Roman"/>
          <w:b/>
          <w:bCs/>
          <w:sz w:val="28"/>
          <w:szCs w:val="24"/>
        </w:rPr>
        <w:t xml:space="preserve"> </w:t>
      </w:r>
      <w:r w:rsidR="00391C17" w:rsidRPr="009C6187">
        <w:rPr>
          <w:rFonts w:ascii="Times New Roman" w:hAnsi="Times New Roman" w:cs="Times New Roman"/>
          <w:sz w:val="28"/>
          <w:szCs w:val="24"/>
        </w:rPr>
        <w:t>Aadhaar Enrol</w:t>
      </w:r>
      <w:r w:rsidRPr="009C6187">
        <w:rPr>
          <w:rFonts w:ascii="Times New Roman" w:hAnsi="Times New Roman" w:cs="Times New Roman"/>
          <w:sz w:val="28"/>
          <w:szCs w:val="24"/>
        </w:rPr>
        <w:t>ment Dataset</w:t>
      </w:r>
    </w:p>
    <w:p w14:paraId="07311883" w14:textId="2E9A7BC1" w:rsidR="00EE7223" w:rsidRDefault="003E0C19" w:rsidP="008005DE">
      <w:pPr>
        <w:jc w:val="both"/>
        <w:rPr>
          <w:rFonts w:ascii="Times New Roman" w:hAnsi="Times New Roman" w:cs="Times New Roman"/>
          <w:sz w:val="24"/>
          <w:szCs w:val="22"/>
        </w:rPr>
      </w:pPr>
      <w:r w:rsidRPr="00B32C47">
        <w:rPr>
          <w:rFonts w:ascii="Times New Roman" w:hAnsi="Times New Roman" w:cs="Times New Roman"/>
          <w:b/>
          <w:bCs/>
          <w:sz w:val="24"/>
          <w:szCs w:val="22"/>
        </w:rPr>
        <w:t>Dataset Description</w:t>
      </w:r>
      <w:r w:rsidR="00042EEB" w:rsidRPr="00B32C47">
        <w:rPr>
          <w:rFonts w:ascii="Times New Roman" w:hAnsi="Times New Roman" w:cs="Times New Roman"/>
          <w:b/>
          <w:bCs/>
          <w:sz w:val="24"/>
          <w:szCs w:val="22"/>
        </w:rPr>
        <w:t xml:space="preserve"> </w:t>
      </w:r>
      <w:r w:rsidRPr="00042EEB">
        <w:rPr>
          <w:rFonts w:ascii="Times New Roman" w:hAnsi="Times New Roman" w:cs="Times New Roman"/>
          <w:b/>
          <w:bCs/>
          <w:sz w:val="28"/>
          <w:szCs w:val="24"/>
        </w:rPr>
        <w:t>-</w:t>
      </w:r>
      <w:r>
        <w:rPr>
          <w:rFonts w:ascii="Times New Roman" w:hAnsi="Times New Roman" w:cs="Times New Roman"/>
          <w:sz w:val="28"/>
          <w:szCs w:val="24"/>
        </w:rPr>
        <w:t xml:space="preserve"> </w:t>
      </w:r>
      <w:r w:rsidR="00042EEB">
        <w:rPr>
          <w:rFonts w:ascii="Times New Roman" w:hAnsi="Times New Roman" w:cs="Times New Roman"/>
          <w:sz w:val="24"/>
          <w:szCs w:val="22"/>
        </w:rPr>
        <w:t>This</w:t>
      </w:r>
      <w:r w:rsidR="00042EEB" w:rsidRPr="00042EEB">
        <w:rPr>
          <w:rFonts w:ascii="Times New Roman" w:hAnsi="Times New Roman" w:cs="Times New Roman"/>
          <w:sz w:val="24"/>
          <w:szCs w:val="22"/>
        </w:rPr>
        <w:t xml:space="preserve"> analysis uses the </w:t>
      </w:r>
      <w:r w:rsidR="00391C17">
        <w:rPr>
          <w:rStyle w:val="Strong"/>
          <w:rFonts w:ascii="Times New Roman" w:hAnsi="Times New Roman" w:cs="Times New Roman"/>
          <w:b w:val="0"/>
          <w:bCs w:val="0"/>
          <w:sz w:val="24"/>
          <w:szCs w:val="22"/>
        </w:rPr>
        <w:t>Aadhaar Enrol</w:t>
      </w:r>
      <w:r w:rsidR="00042EEB" w:rsidRPr="00042EEB">
        <w:rPr>
          <w:rStyle w:val="Strong"/>
          <w:rFonts w:ascii="Times New Roman" w:hAnsi="Times New Roman" w:cs="Times New Roman"/>
          <w:b w:val="0"/>
          <w:bCs w:val="0"/>
          <w:sz w:val="24"/>
          <w:szCs w:val="22"/>
        </w:rPr>
        <w:t>ment dataset</w:t>
      </w:r>
      <w:r w:rsidR="00042EEB" w:rsidRPr="00042EEB">
        <w:rPr>
          <w:rFonts w:ascii="Times New Roman" w:hAnsi="Times New Roman" w:cs="Times New Roman"/>
          <w:sz w:val="24"/>
          <w:szCs w:val="22"/>
        </w:rPr>
        <w:t xml:space="preserve"> released by the </w:t>
      </w:r>
      <w:r w:rsidR="00042EEB" w:rsidRPr="00042EEB">
        <w:rPr>
          <w:rStyle w:val="Strong"/>
          <w:rFonts w:ascii="Times New Roman" w:hAnsi="Times New Roman" w:cs="Times New Roman"/>
          <w:b w:val="0"/>
          <w:bCs w:val="0"/>
          <w:sz w:val="24"/>
          <w:szCs w:val="22"/>
        </w:rPr>
        <w:t>Unique Identification Authority of India (UIDAI)</w:t>
      </w:r>
      <w:r w:rsidR="00042EEB" w:rsidRPr="00042EEB">
        <w:rPr>
          <w:rFonts w:ascii="Times New Roman" w:hAnsi="Times New Roman" w:cs="Times New Roman"/>
          <w:sz w:val="24"/>
          <w:szCs w:val="22"/>
        </w:rPr>
        <w:t xml:space="preserve">. </w:t>
      </w:r>
      <w:r w:rsidR="00EE7223">
        <w:rPr>
          <w:rFonts w:ascii="Times New Roman" w:hAnsi="Times New Roman" w:cs="Times New Roman"/>
          <w:sz w:val="24"/>
          <w:szCs w:val="22"/>
        </w:rPr>
        <w:t>The Download dataset consist of three different CSV files. It</w:t>
      </w:r>
      <w:r w:rsidR="00042EEB" w:rsidRPr="00042EEB">
        <w:rPr>
          <w:rFonts w:ascii="Times New Roman" w:hAnsi="Times New Roman" w:cs="Times New Roman"/>
          <w:sz w:val="24"/>
          <w:szCs w:val="22"/>
        </w:rPr>
        <w:t xml:space="preserve"> contains aggregated enrolment information across multiple geographic and demographic levels, enabling large scale descriptive and comparative analysis.</w:t>
      </w:r>
      <w:r w:rsidR="00042EEB">
        <w:rPr>
          <w:rFonts w:ascii="Times New Roman" w:hAnsi="Times New Roman" w:cs="Times New Roman"/>
          <w:sz w:val="24"/>
          <w:szCs w:val="22"/>
        </w:rPr>
        <w:t xml:space="preserve"> It con</w:t>
      </w:r>
      <w:r w:rsidR="00391C17">
        <w:rPr>
          <w:rFonts w:ascii="Times New Roman" w:hAnsi="Times New Roman" w:cs="Times New Roman"/>
          <w:sz w:val="24"/>
          <w:szCs w:val="22"/>
        </w:rPr>
        <w:t>tains the no. of enrolment for A</w:t>
      </w:r>
      <w:r w:rsidR="00042EEB">
        <w:rPr>
          <w:rFonts w:ascii="Times New Roman" w:hAnsi="Times New Roman" w:cs="Times New Roman"/>
          <w:sz w:val="24"/>
          <w:szCs w:val="22"/>
        </w:rPr>
        <w:t>adha</w:t>
      </w:r>
      <w:r w:rsidR="00391C17">
        <w:rPr>
          <w:rFonts w:ascii="Times New Roman" w:hAnsi="Times New Roman" w:cs="Times New Roman"/>
          <w:sz w:val="24"/>
          <w:szCs w:val="22"/>
        </w:rPr>
        <w:t>a</w:t>
      </w:r>
      <w:r w:rsidR="00042EEB">
        <w:rPr>
          <w:rFonts w:ascii="Times New Roman" w:hAnsi="Times New Roman" w:cs="Times New Roman"/>
          <w:sz w:val="24"/>
          <w:szCs w:val="22"/>
        </w:rPr>
        <w:t>r cards by age groups</w:t>
      </w:r>
      <w:r w:rsidR="00EE7223">
        <w:rPr>
          <w:rFonts w:ascii="Times New Roman" w:hAnsi="Times New Roman" w:cs="Times New Roman"/>
          <w:sz w:val="24"/>
          <w:szCs w:val="22"/>
        </w:rPr>
        <w:t xml:space="preserve"> in particular date</w:t>
      </w:r>
      <w:r w:rsidR="00042EEB">
        <w:rPr>
          <w:rFonts w:ascii="Times New Roman" w:hAnsi="Times New Roman" w:cs="Times New Roman"/>
          <w:sz w:val="24"/>
          <w:szCs w:val="22"/>
        </w:rPr>
        <w:t>. There are 3 types of age groups 0-5, 5-17 and greater than 18 along with the enrolment date,</w:t>
      </w:r>
      <w:r w:rsidR="00EE7223">
        <w:rPr>
          <w:rFonts w:ascii="Times New Roman" w:hAnsi="Times New Roman" w:cs="Times New Roman"/>
          <w:sz w:val="24"/>
          <w:szCs w:val="22"/>
        </w:rPr>
        <w:t xml:space="preserve"> </w:t>
      </w:r>
      <w:r w:rsidR="00042EEB">
        <w:rPr>
          <w:rFonts w:ascii="Times New Roman" w:hAnsi="Times New Roman" w:cs="Times New Roman"/>
          <w:sz w:val="24"/>
          <w:szCs w:val="22"/>
        </w:rPr>
        <w:t>st</w:t>
      </w:r>
      <w:r w:rsidR="00EE7223">
        <w:rPr>
          <w:rFonts w:ascii="Times New Roman" w:hAnsi="Times New Roman" w:cs="Times New Roman"/>
          <w:sz w:val="24"/>
          <w:szCs w:val="22"/>
        </w:rPr>
        <w:t>ate, district, and pin</w:t>
      </w:r>
      <w:r w:rsidR="00391C17">
        <w:rPr>
          <w:rFonts w:ascii="Times New Roman" w:hAnsi="Times New Roman" w:cs="Times New Roman"/>
          <w:sz w:val="24"/>
          <w:szCs w:val="22"/>
        </w:rPr>
        <w:t>-</w:t>
      </w:r>
      <w:r w:rsidR="00EE7223">
        <w:rPr>
          <w:rFonts w:ascii="Times New Roman" w:hAnsi="Times New Roman" w:cs="Times New Roman"/>
          <w:sz w:val="24"/>
          <w:szCs w:val="22"/>
        </w:rPr>
        <w:t>code.</w:t>
      </w:r>
    </w:p>
    <w:p w14:paraId="01861BC1" w14:textId="77777777" w:rsidR="00EE7223" w:rsidRDefault="00D92419" w:rsidP="008005DE">
      <w:pPr>
        <w:jc w:val="both"/>
        <w:rPr>
          <w:rFonts w:ascii="Times New Roman" w:hAnsi="Times New Roman" w:cs="Times New Roman"/>
          <w:sz w:val="24"/>
          <w:szCs w:val="22"/>
        </w:rPr>
      </w:pPr>
      <w:r>
        <w:rPr>
          <w:rFonts w:ascii="Times New Roman" w:hAnsi="Times New Roman" w:cs="Times New Roman"/>
          <w:sz w:val="24"/>
          <w:szCs w:val="22"/>
        </w:rPr>
        <w:t>The dataset consist following columns:-</w:t>
      </w:r>
    </w:p>
    <w:p w14:paraId="10E37D81" w14:textId="77777777" w:rsidR="00042EEB" w:rsidRPr="008630E5" w:rsidRDefault="00042EEB" w:rsidP="00042EEB">
      <w:pPr>
        <w:pStyle w:val="ListParagraph"/>
        <w:numPr>
          <w:ilvl w:val="0"/>
          <w:numId w:val="1"/>
        </w:numPr>
        <w:jc w:val="both"/>
        <w:rPr>
          <w:rFonts w:ascii="Times New Roman" w:hAnsi="Times New Roman" w:cs="Times New Roman"/>
          <w:sz w:val="24"/>
          <w:szCs w:val="22"/>
        </w:rPr>
      </w:pPr>
      <w:r w:rsidRPr="008630E5">
        <w:rPr>
          <w:rFonts w:ascii="Times New Roman" w:hAnsi="Times New Roman" w:cs="Times New Roman"/>
          <w:sz w:val="24"/>
          <w:szCs w:val="22"/>
        </w:rPr>
        <w:t>Date of enrolment</w:t>
      </w:r>
    </w:p>
    <w:p w14:paraId="02526ECC" w14:textId="77777777" w:rsidR="00042EEB" w:rsidRPr="008630E5" w:rsidRDefault="00042EEB" w:rsidP="00042EEB">
      <w:pPr>
        <w:pStyle w:val="ListParagraph"/>
        <w:numPr>
          <w:ilvl w:val="0"/>
          <w:numId w:val="1"/>
        </w:numPr>
        <w:jc w:val="both"/>
        <w:rPr>
          <w:rFonts w:ascii="Times New Roman" w:hAnsi="Times New Roman" w:cs="Times New Roman"/>
          <w:sz w:val="24"/>
          <w:szCs w:val="22"/>
        </w:rPr>
      </w:pPr>
      <w:r w:rsidRPr="008630E5">
        <w:rPr>
          <w:rFonts w:ascii="Times New Roman" w:hAnsi="Times New Roman" w:cs="Times New Roman"/>
          <w:sz w:val="24"/>
          <w:szCs w:val="22"/>
        </w:rPr>
        <w:t>State</w:t>
      </w:r>
    </w:p>
    <w:p w14:paraId="2F71382D" w14:textId="77777777" w:rsidR="00042EEB" w:rsidRPr="008630E5" w:rsidRDefault="00042EEB" w:rsidP="00042EEB">
      <w:pPr>
        <w:pStyle w:val="ListParagraph"/>
        <w:numPr>
          <w:ilvl w:val="0"/>
          <w:numId w:val="1"/>
        </w:numPr>
        <w:jc w:val="both"/>
        <w:rPr>
          <w:rFonts w:ascii="Times New Roman" w:hAnsi="Times New Roman" w:cs="Times New Roman"/>
          <w:sz w:val="24"/>
          <w:szCs w:val="22"/>
        </w:rPr>
      </w:pPr>
      <w:r w:rsidRPr="008630E5">
        <w:rPr>
          <w:rFonts w:ascii="Times New Roman" w:hAnsi="Times New Roman" w:cs="Times New Roman"/>
          <w:sz w:val="24"/>
          <w:szCs w:val="22"/>
        </w:rPr>
        <w:t>District</w:t>
      </w:r>
    </w:p>
    <w:p w14:paraId="2584F10D" w14:textId="77777777" w:rsidR="00042EEB" w:rsidRPr="008630E5" w:rsidRDefault="00042EEB" w:rsidP="00042EEB">
      <w:pPr>
        <w:pStyle w:val="ListParagraph"/>
        <w:numPr>
          <w:ilvl w:val="0"/>
          <w:numId w:val="1"/>
        </w:numPr>
        <w:jc w:val="both"/>
        <w:rPr>
          <w:rFonts w:ascii="Times New Roman" w:hAnsi="Times New Roman" w:cs="Times New Roman"/>
          <w:sz w:val="24"/>
          <w:szCs w:val="22"/>
        </w:rPr>
      </w:pPr>
      <w:r w:rsidRPr="008630E5">
        <w:rPr>
          <w:rFonts w:ascii="Times New Roman" w:hAnsi="Times New Roman" w:cs="Times New Roman"/>
          <w:sz w:val="24"/>
          <w:szCs w:val="22"/>
        </w:rPr>
        <w:t>Pincode</w:t>
      </w:r>
    </w:p>
    <w:p w14:paraId="7820589F" w14:textId="77777777" w:rsidR="00042EEB" w:rsidRPr="008630E5" w:rsidRDefault="00042EEB" w:rsidP="00042EEB">
      <w:pPr>
        <w:pStyle w:val="ListParagraph"/>
        <w:numPr>
          <w:ilvl w:val="0"/>
          <w:numId w:val="1"/>
        </w:numPr>
        <w:jc w:val="both"/>
        <w:rPr>
          <w:rFonts w:ascii="Times New Roman" w:hAnsi="Times New Roman" w:cs="Times New Roman"/>
          <w:sz w:val="24"/>
          <w:szCs w:val="22"/>
        </w:rPr>
      </w:pPr>
      <w:r w:rsidRPr="008630E5">
        <w:rPr>
          <w:rFonts w:ascii="Times New Roman" w:hAnsi="Times New Roman" w:cs="Times New Roman"/>
          <w:sz w:val="24"/>
          <w:szCs w:val="22"/>
        </w:rPr>
        <w:t>Age Categories</w:t>
      </w:r>
    </w:p>
    <w:p w14:paraId="0BF4CC9B" w14:textId="77777777" w:rsidR="00042EEB" w:rsidRPr="008630E5" w:rsidRDefault="00042EEB" w:rsidP="00042EEB">
      <w:pPr>
        <w:pStyle w:val="ListParagraph"/>
        <w:numPr>
          <w:ilvl w:val="2"/>
          <w:numId w:val="1"/>
        </w:numPr>
        <w:ind w:left="1276"/>
        <w:jc w:val="both"/>
        <w:rPr>
          <w:rFonts w:ascii="Times New Roman" w:hAnsi="Times New Roman" w:cs="Times New Roman"/>
          <w:sz w:val="24"/>
          <w:szCs w:val="22"/>
        </w:rPr>
      </w:pPr>
      <w:r w:rsidRPr="008630E5">
        <w:rPr>
          <w:rFonts w:ascii="Times New Roman" w:hAnsi="Times New Roman" w:cs="Times New Roman"/>
          <w:sz w:val="24"/>
          <w:szCs w:val="22"/>
        </w:rPr>
        <w:t>Age group 0-5</w:t>
      </w:r>
    </w:p>
    <w:p w14:paraId="495A0357" w14:textId="77777777" w:rsidR="00042EEB" w:rsidRPr="008630E5" w:rsidRDefault="00042EEB" w:rsidP="00042EEB">
      <w:pPr>
        <w:pStyle w:val="ListParagraph"/>
        <w:numPr>
          <w:ilvl w:val="2"/>
          <w:numId w:val="1"/>
        </w:numPr>
        <w:ind w:left="1276"/>
        <w:jc w:val="both"/>
        <w:rPr>
          <w:rFonts w:ascii="Times New Roman" w:hAnsi="Times New Roman" w:cs="Times New Roman"/>
          <w:sz w:val="24"/>
          <w:szCs w:val="22"/>
        </w:rPr>
      </w:pPr>
      <w:r w:rsidRPr="008630E5">
        <w:rPr>
          <w:rFonts w:ascii="Times New Roman" w:hAnsi="Times New Roman" w:cs="Times New Roman"/>
          <w:sz w:val="24"/>
          <w:szCs w:val="22"/>
        </w:rPr>
        <w:t>Age group 5-17</w:t>
      </w:r>
    </w:p>
    <w:p w14:paraId="1D3F00D1" w14:textId="77777777" w:rsidR="00042EEB" w:rsidRPr="008630E5" w:rsidRDefault="00042EEB" w:rsidP="00042EEB">
      <w:pPr>
        <w:pStyle w:val="ListParagraph"/>
        <w:numPr>
          <w:ilvl w:val="2"/>
          <w:numId w:val="1"/>
        </w:numPr>
        <w:ind w:left="1276"/>
        <w:jc w:val="both"/>
        <w:rPr>
          <w:rFonts w:ascii="Times New Roman" w:hAnsi="Times New Roman" w:cs="Times New Roman"/>
          <w:sz w:val="24"/>
          <w:szCs w:val="22"/>
        </w:rPr>
      </w:pPr>
      <w:r w:rsidRPr="008630E5">
        <w:rPr>
          <w:rFonts w:ascii="Times New Roman" w:hAnsi="Times New Roman" w:cs="Times New Roman"/>
          <w:sz w:val="24"/>
          <w:szCs w:val="22"/>
        </w:rPr>
        <w:t>Age group greater than 18</w:t>
      </w:r>
    </w:p>
    <w:p w14:paraId="150F0E19" w14:textId="77777777" w:rsidR="00EE7223" w:rsidRDefault="00EE7223" w:rsidP="00EE7223">
      <w:pPr>
        <w:jc w:val="both"/>
        <w:rPr>
          <w:rFonts w:ascii="Times New Roman" w:hAnsi="Times New Roman" w:cs="Times New Roman"/>
          <w:b/>
          <w:bCs/>
          <w:sz w:val="32"/>
          <w:szCs w:val="28"/>
        </w:rPr>
      </w:pPr>
      <w:r>
        <w:rPr>
          <w:rFonts w:ascii="Times New Roman" w:hAnsi="Times New Roman" w:cs="Times New Roman"/>
          <w:b/>
          <w:bCs/>
          <w:sz w:val="32"/>
          <w:szCs w:val="28"/>
        </w:rPr>
        <w:t>Methodology</w:t>
      </w:r>
    </w:p>
    <w:p w14:paraId="7D9C8316" w14:textId="7F29D258" w:rsidR="00EE7223" w:rsidRDefault="009372A5" w:rsidP="00EE7223">
      <w:pPr>
        <w:jc w:val="both"/>
        <w:rPr>
          <w:rFonts w:ascii="Times New Roman" w:hAnsi="Times New Roman" w:cs="Times New Roman"/>
          <w:sz w:val="24"/>
          <w:szCs w:val="22"/>
        </w:rPr>
      </w:pPr>
      <w:r>
        <w:rPr>
          <w:rFonts w:ascii="Times New Roman" w:hAnsi="Times New Roman" w:cs="Times New Roman"/>
          <w:sz w:val="24"/>
          <w:szCs w:val="22"/>
        </w:rPr>
        <w:t>This</w:t>
      </w:r>
      <w:r w:rsidRPr="009372A5">
        <w:rPr>
          <w:rFonts w:ascii="Times New Roman" w:hAnsi="Times New Roman" w:cs="Times New Roman"/>
          <w:sz w:val="24"/>
          <w:szCs w:val="22"/>
        </w:rPr>
        <w:t xml:space="preserve"> section contains the </w:t>
      </w:r>
      <w:r>
        <w:rPr>
          <w:rFonts w:ascii="Times New Roman" w:hAnsi="Times New Roman" w:cs="Times New Roman"/>
          <w:sz w:val="24"/>
          <w:szCs w:val="22"/>
        </w:rPr>
        <w:t>methodology for this project consisting data cleaning, data transformation, data pre-processing and tools and technology.</w:t>
      </w:r>
    </w:p>
    <w:p w14:paraId="05D3ACD6" w14:textId="0BF80209" w:rsidR="009372A5" w:rsidRDefault="009372A5" w:rsidP="00705D9A">
      <w:pPr>
        <w:pStyle w:val="ListParagraph"/>
        <w:numPr>
          <w:ilvl w:val="0"/>
          <w:numId w:val="3"/>
        </w:numPr>
        <w:jc w:val="both"/>
        <w:rPr>
          <w:rFonts w:ascii="Times New Roman" w:hAnsi="Times New Roman" w:cs="Times New Roman"/>
          <w:b/>
          <w:bCs/>
          <w:sz w:val="24"/>
          <w:szCs w:val="22"/>
        </w:rPr>
      </w:pPr>
      <w:r w:rsidRPr="00705D9A">
        <w:rPr>
          <w:rFonts w:ascii="Times New Roman" w:hAnsi="Times New Roman" w:cs="Times New Roman"/>
          <w:b/>
          <w:bCs/>
          <w:sz w:val="24"/>
          <w:szCs w:val="22"/>
        </w:rPr>
        <w:t>Data Transformation</w:t>
      </w:r>
      <w:r w:rsidR="00342BBE" w:rsidRPr="00705D9A">
        <w:rPr>
          <w:rFonts w:ascii="Times New Roman" w:hAnsi="Times New Roman" w:cs="Times New Roman"/>
          <w:b/>
          <w:bCs/>
          <w:sz w:val="24"/>
          <w:szCs w:val="22"/>
        </w:rPr>
        <w:t xml:space="preserve"> and preparation</w:t>
      </w:r>
    </w:p>
    <w:p w14:paraId="54340EEA" w14:textId="0A7CC808" w:rsidR="00B064C2" w:rsidRDefault="009372A5" w:rsidP="009372A5">
      <w:pPr>
        <w:pStyle w:val="ListParagraph"/>
        <w:numPr>
          <w:ilvl w:val="0"/>
          <w:numId w:val="2"/>
        </w:numPr>
        <w:jc w:val="both"/>
        <w:rPr>
          <w:rFonts w:ascii="Times New Roman" w:hAnsi="Times New Roman" w:cs="Times New Roman"/>
          <w:sz w:val="24"/>
          <w:szCs w:val="22"/>
        </w:rPr>
      </w:pPr>
      <w:r w:rsidRPr="006F1C48">
        <w:rPr>
          <w:rFonts w:ascii="Times New Roman" w:hAnsi="Times New Roman" w:cs="Times New Roman"/>
          <w:b/>
          <w:bCs/>
          <w:sz w:val="24"/>
          <w:szCs w:val="22"/>
        </w:rPr>
        <w:t>Data Merging</w:t>
      </w:r>
    </w:p>
    <w:p w14:paraId="3731177C" w14:textId="77777777" w:rsidR="00342BBE" w:rsidRDefault="009372A5" w:rsidP="00342BBE">
      <w:pPr>
        <w:pStyle w:val="ListParagraph"/>
        <w:jc w:val="both"/>
        <w:rPr>
          <w:rFonts w:ascii="Times New Roman" w:hAnsi="Times New Roman" w:cs="Times New Roman"/>
          <w:sz w:val="24"/>
          <w:szCs w:val="22"/>
        </w:rPr>
      </w:pPr>
      <w:r>
        <w:rPr>
          <w:rFonts w:ascii="Times New Roman" w:hAnsi="Times New Roman" w:cs="Times New Roman"/>
          <w:sz w:val="24"/>
          <w:szCs w:val="22"/>
        </w:rPr>
        <w:lastRenderedPageBreak/>
        <w:t>The dataset downloaded from UIDAI is contains three different CS</w:t>
      </w:r>
      <w:r w:rsidR="00B064C2">
        <w:rPr>
          <w:rFonts w:ascii="Times New Roman" w:hAnsi="Times New Roman" w:cs="Times New Roman"/>
          <w:sz w:val="24"/>
          <w:szCs w:val="22"/>
        </w:rPr>
        <w:t>V files, i</w:t>
      </w:r>
      <w:r>
        <w:rPr>
          <w:rFonts w:ascii="Times New Roman" w:hAnsi="Times New Roman" w:cs="Times New Roman"/>
          <w:sz w:val="24"/>
          <w:szCs w:val="22"/>
        </w:rPr>
        <w:t xml:space="preserve"> merge all the three files into one single file for better calculation and understanding. It’s very important to</w:t>
      </w:r>
      <w:r w:rsidR="00B064C2">
        <w:rPr>
          <w:rFonts w:ascii="Times New Roman" w:hAnsi="Times New Roman" w:cs="Times New Roman"/>
          <w:sz w:val="24"/>
          <w:szCs w:val="22"/>
        </w:rPr>
        <w:t xml:space="preserve"> merge</w:t>
      </w:r>
      <w:r>
        <w:rPr>
          <w:rFonts w:ascii="Times New Roman" w:hAnsi="Times New Roman" w:cs="Times New Roman"/>
          <w:sz w:val="24"/>
          <w:szCs w:val="22"/>
        </w:rPr>
        <w:t>, different file will lead to incorrectness and its difficult to process with incomplete data or individual separate file</w:t>
      </w:r>
      <w:r w:rsidR="00B064C2">
        <w:rPr>
          <w:rFonts w:ascii="Times New Roman" w:hAnsi="Times New Roman" w:cs="Times New Roman"/>
          <w:sz w:val="24"/>
          <w:szCs w:val="22"/>
        </w:rPr>
        <w:t>.</w:t>
      </w:r>
    </w:p>
    <w:p w14:paraId="38183729" w14:textId="63791540" w:rsidR="00B064C2" w:rsidRPr="00342BBE" w:rsidRDefault="00B064C2" w:rsidP="00342BBE">
      <w:pPr>
        <w:pStyle w:val="ListParagraph"/>
        <w:jc w:val="both"/>
        <w:rPr>
          <w:rFonts w:ascii="Times New Roman" w:hAnsi="Times New Roman" w:cs="Times New Roman"/>
          <w:sz w:val="24"/>
          <w:szCs w:val="22"/>
        </w:rPr>
      </w:pPr>
      <w:r>
        <w:rPr>
          <w:noProof/>
          <w:lang w:eastAsia="en-IN"/>
        </w:rPr>
        <mc:AlternateContent>
          <mc:Choice Requires="wps">
            <w:drawing>
              <wp:anchor distT="0" distB="0" distL="114300" distR="114300" simplePos="0" relativeHeight="251659264" behindDoc="0" locked="0" layoutInCell="1" allowOverlap="1" wp14:anchorId="5A66F489" wp14:editId="19AA66D3">
                <wp:simplePos x="0" y="0"/>
                <wp:positionH relativeFrom="column">
                  <wp:posOffset>3368040</wp:posOffset>
                </wp:positionH>
                <wp:positionV relativeFrom="paragraph">
                  <wp:posOffset>144145</wp:posOffset>
                </wp:positionV>
                <wp:extent cx="457200" cy="685800"/>
                <wp:effectExtent l="0" t="0" r="38100" b="19050"/>
                <wp:wrapNone/>
                <wp:docPr id="1" name="Right Brace 1"/>
                <wp:cNvGraphicFramePr/>
                <a:graphic xmlns:a="http://schemas.openxmlformats.org/drawingml/2006/main">
                  <a:graphicData uri="http://schemas.microsoft.com/office/word/2010/wordprocessingShape">
                    <wps:wsp>
                      <wps:cNvSpPr/>
                      <wps:spPr>
                        <a:xfrm>
                          <a:off x="0" y="0"/>
                          <a:ext cx="457200" cy="6858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3B237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65.2pt;margin-top:11.35pt;width:36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" adj="1200" strokecolor="#4472c4 [3204]" strokeweight=".5pt">
                <v:stroke joinstyle="miter"/>
              </v:shape>
            </w:pict>
          </mc:Fallback>
        </mc:AlternateContent>
      </w:r>
    </w:p>
    <w:p w14:paraId="4BC7E71E" w14:textId="70B4FAEB" w:rsidR="00B064C2" w:rsidRDefault="00B064C2" w:rsidP="00B064C2">
      <w:pPr>
        <w:pStyle w:val="ListParagraph"/>
        <w:jc w:val="both"/>
        <w:rPr>
          <w:rFonts w:ascii="Times New Roman" w:hAnsi="Times New Roman" w:cs="Times New Roman"/>
          <w:sz w:val="24"/>
          <w:szCs w:val="22"/>
        </w:rPr>
      </w:pPr>
      <w:r w:rsidRPr="00B064C2">
        <w:rPr>
          <w:rFonts w:ascii="Times New Roman" w:hAnsi="Times New Roman" w:cs="Times New Roman"/>
          <w:sz w:val="24"/>
          <w:szCs w:val="22"/>
        </w:rPr>
        <w:t>api_data_aadhar_enrolment_0_500000</w:t>
      </w:r>
    </w:p>
    <w:p w14:paraId="58861355" w14:textId="348A97CB" w:rsidR="00B064C2" w:rsidRDefault="00B064C2" w:rsidP="00B064C2">
      <w:pPr>
        <w:pStyle w:val="ListParagraph"/>
        <w:jc w:val="both"/>
        <w:rPr>
          <w:rFonts w:ascii="Times New Roman" w:hAnsi="Times New Roman" w:cs="Times New Roman"/>
          <w:sz w:val="24"/>
          <w:szCs w:val="22"/>
        </w:rPr>
      </w:pPr>
      <w:r w:rsidRPr="00B064C2">
        <w:rPr>
          <w:rFonts w:ascii="Times New Roman" w:hAnsi="Times New Roman" w:cs="Times New Roman"/>
          <w:sz w:val="24"/>
          <w:szCs w:val="22"/>
        </w:rPr>
        <w:t>api_data_aadhar_enrolment_500000_1000000</w:t>
      </w:r>
      <w:r>
        <w:rPr>
          <w:rFonts w:ascii="Times New Roman" w:hAnsi="Times New Roman" w:cs="Times New Roman"/>
          <w:sz w:val="24"/>
          <w:szCs w:val="22"/>
        </w:rPr>
        <w:t xml:space="preserve">                    Single dataset</w:t>
      </w:r>
    </w:p>
    <w:p w14:paraId="42BCB063" w14:textId="5BC7989C" w:rsidR="00B064C2" w:rsidRDefault="00B064C2" w:rsidP="00B064C2">
      <w:pPr>
        <w:pStyle w:val="ListParagraph"/>
        <w:jc w:val="both"/>
        <w:rPr>
          <w:rFonts w:ascii="Times New Roman" w:hAnsi="Times New Roman" w:cs="Times New Roman"/>
          <w:sz w:val="24"/>
          <w:szCs w:val="22"/>
        </w:rPr>
      </w:pPr>
      <w:r w:rsidRPr="00B064C2">
        <w:rPr>
          <w:rFonts w:ascii="Times New Roman" w:hAnsi="Times New Roman" w:cs="Times New Roman"/>
          <w:sz w:val="24"/>
          <w:szCs w:val="22"/>
        </w:rPr>
        <w:t>api_data_aadhar_enrolment_1000000_1006029</w:t>
      </w:r>
    </w:p>
    <w:p w14:paraId="13367FED" w14:textId="77777777" w:rsidR="00B064C2" w:rsidRDefault="00B064C2" w:rsidP="00B064C2">
      <w:pPr>
        <w:pStyle w:val="ListParagraph"/>
        <w:jc w:val="both"/>
        <w:rPr>
          <w:rFonts w:ascii="Times New Roman" w:hAnsi="Times New Roman" w:cs="Times New Roman"/>
          <w:sz w:val="24"/>
          <w:szCs w:val="22"/>
        </w:rPr>
      </w:pPr>
    </w:p>
    <w:p w14:paraId="61D4AAC2" w14:textId="754D70DF" w:rsidR="00B064C2" w:rsidRPr="006F1C48" w:rsidRDefault="00B064C2" w:rsidP="00B064C2">
      <w:pPr>
        <w:pStyle w:val="ListParagraph"/>
        <w:numPr>
          <w:ilvl w:val="0"/>
          <w:numId w:val="2"/>
        </w:numPr>
        <w:jc w:val="both"/>
        <w:rPr>
          <w:rFonts w:ascii="Times New Roman" w:hAnsi="Times New Roman" w:cs="Times New Roman"/>
          <w:b/>
          <w:bCs/>
          <w:sz w:val="24"/>
          <w:szCs w:val="22"/>
        </w:rPr>
      </w:pPr>
      <w:r w:rsidRPr="006F1C48">
        <w:rPr>
          <w:rFonts w:ascii="Times New Roman" w:hAnsi="Times New Roman" w:cs="Times New Roman"/>
          <w:b/>
          <w:bCs/>
          <w:sz w:val="24"/>
          <w:szCs w:val="22"/>
        </w:rPr>
        <w:t>Data Cleaning</w:t>
      </w:r>
    </w:p>
    <w:p w14:paraId="211CEB61" w14:textId="715EC4B7" w:rsidR="00391C17" w:rsidRDefault="00B064C2" w:rsidP="00391C17">
      <w:pPr>
        <w:pStyle w:val="ListParagraph"/>
        <w:jc w:val="both"/>
        <w:rPr>
          <w:rFonts w:ascii="Times New Roman" w:hAnsi="Times New Roman" w:cs="Times New Roman"/>
          <w:sz w:val="24"/>
          <w:szCs w:val="22"/>
        </w:rPr>
      </w:pPr>
      <w:r>
        <w:rPr>
          <w:rFonts w:ascii="Times New Roman" w:hAnsi="Times New Roman" w:cs="Times New Roman"/>
          <w:sz w:val="24"/>
          <w:szCs w:val="22"/>
        </w:rPr>
        <w:t>After merging the entire data it’s a time to clean the un</w:t>
      </w:r>
      <w:r w:rsidR="00342BBE">
        <w:rPr>
          <w:rFonts w:ascii="Times New Roman" w:hAnsi="Times New Roman" w:cs="Times New Roman"/>
          <w:sz w:val="24"/>
          <w:szCs w:val="22"/>
        </w:rPr>
        <w:t>ne</w:t>
      </w:r>
      <w:r>
        <w:rPr>
          <w:rFonts w:ascii="Times New Roman" w:hAnsi="Times New Roman" w:cs="Times New Roman"/>
          <w:sz w:val="24"/>
          <w:szCs w:val="22"/>
        </w:rPr>
        <w:t xml:space="preserve">cessary data from the dataset. </w:t>
      </w:r>
      <w:r w:rsidR="00391C17">
        <w:rPr>
          <w:rFonts w:ascii="Times New Roman" w:hAnsi="Times New Roman" w:cs="Times New Roman"/>
          <w:sz w:val="24"/>
          <w:szCs w:val="22"/>
        </w:rPr>
        <w:t>Handle the inconsistent data, missing value, null values where applicable. Standardize the column names and data format i.e. date column to date format, state column into string format, numerical column into number format</w:t>
      </w:r>
      <w:r w:rsidR="00342BBE">
        <w:rPr>
          <w:rFonts w:ascii="Times New Roman" w:hAnsi="Times New Roman" w:cs="Times New Roman"/>
          <w:sz w:val="24"/>
          <w:szCs w:val="22"/>
        </w:rPr>
        <w:t>s</w:t>
      </w:r>
      <w:r w:rsidR="00391C17">
        <w:rPr>
          <w:rFonts w:ascii="Times New Roman" w:hAnsi="Times New Roman" w:cs="Times New Roman"/>
          <w:sz w:val="24"/>
          <w:szCs w:val="22"/>
        </w:rPr>
        <w:t>.</w:t>
      </w:r>
    </w:p>
    <w:p w14:paraId="4429AF26" w14:textId="77777777" w:rsidR="00342BBE" w:rsidRPr="00391C17" w:rsidRDefault="00342BBE" w:rsidP="00391C17">
      <w:pPr>
        <w:pStyle w:val="ListParagraph"/>
        <w:jc w:val="both"/>
        <w:rPr>
          <w:rFonts w:ascii="Times New Roman" w:hAnsi="Times New Roman" w:cs="Times New Roman"/>
          <w:sz w:val="24"/>
          <w:szCs w:val="22"/>
        </w:rPr>
      </w:pPr>
    </w:p>
    <w:p w14:paraId="13FF53CE" w14:textId="674BAA60" w:rsidR="00391C17" w:rsidRPr="006F1C48" w:rsidRDefault="00391C17" w:rsidP="00391C17">
      <w:pPr>
        <w:pStyle w:val="ListParagraph"/>
        <w:numPr>
          <w:ilvl w:val="0"/>
          <w:numId w:val="2"/>
        </w:numPr>
        <w:jc w:val="both"/>
        <w:rPr>
          <w:rFonts w:ascii="Times New Roman" w:hAnsi="Times New Roman" w:cs="Times New Roman"/>
          <w:b/>
          <w:bCs/>
          <w:sz w:val="24"/>
          <w:szCs w:val="22"/>
        </w:rPr>
      </w:pPr>
      <w:r w:rsidRPr="006F1C48">
        <w:rPr>
          <w:rFonts w:ascii="Times New Roman" w:hAnsi="Times New Roman" w:cs="Times New Roman"/>
          <w:b/>
          <w:bCs/>
          <w:sz w:val="24"/>
          <w:szCs w:val="22"/>
        </w:rPr>
        <w:t>Adding new calculated column</w:t>
      </w:r>
    </w:p>
    <w:p w14:paraId="4FCA6877" w14:textId="27B8BDB0" w:rsidR="00342BBE" w:rsidRDefault="00391C17" w:rsidP="00342BBE">
      <w:pPr>
        <w:pStyle w:val="ListParagraph"/>
        <w:jc w:val="both"/>
        <w:rPr>
          <w:rFonts w:ascii="Times New Roman" w:hAnsi="Times New Roman" w:cs="Times New Roman"/>
          <w:sz w:val="24"/>
          <w:szCs w:val="22"/>
        </w:rPr>
      </w:pPr>
      <w:r>
        <w:rPr>
          <w:rFonts w:ascii="Times New Roman" w:hAnsi="Times New Roman" w:cs="Times New Roman"/>
          <w:sz w:val="24"/>
          <w:szCs w:val="22"/>
        </w:rPr>
        <w:t>Dataset contains the no. of enrolment separated by three age groups that means there is no column of total enrolment. So, I create a custom column that add the no. of enrolment from all age group and shows the total no. of enrolment for each entry in data. It is very important to find the total no. of enrolment for our analysis</w:t>
      </w:r>
      <w:r w:rsidR="00342BBE">
        <w:rPr>
          <w:rFonts w:ascii="Times New Roman" w:hAnsi="Times New Roman" w:cs="Times New Roman"/>
          <w:sz w:val="24"/>
          <w:szCs w:val="22"/>
        </w:rPr>
        <w:t xml:space="preserve"> and better understanding of data. New column “Total enrolment” is added to dataset.</w:t>
      </w:r>
    </w:p>
    <w:p w14:paraId="7551CED8" w14:textId="77777777" w:rsidR="00342BBE" w:rsidRPr="00342BBE" w:rsidRDefault="00342BBE" w:rsidP="00342BBE">
      <w:pPr>
        <w:pStyle w:val="ListParagraph"/>
        <w:jc w:val="both"/>
        <w:rPr>
          <w:rFonts w:ascii="Times New Roman" w:hAnsi="Times New Roman" w:cs="Times New Roman"/>
          <w:sz w:val="24"/>
          <w:szCs w:val="22"/>
        </w:rPr>
      </w:pPr>
    </w:p>
    <w:p w14:paraId="7B1E70D5" w14:textId="5BAD840F" w:rsidR="00342BBE" w:rsidRPr="006F1C48" w:rsidRDefault="00342BBE" w:rsidP="00342BBE">
      <w:pPr>
        <w:pStyle w:val="ListParagraph"/>
        <w:numPr>
          <w:ilvl w:val="0"/>
          <w:numId w:val="2"/>
        </w:numPr>
        <w:jc w:val="both"/>
        <w:rPr>
          <w:rFonts w:ascii="Times New Roman" w:hAnsi="Times New Roman" w:cs="Times New Roman"/>
          <w:b/>
          <w:bCs/>
          <w:sz w:val="24"/>
          <w:szCs w:val="22"/>
        </w:rPr>
      </w:pPr>
      <w:r w:rsidRPr="006F1C48">
        <w:rPr>
          <w:rFonts w:ascii="Times New Roman" w:hAnsi="Times New Roman" w:cs="Times New Roman"/>
          <w:b/>
          <w:bCs/>
          <w:sz w:val="24"/>
          <w:szCs w:val="22"/>
        </w:rPr>
        <w:t>Replace miss-spelled state value</w:t>
      </w:r>
    </w:p>
    <w:p w14:paraId="4E7EA521" w14:textId="0352A526" w:rsidR="00342BBE" w:rsidRDefault="00342BBE" w:rsidP="00342BBE">
      <w:pPr>
        <w:pStyle w:val="ListParagraph"/>
        <w:jc w:val="both"/>
        <w:rPr>
          <w:rFonts w:ascii="Times New Roman" w:hAnsi="Times New Roman" w:cs="Times New Roman"/>
          <w:sz w:val="24"/>
          <w:szCs w:val="22"/>
        </w:rPr>
      </w:pPr>
      <w:r>
        <w:rPr>
          <w:rFonts w:ascii="Times New Roman" w:hAnsi="Times New Roman" w:cs="Times New Roman"/>
          <w:sz w:val="24"/>
          <w:szCs w:val="22"/>
        </w:rPr>
        <w:t>The dataset contains enrolment values according to state, district and pincode wise, in this the state spelling are incorrect, so its show duplicate entries of state if we try to calculate unique values of state for analysis. State ‘Jammu and Kashmir’ is also write as Jammu &amp; Kashmir and so many.</w:t>
      </w:r>
      <w:r w:rsidR="006F1C48">
        <w:rPr>
          <w:rFonts w:ascii="Times New Roman" w:hAnsi="Times New Roman" w:cs="Times New Roman"/>
          <w:sz w:val="24"/>
          <w:szCs w:val="22"/>
        </w:rPr>
        <w:t xml:space="preserve"> All these values are replace with only one to reduce any inconsistency in the calculation of data.</w:t>
      </w:r>
    </w:p>
    <w:p w14:paraId="2AB01CBA" w14:textId="6702D39F" w:rsidR="00342BBE" w:rsidRDefault="00342BBE" w:rsidP="00342BBE">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Ex. West Bengal -   West Bangal, </w:t>
      </w:r>
      <w:r w:rsidR="006F1C48">
        <w:rPr>
          <w:rFonts w:ascii="Times New Roman" w:hAnsi="Times New Roman" w:cs="Times New Roman"/>
          <w:sz w:val="24"/>
          <w:szCs w:val="22"/>
        </w:rPr>
        <w:t>westbengal, WESTBENGAL</w:t>
      </w:r>
    </w:p>
    <w:p w14:paraId="2249B1E3" w14:textId="353F3E41" w:rsidR="006F1C48" w:rsidRDefault="006F1C48" w:rsidP="006F1C48">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       Odisha – Orissa</w:t>
      </w:r>
    </w:p>
    <w:p w14:paraId="75DAC492" w14:textId="177254B6" w:rsidR="006F1C48" w:rsidRDefault="006F1C48" w:rsidP="006F1C48">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       Pondicherry- Puducherry</w:t>
      </w:r>
    </w:p>
    <w:p w14:paraId="18288B15" w14:textId="599663C5" w:rsidR="006F1C48" w:rsidRDefault="006F1C48" w:rsidP="006F1C48">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       Daman and Diu – Daman &amp; Diu </w:t>
      </w:r>
    </w:p>
    <w:p w14:paraId="797E58CD" w14:textId="01888C97" w:rsidR="006F1C48" w:rsidRDefault="006F1C48" w:rsidP="006F1C48">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       Dadra and Nagar Haveli – Dadra &amp; Nagar Haveli</w:t>
      </w:r>
    </w:p>
    <w:p w14:paraId="6E8631D4" w14:textId="372C2CAF" w:rsidR="006F1C48" w:rsidRDefault="006F1C48" w:rsidP="006F1C48">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       Andaman and Nicobar Island – Andaman &amp; Nicobar Islands</w:t>
      </w:r>
    </w:p>
    <w:p w14:paraId="34BAF3D7" w14:textId="45BAD36D" w:rsidR="006F1C48" w:rsidRDefault="006F1C48" w:rsidP="00B32C47">
      <w:pPr>
        <w:pStyle w:val="ListParagraph"/>
        <w:ind w:left="1134" w:hanging="414"/>
        <w:jc w:val="both"/>
        <w:rPr>
          <w:rFonts w:ascii="Times New Roman" w:hAnsi="Times New Roman" w:cs="Times New Roman"/>
          <w:sz w:val="24"/>
          <w:szCs w:val="22"/>
        </w:rPr>
      </w:pPr>
      <w:r>
        <w:rPr>
          <w:rFonts w:ascii="Times New Roman" w:hAnsi="Times New Roman" w:cs="Times New Roman"/>
          <w:sz w:val="24"/>
          <w:szCs w:val="22"/>
        </w:rPr>
        <w:t xml:space="preserve">       Dadra and Nagar Haveli and Daman and Diu – The Dadra And Nagar Haveli And    </w:t>
      </w:r>
      <w:r w:rsidR="00B32C47">
        <w:rPr>
          <w:rFonts w:ascii="Times New Roman" w:hAnsi="Times New Roman" w:cs="Times New Roman"/>
          <w:sz w:val="24"/>
          <w:szCs w:val="22"/>
        </w:rPr>
        <w:t xml:space="preserve">    </w:t>
      </w:r>
      <w:r>
        <w:rPr>
          <w:rFonts w:ascii="Times New Roman" w:hAnsi="Times New Roman" w:cs="Times New Roman"/>
          <w:sz w:val="24"/>
          <w:szCs w:val="22"/>
        </w:rPr>
        <w:t>Daman And Diu</w:t>
      </w:r>
    </w:p>
    <w:p w14:paraId="67AFE805" w14:textId="77777777" w:rsidR="00705D9A" w:rsidRPr="006F1C48" w:rsidRDefault="00705D9A" w:rsidP="006F1C48">
      <w:pPr>
        <w:pStyle w:val="ListParagraph"/>
        <w:jc w:val="both"/>
        <w:rPr>
          <w:rFonts w:ascii="Times New Roman" w:hAnsi="Times New Roman" w:cs="Times New Roman"/>
          <w:sz w:val="24"/>
          <w:szCs w:val="22"/>
        </w:rPr>
      </w:pPr>
    </w:p>
    <w:p w14:paraId="24B59926" w14:textId="359193E0" w:rsidR="00705D9A" w:rsidRDefault="00705D9A" w:rsidP="00705D9A">
      <w:pPr>
        <w:pStyle w:val="ListParagraph"/>
        <w:numPr>
          <w:ilvl w:val="0"/>
          <w:numId w:val="3"/>
        </w:numPr>
        <w:jc w:val="both"/>
        <w:rPr>
          <w:rFonts w:ascii="Times New Roman" w:hAnsi="Times New Roman" w:cs="Times New Roman"/>
          <w:b/>
          <w:bCs/>
          <w:sz w:val="24"/>
          <w:szCs w:val="22"/>
        </w:rPr>
      </w:pPr>
      <w:r>
        <w:rPr>
          <w:rFonts w:ascii="Times New Roman" w:hAnsi="Times New Roman" w:cs="Times New Roman"/>
          <w:b/>
          <w:bCs/>
          <w:sz w:val="24"/>
          <w:szCs w:val="22"/>
        </w:rPr>
        <w:t>Tools and Techniques</w:t>
      </w:r>
    </w:p>
    <w:p w14:paraId="2CE2B5D1" w14:textId="31B09624" w:rsidR="00705D9A" w:rsidRDefault="00705D9A" w:rsidP="00705D9A">
      <w:pPr>
        <w:pStyle w:val="ListParagraph"/>
        <w:jc w:val="both"/>
        <w:rPr>
          <w:rFonts w:ascii="Times New Roman" w:hAnsi="Times New Roman" w:cs="Times New Roman"/>
          <w:sz w:val="24"/>
          <w:szCs w:val="22"/>
        </w:rPr>
      </w:pPr>
      <w:r>
        <w:rPr>
          <w:rFonts w:ascii="Times New Roman" w:hAnsi="Times New Roman" w:cs="Times New Roman"/>
          <w:sz w:val="24"/>
          <w:szCs w:val="22"/>
        </w:rPr>
        <w:t xml:space="preserve">For this project used Power BI desktop </w:t>
      </w:r>
      <w:r w:rsidR="00B32C47">
        <w:rPr>
          <w:rFonts w:ascii="Times New Roman" w:hAnsi="Times New Roman" w:cs="Times New Roman"/>
          <w:sz w:val="24"/>
          <w:szCs w:val="22"/>
        </w:rPr>
        <w:t xml:space="preserve">tool, </w:t>
      </w:r>
      <w:r w:rsidR="00B32C47" w:rsidRPr="00B32C47">
        <w:rPr>
          <w:rFonts w:ascii="Times New Roman" w:hAnsi="Times New Roman" w:cs="Times New Roman"/>
          <w:sz w:val="24"/>
          <w:szCs w:val="22"/>
        </w:rPr>
        <w:t xml:space="preserve">Microsoft Power BI is an interactive data visualization </w:t>
      </w:r>
      <w:r w:rsidR="00B32C47">
        <w:rPr>
          <w:rFonts w:ascii="Times New Roman" w:hAnsi="Times New Roman" w:cs="Times New Roman"/>
          <w:sz w:val="24"/>
          <w:szCs w:val="22"/>
        </w:rPr>
        <w:t xml:space="preserve">and data analysis </w:t>
      </w:r>
      <w:r w:rsidR="00B32C47" w:rsidRPr="00B32C47">
        <w:rPr>
          <w:rFonts w:ascii="Times New Roman" w:hAnsi="Times New Roman" w:cs="Times New Roman"/>
          <w:sz w:val="24"/>
          <w:szCs w:val="22"/>
        </w:rPr>
        <w:t>software product developed by Microsoft with a primary focus on business intelligence.</w:t>
      </w:r>
      <w:r w:rsidR="00B32C47">
        <w:rPr>
          <w:rFonts w:ascii="Times New Roman" w:hAnsi="Times New Roman" w:cs="Times New Roman"/>
          <w:sz w:val="24"/>
          <w:szCs w:val="22"/>
        </w:rPr>
        <w:t xml:space="preserve"> It is very useful for quick data analysis and creating visual plots in very short period of time.</w:t>
      </w:r>
    </w:p>
    <w:p w14:paraId="5E7CBAF8" w14:textId="06255EFF" w:rsidR="009C6187" w:rsidRDefault="009C6187" w:rsidP="00705D9A">
      <w:pPr>
        <w:pStyle w:val="ListParagraph"/>
        <w:jc w:val="both"/>
        <w:rPr>
          <w:rFonts w:ascii="Times New Roman" w:hAnsi="Times New Roman" w:cs="Times New Roman"/>
          <w:b/>
          <w:bCs/>
          <w:sz w:val="24"/>
          <w:szCs w:val="22"/>
        </w:rPr>
      </w:pPr>
    </w:p>
    <w:p w14:paraId="62BA17E7" w14:textId="122E9FC1" w:rsidR="009C6187" w:rsidRDefault="009C6187" w:rsidP="00705D9A">
      <w:pPr>
        <w:pStyle w:val="ListParagraph"/>
        <w:jc w:val="both"/>
        <w:rPr>
          <w:rFonts w:ascii="Times New Roman" w:hAnsi="Times New Roman" w:cs="Times New Roman"/>
          <w:b/>
          <w:bCs/>
          <w:sz w:val="24"/>
          <w:szCs w:val="22"/>
        </w:rPr>
      </w:pPr>
    </w:p>
    <w:p w14:paraId="4569C582" w14:textId="77777777" w:rsidR="009C6187" w:rsidRDefault="009C6187" w:rsidP="00705D9A">
      <w:pPr>
        <w:pStyle w:val="ListParagraph"/>
        <w:jc w:val="both"/>
        <w:rPr>
          <w:rFonts w:ascii="Times New Roman" w:hAnsi="Times New Roman" w:cs="Times New Roman"/>
          <w:b/>
          <w:bCs/>
          <w:sz w:val="28"/>
          <w:szCs w:val="24"/>
        </w:rPr>
      </w:pPr>
    </w:p>
    <w:p w14:paraId="54A98EA5" w14:textId="77777777" w:rsidR="009C6187" w:rsidRDefault="009C6187" w:rsidP="00705D9A">
      <w:pPr>
        <w:pStyle w:val="ListParagraph"/>
        <w:jc w:val="both"/>
        <w:rPr>
          <w:rFonts w:ascii="Times New Roman" w:hAnsi="Times New Roman" w:cs="Times New Roman"/>
          <w:b/>
          <w:bCs/>
          <w:sz w:val="28"/>
          <w:szCs w:val="24"/>
        </w:rPr>
      </w:pPr>
    </w:p>
    <w:p w14:paraId="21B35A20" w14:textId="02DAB99A" w:rsidR="009C6187" w:rsidRPr="00C5296C" w:rsidRDefault="00FF7803" w:rsidP="00F72378">
      <w:pPr>
        <w:jc w:val="both"/>
        <w:rPr>
          <w:rFonts w:ascii="Times New Roman" w:hAnsi="Times New Roman" w:cs="Times New Roman"/>
          <w:b/>
          <w:bCs/>
          <w:sz w:val="32"/>
          <w:szCs w:val="28"/>
        </w:rPr>
      </w:pPr>
      <w:r w:rsidRPr="00C5296C">
        <w:rPr>
          <w:rFonts w:ascii="Times New Roman" w:hAnsi="Times New Roman" w:cs="Times New Roman"/>
          <w:b/>
          <w:bCs/>
          <w:sz w:val="32"/>
          <w:szCs w:val="28"/>
        </w:rPr>
        <w:lastRenderedPageBreak/>
        <w:t>Analysis a</w:t>
      </w:r>
      <w:r w:rsidR="009C6187" w:rsidRPr="00C5296C">
        <w:rPr>
          <w:rFonts w:ascii="Times New Roman" w:hAnsi="Times New Roman" w:cs="Times New Roman"/>
          <w:b/>
          <w:bCs/>
          <w:sz w:val="32"/>
          <w:szCs w:val="28"/>
        </w:rPr>
        <w:t>nd Visualization</w:t>
      </w:r>
    </w:p>
    <w:p w14:paraId="7CF99F1D" w14:textId="59577D81" w:rsidR="00414756" w:rsidRDefault="00F72378" w:rsidP="00F72378">
      <w:pPr>
        <w:jc w:val="both"/>
        <w:rPr>
          <w:rFonts w:ascii="Times New Roman" w:hAnsi="Times New Roman" w:cs="Times New Roman"/>
          <w:sz w:val="24"/>
          <w:szCs w:val="22"/>
        </w:rPr>
      </w:pPr>
      <w:r>
        <w:rPr>
          <w:rFonts w:ascii="Times New Roman" w:hAnsi="Times New Roman" w:cs="Times New Roman"/>
          <w:sz w:val="24"/>
          <w:szCs w:val="22"/>
        </w:rPr>
        <w:t xml:space="preserve">In this sections we will discuss on the analysis of our enrolment data and their visualization by using Power BI tool. The analysis part explore the key findings and their </w:t>
      </w:r>
      <w:r w:rsidR="00F20F73">
        <w:rPr>
          <w:rFonts w:ascii="Times New Roman" w:hAnsi="Times New Roman" w:cs="Times New Roman"/>
          <w:sz w:val="24"/>
          <w:szCs w:val="22"/>
        </w:rPr>
        <w:t>insights, trends of enrolment.</w:t>
      </w:r>
      <w:r w:rsidR="00414756">
        <w:rPr>
          <w:rFonts w:ascii="Times New Roman" w:hAnsi="Times New Roman" w:cs="Times New Roman"/>
          <w:sz w:val="24"/>
          <w:szCs w:val="22"/>
        </w:rPr>
        <w:t xml:space="preserve"> </w:t>
      </w:r>
      <w:r w:rsidR="00414756" w:rsidRPr="00414756">
        <w:rPr>
          <w:rFonts w:ascii="Times New Roman" w:hAnsi="Times New Roman" w:cs="Times New Roman"/>
          <w:sz w:val="24"/>
          <w:szCs w:val="22"/>
        </w:rPr>
        <w:t>To analyze Aadhaar enrolment patterns, an interactive dashboard was developed to present enrolment trends across time, geography, and age groups. The dashboard consolidates multiple visual elements to provide a comprehensive view of enrolment behavior during the year 2025.</w:t>
      </w:r>
    </w:p>
    <w:p w14:paraId="436D8FFE" w14:textId="1DE380D5" w:rsidR="00414756" w:rsidRPr="00F72378" w:rsidRDefault="00414756" w:rsidP="00414756">
      <w:pPr>
        <w:ind w:left="-851"/>
        <w:jc w:val="both"/>
        <w:rPr>
          <w:rFonts w:ascii="Times New Roman" w:hAnsi="Times New Roman" w:cs="Times New Roman"/>
          <w:b/>
          <w:bCs/>
          <w:sz w:val="28"/>
          <w:szCs w:val="24"/>
        </w:rPr>
      </w:pPr>
      <w:r>
        <w:rPr>
          <w:noProof/>
          <w:lang w:eastAsia="en-IN"/>
        </w:rPr>
        <w:drawing>
          <wp:inline distT="0" distB="0" distL="0" distR="0" wp14:anchorId="3BD21C4F" wp14:editId="2BCD26C4">
            <wp:extent cx="6888480" cy="53416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15 145836.png"/>
                    <pic:cNvPicPr/>
                  </pic:nvPicPr>
                  <pic:blipFill>
                    <a:blip r:embed="rId7">
                      <a:extLst>
                        <a:ext uri="{28A0092B-C50C-407E-A947-70E740481C1C}">
                          <a14:useLocalDpi xmlns:a14="http://schemas.microsoft.com/office/drawing/2010/main" val="0"/>
                        </a:ext>
                      </a:extLst>
                    </a:blip>
                    <a:stretch>
                      <a:fillRect/>
                    </a:stretch>
                  </pic:blipFill>
                  <pic:spPr>
                    <a:xfrm>
                      <a:off x="0" y="0"/>
                      <a:ext cx="6888480" cy="5341620"/>
                    </a:xfrm>
                    <a:prstGeom prst="rect">
                      <a:avLst/>
                    </a:prstGeom>
                  </pic:spPr>
                </pic:pic>
              </a:graphicData>
            </a:graphic>
          </wp:inline>
        </w:drawing>
      </w:r>
    </w:p>
    <w:p w14:paraId="09B9AE63" w14:textId="43EF77B9" w:rsidR="00F20F73" w:rsidRPr="00C5296C" w:rsidRDefault="00414756" w:rsidP="00414756">
      <w:pPr>
        <w:jc w:val="center"/>
        <w:rPr>
          <w:rFonts w:ascii="Times New Roman" w:hAnsi="Times New Roman" w:cs="Times New Roman"/>
          <w:sz w:val="28"/>
          <w:szCs w:val="24"/>
        </w:rPr>
      </w:pPr>
      <w:r w:rsidRPr="00C5296C">
        <w:rPr>
          <w:rFonts w:ascii="Times New Roman" w:hAnsi="Times New Roman" w:cs="Times New Roman"/>
          <w:sz w:val="28"/>
          <w:szCs w:val="24"/>
        </w:rPr>
        <w:t>Fig</w:t>
      </w:r>
      <w:r w:rsidR="00C5296C">
        <w:rPr>
          <w:rFonts w:ascii="Times New Roman" w:hAnsi="Times New Roman" w:cs="Times New Roman"/>
          <w:sz w:val="28"/>
          <w:szCs w:val="24"/>
        </w:rPr>
        <w:t>ure</w:t>
      </w:r>
      <w:r w:rsidRPr="00C5296C">
        <w:rPr>
          <w:rFonts w:ascii="Times New Roman" w:hAnsi="Times New Roman" w:cs="Times New Roman"/>
          <w:sz w:val="28"/>
          <w:szCs w:val="24"/>
        </w:rPr>
        <w:t xml:space="preserve"> 1</w:t>
      </w:r>
      <w:r w:rsidR="00C5296C">
        <w:rPr>
          <w:rFonts w:ascii="Times New Roman" w:hAnsi="Times New Roman" w:cs="Times New Roman"/>
          <w:sz w:val="28"/>
          <w:szCs w:val="24"/>
        </w:rPr>
        <w:t xml:space="preserve">: </w:t>
      </w:r>
      <w:r w:rsidRPr="00C5296C">
        <w:rPr>
          <w:rFonts w:ascii="Times New Roman" w:hAnsi="Times New Roman" w:cs="Times New Roman"/>
          <w:sz w:val="28"/>
          <w:szCs w:val="24"/>
        </w:rPr>
        <w:t xml:space="preserve"> Dashboard</w:t>
      </w:r>
    </w:p>
    <w:p w14:paraId="1287D377" w14:textId="0A29A490" w:rsidR="00414756" w:rsidRDefault="00414756" w:rsidP="00414756">
      <w:pPr>
        <w:jc w:val="both"/>
        <w:rPr>
          <w:rFonts w:ascii="Times New Roman" w:hAnsi="Times New Roman" w:cs="Times New Roman"/>
          <w:sz w:val="24"/>
          <w:szCs w:val="22"/>
        </w:rPr>
      </w:pPr>
      <w:r w:rsidRPr="00414756">
        <w:rPr>
          <w:rFonts w:ascii="Times New Roman" w:hAnsi="Times New Roman" w:cs="Times New Roman"/>
          <w:sz w:val="24"/>
          <w:szCs w:val="22"/>
        </w:rPr>
        <w:t>The dashboard</w:t>
      </w:r>
      <w:r w:rsidR="00953299">
        <w:rPr>
          <w:rFonts w:ascii="Times New Roman" w:hAnsi="Times New Roman" w:cs="Times New Roman"/>
          <w:sz w:val="24"/>
          <w:szCs w:val="22"/>
        </w:rPr>
        <w:t xml:space="preserve"> shows in Figure 1</w:t>
      </w:r>
      <w:r w:rsidRPr="00414756">
        <w:rPr>
          <w:rFonts w:ascii="Times New Roman" w:hAnsi="Times New Roman" w:cs="Times New Roman"/>
          <w:sz w:val="24"/>
          <w:szCs w:val="22"/>
        </w:rPr>
        <w:t xml:space="preserve"> indicates a total of </w:t>
      </w:r>
      <w:r w:rsidRPr="00414756">
        <w:rPr>
          <w:rStyle w:val="Strong"/>
          <w:rFonts w:ascii="Times New Roman" w:hAnsi="Times New Roman" w:cs="Times New Roman"/>
          <w:sz w:val="24"/>
          <w:szCs w:val="22"/>
        </w:rPr>
        <w:t>5.44 million Aadhaar enrolments</w:t>
      </w:r>
      <w:r w:rsidRPr="00414756">
        <w:rPr>
          <w:rFonts w:ascii="Times New Roman" w:hAnsi="Times New Roman" w:cs="Times New Roman"/>
          <w:sz w:val="24"/>
          <w:szCs w:val="22"/>
        </w:rPr>
        <w:t xml:space="preserve"> during the observed period. Among these, enrolment is heavily concentrated in younger age groups. Children aged </w:t>
      </w:r>
      <w:r w:rsidRPr="00414756">
        <w:rPr>
          <w:rStyle w:val="Strong"/>
          <w:rFonts w:ascii="Times New Roman" w:hAnsi="Times New Roman" w:cs="Times New Roman"/>
          <w:b w:val="0"/>
          <w:bCs w:val="0"/>
          <w:sz w:val="24"/>
          <w:szCs w:val="22"/>
        </w:rPr>
        <w:t xml:space="preserve">0–5 years account for </w:t>
      </w:r>
      <w:r w:rsidRPr="00414756">
        <w:rPr>
          <w:rStyle w:val="Strong"/>
          <w:rFonts w:ascii="Times New Roman" w:hAnsi="Times New Roman" w:cs="Times New Roman"/>
          <w:sz w:val="24"/>
          <w:szCs w:val="22"/>
        </w:rPr>
        <w:t>3.55 million</w:t>
      </w:r>
      <w:r w:rsidRPr="00414756">
        <w:rPr>
          <w:rStyle w:val="Strong"/>
          <w:rFonts w:ascii="Times New Roman" w:hAnsi="Times New Roman" w:cs="Times New Roman"/>
          <w:b w:val="0"/>
          <w:bCs w:val="0"/>
          <w:sz w:val="24"/>
          <w:szCs w:val="22"/>
        </w:rPr>
        <w:t xml:space="preserve"> enrolments (approximately 65 percent)</w:t>
      </w:r>
      <w:r w:rsidRPr="00414756">
        <w:rPr>
          <w:rFonts w:ascii="Times New Roman" w:hAnsi="Times New Roman" w:cs="Times New Roman"/>
          <w:sz w:val="24"/>
          <w:szCs w:val="22"/>
        </w:rPr>
        <w:t xml:space="preserve">, followed by the </w:t>
      </w:r>
      <w:r w:rsidRPr="00AF6C9A">
        <w:rPr>
          <w:rStyle w:val="Strong"/>
          <w:rFonts w:ascii="Times New Roman" w:hAnsi="Times New Roman" w:cs="Times New Roman"/>
          <w:b w:val="0"/>
          <w:bCs w:val="0"/>
          <w:sz w:val="24"/>
          <w:szCs w:val="22"/>
        </w:rPr>
        <w:t>5–</w:t>
      </w:r>
      <w:r w:rsidRPr="00414756">
        <w:rPr>
          <w:rStyle w:val="Strong"/>
          <w:rFonts w:ascii="Times New Roman" w:hAnsi="Times New Roman" w:cs="Times New Roman"/>
          <w:b w:val="0"/>
          <w:bCs w:val="0"/>
          <w:sz w:val="24"/>
          <w:szCs w:val="22"/>
        </w:rPr>
        <w:t xml:space="preserve">17 years age group with </w:t>
      </w:r>
      <w:r w:rsidRPr="00414756">
        <w:rPr>
          <w:rStyle w:val="Strong"/>
          <w:rFonts w:ascii="Times New Roman" w:hAnsi="Times New Roman" w:cs="Times New Roman"/>
          <w:sz w:val="24"/>
          <w:szCs w:val="22"/>
        </w:rPr>
        <w:t>1.72 million</w:t>
      </w:r>
      <w:r w:rsidRPr="00414756">
        <w:rPr>
          <w:rStyle w:val="Strong"/>
          <w:rFonts w:ascii="Times New Roman" w:hAnsi="Times New Roman" w:cs="Times New Roman"/>
          <w:b w:val="0"/>
          <w:bCs w:val="0"/>
          <w:sz w:val="24"/>
          <w:szCs w:val="22"/>
        </w:rPr>
        <w:t xml:space="preserve"> enrolments (around 32 percent)</w:t>
      </w:r>
      <w:r w:rsidRPr="00414756">
        <w:rPr>
          <w:rFonts w:ascii="Times New Roman" w:hAnsi="Times New Roman" w:cs="Times New Roman"/>
          <w:sz w:val="24"/>
          <w:szCs w:val="22"/>
        </w:rPr>
        <w:t xml:space="preserve">. Enrolments for individuals aged </w:t>
      </w:r>
      <w:r w:rsidRPr="00414756">
        <w:rPr>
          <w:rStyle w:val="Strong"/>
          <w:rFonts w:ascii="Times New Roman" w:hAnsi="Times New Roman" w:cs="Times New Roman"/>
          <w:b w:val="0"/>
          <w:bCs w:val="0"/>
          <w:sz w:val="24"/>
          <w:szCs w:val="22"/>
        </w:rPr>
        <w:t xml:space="preserve">18 years and above remain comparatively low at </w:t>
      </w:r>
      <w:r w:rsidR="0046190B">
        <w:rPr>
          <w:rStyle w:val="Strong"/>
          <w:rFonts w:ascii="Times New Roman" w:hAnsi="Times New Roman" w:cs="Times New Roman"/>
          <w:sz w:val="24"/>
          <w:szCs w:val="22"/>
        </w:rPr>
        <w:t>168.35k</w:t>
      </w:r>
      <w:r w:rsidRPr="00414756">
        <w:rPr>
          <w:rStyle w:val="Strong"/>
          <w:rFonts w:ascii="Times New Roman" w:hAnsi="Times New Roman" w:cs="Times New Roman"/>
          <w:b w:val="0"/>
          <w:bCs w:val="0"/>
          <w:sz w:val="24"/>
          <w:szCs w:val="22"/>
        </w:rPr>
        <w:t xml:space="preserve"> (about 3 percent)</w:t>
      </w:r>
      <w:r w:rsidRPr="00414756">
        <w:rPr>
          <w:rFonts w:ascii="Times New Roman" w:hAnsi="Times New Roman" w:cs="Times New Roman"/>
          <w:sz w:val="24"/>
          <w:szCs w:val="22"/>
        </w:rPr>
        <w:t>. This highlights the strong emphasis on early age Aadhaar registration and suggests that adult enrolment may be nearing saturation.</w:t>
      </w:r>
    </w:p>
    <w:p w14:paraId="2FA6AB97" w14:textId="5A35F440" w:rsidR="00C5296C" w:rsidRDefault="00AF6C9A" w:rsidP="006A1535">
      <w:pPr>
        <w:jc w:val="center"/>
        <w:rPr>
          <w:rFonts w:ascii="Times New Roman" w:hAnsi="Times New Roman" w:cs="Times New Roman"/>
          <w:b/>
          <w:bCs/>
          <w:sz w:val="32"/>
          <w:szCs w:val="28"/>
        </w:rPr>
      </w:pPr>
      <w:r>
        <w:rPr>
          <w:rFonts w:ascii="Times New Roman" w:hAnsi="Times New Roman" w:cs="Times New Roman"/>
          <w:b/>
          <w:bCs/>
          <w:noProof/>
          <w:sz w:val="32"/>
          <w:szCs w:val="28"/>
          <w:lang w:eastAsia="en-IN"/>
        </w:rPr>
        <w:lastRenderedPageBreak/>
        <w:drawing>
          <wp:inline distT="0" distB="0" distL="0" distR="0" wp14:anchorId="70E29DFA" wp14:editId="7AD8ADD5">
            <wp:extent cx="5021580" cy="274612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15 153105.png"/>
                    <pic:cNvPicPr/>
                  </pic:nvPicPr>
                  <pic:blipFill>
                    <a:blip r:embed="rId8">
                      <a:extLst>
                        <a:ext uri="{28A0092B-C50C-407E-A947-70E740481C1C}">
                          <a14:useLocalDpi xmlns:a14="http://schemas.microsoft.com/office/drawing/2010/main" val="0"/>
                        </a:ext>
                      </a:extLst>
                    </a:blip>
                    <a:stretch>
                      <a:fillRect/>
                    </a:stretch>
                  </pic:blipFill>
                  <pic:spPr>
                    <a:xfrm>
                      <a:off x="0" y="0"/>
                      <a:ext cx="5042958" cy="2757815"/>
                    </a:xfrm>
                    <a:prstGeom prst="rect">
                      <a:avLst/>
                    </a:prstGeom>
                  </pic:spPr>
                </pic:pic>
              </a:graphicData>
            </a:graphic>
          </wp:inline>
        </w:drawing>
      </w:r>
    </w:p>
    <w:p w14:paraId="62E81D41" w14:textId="23684602" w:rsidR="00C5296C" w:rsidRPr="00C5296C" w:rsidRDefault="00C5296C" w:rsidP="00C5296C">
      <w:pPr>
        <w:jc w:val="center"/>
        <w:rPr>
          <w:rFonts w:ascii="Times New Roman" w:hAnsi="Times New Roman" w:cs="Times New Roman"/>
          <w:sz w:val="28"/>
          <w:szCs w:val="24"/>
        </w:rPr>
      </w:pPr>
      <w:r w:rsidRPr="00C5296C">
        <w:rPr>
          <w:rFonts w:ascii="Times New Roman" w:hAnsi="Times New Roman" w:cs="Times New Roman"/>
          <w:sz w:val="28"/>
          <w:szCs w:val="24"/>
        </w:rPr>
        <w:t>Fig</w:t>
      </w:r>
      <w:r>
        <w:rPr>
          <w:rFonts w:ascii="Times New Roman" w:hAnsi="Times New Roman" w:cs="Times New Roman"/>
          <w:sz w:val="28"/>
          <w:szCs w:val="24"/>
        </w:rPr>
        <w:t>ure</w:t>
      </w:r>
      <w:r w:rsidRPr="00C5296C">
        <w:rPr>
          <w:rFonts w:ascii="Times New Roman" w:hAnsi="Times New Roman" w:cs="Times New Roman"/>
          <w:sz w:val="28"/>
          <w:szCs w:val="24"/>
        </w:rPr>
        <w:t xml:space="preserve"> 2: Top 10 State by Total Enrolment</w:t>
      </w:r>
    </w:p>
    <w:p w14:paraId="3ADF43A7" w14:textId="4F7C8708" w:rsidR="002C43FE" w:rsidRDefault="00C5296C" w:rsidP="00C5296C">
      <w:pPr>
        <w:pStyle w:val="NormalWeb"/>
        <w:jc w:val="both"/>
      </w:pPr>
      <w:r>
        <w:t xml:space="preserve">This chart </w:t>
      </w:r>
      <w:r w:rsidR="00953299">
        <w:t xml:space="preserve">shows in figure 2 </w:t>
      </w:r>
      <w:r>
        <w:t xml:space="preserve">presents the top ten states ranked by total Aadhaar enrolments during the study period. </w:t>
      </w:r>
      <w:r>
        <w:rPr>
          <w:rStyle w:val="Strong"/>
        </w:rPr>
        <w:t>Uttar Pradesh</w:t>
      </w:r>
      <w:r>
        <w:t xml:space="preserve"> emerges as the highest contributor, with enrolments exceeding </w:t>
      </w:r>
      <w:r>
        <w:rPr>
          <w:rStyle w:val="Strong"/>
        </w:rPr>
        <w:t>one million</w:t>
      </w:r>
      <w:r>
        <w:t xml:space="preserve">, significantly outperforming all other states. This is followed by </w:t>
      </w:r>
      <w:r>
        <w:rPr>
          <w:rStyle w:val="Strong"/>
        </w:rPr>
        <w:t>Bihar</w:t>
      </w:r>
      <w:r>
        <w:t xml:space="preserve"> and </w:t>
      </w:r>
      <w:r>
        <w:rPr>
          <w:rStyle w:val="Strong"/>
        </w:rPr>
        <w:t>Madhya Pradesh</w:t>
      </w:r>
      <w:r>
        <w:t>, indicating a strong concentration of enrolment activity in high-population states.</w:t>
      </w:r>
      <w:r w:rsidR="00953299">
        <w:t xml:space="preserve"> </w:t>
      </w:r>
      <w:r>
        <w:t xml:space="preserve">States such as </w:t>
      </w:r>
      <w:r>
        <w:rPr>
          <w:rStyle w:val="Strong"/>
        </w:rPr>
        <w:t>West Bengal, Maharashtra, and Rajasthan</w:t>
      </w:r>
      <w:r>
        <w:t xml:space="preserve"> form a middle tier with moderate enrolment levels, while </w:t>
      </w:r>
      <w:r>
        <w:rPr>
          <w:rStyle w:val="Strong"/>
        </w:rPr>
        <w:t>Gujarat, Assam, Karnataka, and Tamil Nadu</w:t>
      </w:r>
      <w:r>
        <w:t xml:space="preserve"> show comparatively lower enrolment figures among the top ten. The sharp decline after the top three states highlights regional disparities in enrolment intensity. </w:t>
      </w:r>
    </w:p>
    <w:p w14:paraId="6B9520EE" w14:textId="31203007" w:rsidR="00C5296C" w:rsidRDefault="00C5296C" w:rsidP="00C5296C">
      <w:pPr>
        <w:pStyle w:val="NormalWeb"/>
        <w:jc w:val="both"/>
      </w:pPr>
      <w:r>
        <w:t xml:space="preserve">This pattern suggests that Aadhaar enrolment activity is closely linked to population size, demographic structure, and outreach effectiveness. However, it also indicates potential </w:t>
      </w:r>
      <w:r>
        <w:rPr>
          <w:rStyle w:val="Strong"/>
        </w:rPr>
        <w:t>under-enrolment or saturation effects</w:t>
      </w:r>
      <w:r>
        <w:t xml:space="preserve"> in certain states, where enrolment growth may have slowed. These insights can help authorities prioritize targeted enrolment or update initiatives in lower-performing regions while optimizing resources in high-volume states.</w:t>
      </w:r>
    </w:p>
    <w:p w14:paraId="407C65E1" w14:textId="502985E2" w:rsidR="00C5296C" w:rsidRDefault="006A1535" w:rsidP="006A1535">
      <w:pPr>
        <w:pStyle w:val="NormalWeb"/>
        <w:jc w:val="center"/>
      </w:pPr>
      <w:r>
        <w:rPr>
          <w:noProof/>
        </w:rPr>
        <w:drawing>
          <wp:inline distT="0" distB="0" distL="0" distR="0" wp14:anchorId="64020771" wp14:editId="388C1725">
            <wp:extent cx="4922520" cy="2385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15 154438.png"/>
                    <pic:cNvPicPr/>
                  </pic:nvPicPr>
                  <pic:blipFill>
                    <a:blip r:embed="rId9">
                      <a:extLst>
                        <a:ext uri="{28A0092B-C50C-407E-A947-70E740481C1C}">
                          <a14:useLocalDpi xmlns:a14="http://schemas.microsoft.com/office/drawing/2010/main" val="0"/>
                        </a:ext>
                      </a:extLst>
                    </a:blip>
                    <a:stretch>
                      <a:fillRect/>
                    </a:stretch>
                  </pic:blipFill>
                  <pic:spPr>
                    <a:xfrm>
                      <a:off x="0" y="0"/>
                      <a:ext cx="5048670" cy="2446182"/>
                    </a:xfrm>
                    <a:prstGeom prst="rect">
                      <a:avLst/>
                    </a:prstGeom>
                  </pic:spPr>
                </pic:pic>
              </a:graphicData>
            </a:graphic>
          </wp:inline>
        </w:drawing>
      </w:r>
    </w:p>
    <w:p w14:paraId="27F9F350" w14:textId="275BA03A" w:rsidR="00AF6C9A" w:rsidRDefault="006A1535" w:rsidP="006A1535">
      <w:pPr>
        <w:jc w:val="center"/>
        <w:rPr>
          <w:rFonts w:ascii="Times New Roman" w:hAnsi="Times New Roman" w:cs="Times New Roman"/>
          <w:sz w:val="24"/>
          <w:szCs w:val="22"/>
        </w:rPr>
      </w:pPr>
      <w:r w:rsidRPr="006A1535">
        <w:rPr>
          <w:rFonts w:ascii="Times New Roman" w:hAnsi="Times New Roman" w:cs="Times New Roman"/>
          <w:sz w:val="24"/>
          <w:szCs w:val="22"/>
        </w:rPr>
        <w:t>Figure 3: Top 10 state by Enrolment of Age 0-5</w:t>
      </w:r>
    </w:p>
    <w:p w14:paraId="6B4ADF88" w14:textId="223974F5" w:rsidR="006A1535" w:rsidRDefault="006A1535" w:rsidP="006A1535">
      <w:pPr>
        <w:pStyle w:val="NormalWeb"/>
        <w:jc w:val="both"/>
      </w:pPr>
      <w:r>
        <w:lastRenderedPageBreak/>
        <w:t xml:space="preserve">This chart </w:t>
      </w:r>
      <w:r w:rsidR="00953299">
        <w:t xml:space="preserve">shows in figure 3 </w:t>
      </w:r>
      <w:r>
        <w:t xml:space="preserve">illustrates the top ten states by Aadhaar enrolment for children aged </w:t>
      </w:r>
      <w:r>
        <w:rPr>
          <w:rStyle w:val="Strong"/>
        </w:rPr>
        <w:t>0–5 years</w:t>
      </w:r>
      <w:r>
        <w:t xml:space="preserve">, representing early childhood registration trends. </w:t>
      </w:r>
      <w:r>
        <w:rPr>
          <w:rStyle w:val="Strong"/>
        </w:rPr>
        <w:t>Uttar Pradesh</w:t>
      </w:r>
      <w:r>
        <w:t xml:space="preserve"> leads significantly, recording the highest number of child enrolments, followed by </w:t>
      </w:r>
      <w:r>
        <w:rPr>
          <w:rStyle w:val="Strong"/>
        </w:rPr>
        <w:t>Madhya Pradesh</w:t>
      </w:r>
      <w:r>
        <w:t>. This indicates strong early age Aadhaar adoption in these states, possibly driven by active birth registration linkage, anganwadi outreach, and child welfare programs.</w:t>
      </w:r>
    </w:p>
    <w:p w14:paraId="326E5C5E" w14:textId="0050DF7B" w:rsidR="006A1535" w:rsidRDefault="006A1535" w:rsidP="006A1535">
      <w:pPr>
        <w:pStyle w:val="NormalWeb"/>
        <w:jc w:val="both"/>
      </w:pPr>
      <w:r>
        <w:t xml:space="preserve">States such as </w:t>
      </w:r>
      <w:r>
        <w:rPr>
          <w:rStyle w:val="Strong"/>
        </w:rPr>
        <w:t>Maharashtra, West Bengal, and Bihar</w:t>
      </w:r>
      <w:r>
        <w:t xml:space="preserve"> form a middle tier with relatively comparable enrolment levels, reflecting consistent but varied implementation of child focused enrolment initiatives. </w:t>
      </w:r>
      <w:r>
        <w:rPr>
          <w:rStyle w:val="Strong"/>
        </w:rPr>
        <w:t>Rajasthan and Gujarat</w:t>
      </w:r>
      <w:r>
        <w:t xml:space="preserve"> show moderate enrolment, while </w:t>
      </w:r>
      <w:r>
        <w:rPr>
          <w:rStyle w:val="Strong"/>
        </w:rPr>
        <w:t>Tamil Nadu, Karnataka, and Assam</w:t>
      </w:r>
      <w:r>
        <w:t xml:space="preserve"> record comparatively lower child enrolment figures among the top ten.</w:t>
      </w:r>
    </w:p>
    <w:p w14:paraId="399A25AF" w14:textId="5A91C12D" w:rsidR="006A1535" w:rsidRDefault="006A1535" w:rsidP="006A1535">
      <w:pPr>
        <w:pStyle w:val="NormalWeb"/>
        <w:jc w:val="both"/>
      </w:pPr>
      <w:r>
        <w:t>The variation across states highlights differences in early age enrolment awareness, administrative outreach, and integration with healthcare or education systems. Lower enrolment levels in some states may indicate delayed Aadhaar registration for children or gaps in institutional coordination.</w:t>
      </w:r>
    </w:p>
    <w:p w14:paraId="47FAC68B" w14:textId="1658DD78" w:rsidR="002C43FE" w:rsidRDefault="002C43FE" w:rsidP="002C43FE">
      <w:pPr>
        <w:jc w:val="center"/>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14:anchorId="011E9D20" wp14:editId="267A438B">
            <wp:extent cx="4747260" cy="245094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15 154527.png"/>
                    <pic:cNvPicPr/>
                  </pic:nvPicPr>
                  <pic:blipFill>
                    <a:blip r:embed="rId10">
                      <a:extLst>
                        <a:ext uri="{28A0092B-C50C-407E-A947-70E740481C1C}">
                          <a14:useLocalDpi xmlns:a14="http://schemas.microsoft.com/office/drawing/2010/main" val="0"/>
                        </a:ext>
                      </a:extLst>
                    </a:blip>
                    <a:stretch>
                      <a:fillRect/>
                    </a:stretch>
                  </pic:blipFill>
                  <pic:spPr>
                    <a:xfrm>
                      <a:off x="0" y="0"/>
                      <a:ext cx="4765130" cy="2460171"/>
                    </a:xfrm>
                    <a:prstGeom prst="rect">
                      <a:avLst/>
                    </a:prstGeom>
                  </pic:spPr>
                </pic:pic>
              </a:graphicData>
            </a:graphic>
          </wp:inline>
        </w:drawing>
      </w:r>
    </w:p>
    <w:p w14:paraId="6A3504E1" w14:textId="1CF556A6" w:rsidR="002C43FE" w:rsidRDefault="002C43FE" w:rsidP="002C43FE">
      <w:pPr>
        <w:jc w:val="center"/>
        <w:rPr>
          <w:rFonts w:ascii="Times New Roman" w:hAnsi="Times New Roman" w:cs="Times New Roman"/>
          <w:sz w:val="24"/>
          <w:szCs w:val="22"/>
        </w:rPr>
      </w:pPr>
      <w:r>
        <w:rPr>
          <w:rFonts w:ascii="Times New Roman" w:hAnsi="Times New Roman" w:cs="Times New Roman"/>
          <w:sz w:val="24"/>
          <w:szCs w:val="22"/>
        </w:rPr>
        <w:t>Figure 4: Top 10 State by Enrolment of Age 5-17</w:t>
      </w:r>
    </w:p>
    <w:p w14:paraId="341CA7EF" w14:textId="50F44B72" w:rsidR="002C43FE" w:rsidRDefault="002C43FE" w:rsidP="002C43FE">
      <w:pPr>
        <w:pStyle w:val="NormalWeb"/>
        <w:jc w:val="both"/>
      </w:pPr>
      <w:r>
        <w:t xml:space="preserve">This chart </w:t>
      </w:r>
      <w:r w:rsidR="00953299">
        <w:t xml:space="preserve">shows in figure 4 </w:t>
      </w:r>
      <w:r>
        <w:t xml:space="preserve">presents the state wise distribution of Aadhaar enrolments for individuals aged </w:t>
      </w:r>
      <w:r>
        <w:rPr>
          <w:rStyle w:val="Strong"/>
        </w:rPr>
        <w:t>5–17 years</w:t>
      </w:r>
      <w:r>
        <w:t xml:space="preserve">, representing enrolment patterns among school age children and adolescents. </w:t>
      </w:r>
      <w:r>
        <w:rPr>
          <w:rStyle w:val="Strong"/>
        </w:rPr>
        <w:t>Uttar Pradesh</w:t>
      </w:r>
      <w:r>
        <w:t xml:space="preserve"> records the highest enrolment in this age group, followed by </w:t>
      </w:r>
      <w:r>
        <w:rPr>
          <w:rStyle w:val="Strong"/>
        </w:rPr>
        <w:t>Bihar</w:t>
      </w:r>
      <w:r>
        <w:t>, together accounting for a substantial share of adolescent Aadhaar registrations. This reflects both high population size and the impact of scho</w:t>
      </w:r>
      <w:r w:rsidR="008648E4">
        <w:t>ol linked enrolment initiatives.</w:t>
      </w:r>
    </w:p>
    <w:p w14:paraId="4A635AC2" w14:textId="77777777" w:rsidR="002C43FE" w:rsidRDefault="002C43FE" w:rsidP="002C43FE">
      <w:pPr>
        <w:pStyle w:val="NormalWeb"/>
        <w:jc w:val="both"/>
      </w:pPr>
      <w:r>
        <w:rPr>
          <w:rStyle w:val="Strong"/>
        </w:rPr>
        <w:t>Madhya Pradesh and Rajasthan</w:t>
      </w:r>
      <w:r>
        <w:t xml:space="preserve"> form the next tier, showing moderate enrolment levels, while </w:t>
      </w:r>
      <w:r>
        <w:rPr>
          <w:rStyle w:val="Strong"/>
        </w:rPr>
        <w:t>West Bengal, Maharashtra, and Gujarat</w:t>
      </w:r>
      <w:r>
        <w:t xml:space="preserve"> display relatively lower but consistent enrolment figures. States such as </w:t>
      </w:r>
      <w:r>
        <w:rPr>
          <w:rStyle w:val="Strong"/>
        </w:rPr>
        <w:t>Assam, Tamil Nadu, and Karnataka</w:t>
      </w:r>
      <w:r>
        <w:t xml:space="preserve"> contribute the least within the top ten, indicating either higher enrolment saturation or delayed registration trends.</w:t>
      </w:r>
    </w:p>
    <w:p w14:paraId="2120668B" w14:textId="3A2B4DA0" w:rsidR="006A1535" w:rsidRDefault="00E23315" w:rsidP="00E23315">
      <w:pPr>
        <w:jc w:val="both"/>
        <w:rPr>
          <w:rFonts w:ascii="Times New Roman" w:hAnsi="Times New Roman" w:cs="Times New Roman"/>
          <w:sz w:val="24"/>
          <w:szCs w:val="22"/>
        </w:rPr>
      </w:pPr>
      <w:r w:rsidRPr="00E23315">
        <w:rPr>
          <w:rFonts w:ascii="Times New Roman" w:hAnsi="Times New Roman" w:cs="Times New Roman"/>
          <w:sz w:val="24"/>
          <w:szCs w:val="22"/>
        </w:rPr>
        <w:t>The steep decline after the top two states highlights significant regional variation in adolescent enrolment behavior. Since Aadhaar is often required for school admissions, scholarships, and examinations, uneven enrolment at this stage may impact access to educational and welfare benefits.</w:t>
      </w:r>
    </w:p>
    <w:p w14:paraId="2A4DC014" w14:textId="028B66FF" w:rsidR="00E23315" w:rsidRDefault="00E23315" w:rsidP="00E23315">
      <w:pPr>
        <w:jc w:val="center"/>
        <w:rPr>
          <w:rFonts w:ascii="Times New Roman" w:hAnsi="Times New Roman" w:cs="Times New Roman"/>
          <w:sz w:val="28"/>
          <w:szCs w:val="24"/>
        </w:rPr>
      </w:pPr>
      <w:r>
        <w:rPr>
          <w:rFonts w:ascii="Times New Roman" w:hAnsi="Times New Roman" w:cs="Times New Roman"/>
          <w:noProof/>
          <w:sz w:val="24"/>
          <w:szCs w:val="22"/>
          <w:lang w:eastAsia="en-IN"/>
        </w:rPr>
        <w:lastRenderedPageBreak/>
        <w:drawing>
          <wp:inline distT="0" distB="0" distL="0" distR="0" wp14:anchorId="7A5DAE89" wp14:editId="43C548EC">
            <wp:extent cx="5448300" cy="289195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15 154603.png"/>
                    <pic:cNvPicPr/>
                  </pic:nvPicPr>
                  <pic:blipFill>
                    <a:blip r:embed="rId11">
                      <a:extLst>
                        <a:ext uri="{28A0092B-C50C-407E-A947-70E740481C1C}">
                          <a14:useLocalDpi xmlns:a14="http://schemas.microsoft.com/office/drawing/2010/main" val="0"/>
                        </a:ext>
                      </a:extLst>
                    </a:blip>
                    <a:stretch>
                      <a:fillRect/>
                    </a:stretch>
                  </pic:blipFill>
                  <pic:spPr>
                    <a:xfrm>
                      <a:off x="0" y="0"/>
                      <a:ext cx="5466971" cy="2901868"/>
                    </a:xfrm>
                    <a:prstGeom prst="rect">
                      <a:avLst/>
                    </a:prstGeom>
                  </pic:spPr>
                </pic:pic>
              </a:graphicData>
            </a:graphic>
          </wp:inline>
        </w:drawing>
      </w:r>
    </w:p>
    <w:p w14:paraId="24FD96E9" w14:textId="672C0BE1" w:rsidR="00E23315" w:rsidRDefault="00E23315" w:rsidP="00E23315">
      <w:pPr>
        <w:ind w:firstLine="720"/>
        <w:jc w:val="center"/>
        <w:rPr>
          <w:rFonts w:ascii="Times New Roman" w:hAnsi="Times New Roman" w:cs="Times New Roman"/>
          <w:sz w:val="28"/>
          <w:szCs w:val="24"/>
        </w:rPr>
      </w:pPr>
      <w:r>
        <w:rPr>
          <w:rFonts w:ascii="Times New Roman" w:hAnsi="Times New Roman" w:cs="Times New Roman"/>
          <w:sz w:val="28"/>
          <w:szCs w:val="24"/>
        </w:rPr>
        <w:t>F</w:t>
      </w:r>
      <w:r w:rsidR="0036061D">
        <w:rPr>
          <w:rFonts w:ascii="Times New Roman" w:hAnsi="Times New Roman" w:cs="Times New Roman"/>
          <w:sz w:val="28"/>
          <w:szCs w:val="24"/>
        </w:rPr>
        <w:t>igure 5</w:t>
      </w:r>
      <w:r>
        <w:rPr>
          <w:rFonts w:ascii="Times New Roman" w:hAnsi="Times New Roman" w:cs="Times New Roman"/>
          <w:sz w:val="28"/>
          <w:szCs w:val="24"/>
        </w:rPr>
        <w:t>: Top 10 state by Enrolment of Age &gt;= 18</w:t>
      </w:r>
    </w:p>
    <w:p w14:paraId="06A06EE0" w14:textId="34D2E571" w:rsidR="00E23315" w:rsidRPr="00E23315" w:rsidRDefault="00E23315" w:rsidP="003606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23315">
        <w:rPr>
          <w:rFonts w:ascii="Times New Roman" w:eastAsia="Times New Roman" w:hAnsi="Times New Roman" w:cs="Times New Roman"/>
          <w:sz w:val="24"/>
          <w:szCs w:val="24"/>
          <w:lang w:eastAsia="en-IN"/>
        </w:rPr>
        <w:t xml:space="preserve">This chart </w:t>
      </w:r>
      <w:r w:rsidR="00953299">
        <w:rPr>
          <w:rFonts w:ascii="Times New Roman" w:eastAsia="Times New Roman" w:hAnsi="Times New Roman" w:cs="Times New Roman"/>
          <w:sz w:val="24"/>
          <w:szCs w:val="24"/>
          <w:lang w:eastAsia="en-IN"/>
        </w:rPr>
        <w:t xml:space="preserve">shows in figure 5 </w:t>
      </w:r>
      <w:r w:rsidRPr="00E23315">
        <w:rPr>
          <w:rFonts w:ascii="Times New Roman" w:eastAsia="Times New Roman" w:hAnsi="Times New Roman" w:cs="Times New Roman"/>
          <w:sz w:val="24"/>
          <w:szCs w:val="24"/>
          <w:lang w:eastAsia="en-IN"/>
        </w:rPr>
        <w:t xml:space="preserve">depicts the top ten states by Aadhaar enrolment for individuals aged </w:t>
      </w:r>
      <w:r w:rsidRPr="00E23315">
        <w:rPr>
          <w:rFonts w:ascii="Times New Roman" w:eastAsia="Times New Roman" w:hAnsi="Times New Roman" w:cs="Times New Roman"/>
          <w:b/>
          <w:bCs/>
          <w:sz w:val="24"/>
          <w:szCs w:val="24"/>
          <w:lang w:eastAsia="en-IN"/>
        </w:rPr>
        <w:t>18 years and above</w:t>
      </w:r>
      <w:r w:rsidRPr="00E23315">
        <w:rPr>
          <w:rFonts w:ascii="Times New Roman" w:eastAsia="Times New Roman" w:hAnsi="Times New Roman" w:cs="Times New Roman"/>
          <w:sz w:val="24"/>
          <w:szCs w:val="24"/>
          <w:lang w:eastAsia="en-IN"/>
        </w:rPr>
        <w:t xml:space="preserve">, representing adult first time enrolments. </w:t>
      </w:r>
      <w:r w:rsidRPr="00E23315">
        <w:rPr>
          <w:rFonts w:ascii="Times New Roman" w:eastAsia="Times New Roman" w:hAnsi="Times New Roman" w:cs="Times New Roman"/>
          <w:b/>
          <w:bCs/>
          <w:sz w:val="24"/>
          <w:szCs w:val="24"/>
          <w:lang w:eastAsia="en-IN"/>
        </w:rPr>
        <w:t>Assam</w:t>
      </w:r>
      <w:r w:rsidRPr="00E23315">
        <w:rPr>
          <w:rFonts w:ascii="Times New Roman" w:eastAsia="Times New Roman" w:hAnsi="Times New Roman" w:cs="Times New Roman"/>
          <w:sz w:val="24"/>
          <w:szCs w:val="24"/>
          <w:lang w:eastAsia="en-IN"/>
        </w:rPr>
        <w:t xml:space="preserve"> records the highest adult enrolment, followed by </w:t>
      </w:r>
      <w:r w:rsidRPr="00E23315">
        <w:rPr>
          <w:rFonts w:ascii="Times New Roman" w:eastAsia="Times New Roman" w:hAnsi="Times New Roman" w:cs="Times New Roman"/>
          <w:b/>
          <w:bCs/>
          <w:sz w:val="24"/>
          <w:szCs w:val="24"/>
          <w:lang w:eastAsia="en-IN"/>
        </w:rPr>
        <w:t>Uttar Pradesh</w:t>
      </w:r>
      <w:r w:rsidRPr="00E23315">
        <w:rPr>
          <w:rFonts w:ascii="Times New Roman" w:eastAsia="Times New Roman" w:hAnsi="Times New Roman" w:cs="Times New Roman"/>
          <w:sz w:val="24"/>
          <w:szCs w:val="24"/>
          <w:lang w:eastAsia="en-IN"/>
        </w:rPr>
        <w:t xml:space="preserve"> and </w:t>
      </w:r>
      <w:r w:rsidRPr="00E23315">
        <w:rPr>
          <w:rFonts w:ascii="Times New Roman" w:eastAsia="Times New Roman" w:hAnsi="Times New Roman" w:cs="Times New Roman"/>
          <w:b/>
          <w:bCs/>
          <w:sz w:val="24"/>
          <w:szCs w:val="24"/>
          <w:lang w:eastAsia="en-IN"/>
        </w:rPr>
        <w:t>Gujarat</w:t>
      </w:r>
      <w:r w:rsidRPr="00E23315">
        <w:rPr>
          <w:rFonts w:ascii="Times New Roman" w:eastAsia="Times New Roman" w:hAnsi="Times New Roman" w:cs="Times New Roman"/>
          <w:sz w:val="24"/>
          <w:szCs w:val="24"/>
          <w:lang w:eastAsia="en-IN"/>
        </w:rPr>
        <w:t>. Unlike child and adolescent enrolment patterns, adult enrolments are relatively low across all states, indicating that Aadhaar coverage among adults is largely saturated in most regions.</w:t>
      </w:r>
    </w:p>
    <w:p w14:paraId="53CA3B60" w14:textId="77777777" w:rsidR="00E23315" w:rsidRPr="00E23315" w:rsidRDefault="00E23315" w:rsidP="003606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23315">
        <w:rPr>
          <w:rFonts w:ascii="Times New Roman" w:eastAsia="Times New Roman" w:hAnsi="Times New Roman" w:cs="Times New Roman"/>
          <w:sz w:val="24"/>
          <w:szCs w:val="24"/>
          <w:lang w:eastAsia="en-IN"/>
        </w:rPr>
        <w:t xml:space="preserve">The higher adult enrolment in Assam may suggest delayed enrolment, migration related registrations, or region specific outreach initiatives. States such as </w:t>
      </w:r>
      <w:r w:rsidRPr="00E23315">
        <w:rPr>
          <w:rFonts w:ascii="Times New Roman" w:eastAsia="Times New Roman" w:hAnsi="Times New Roman" w:cs="Times New Roman"/>
          <w:b/>
          <w:bCs/>
          <w:sz w:val="24"/>
          <w:szCs w:val="24"/>
          <w:lang w:eastAsia="en-IN"/>
        </w:rPr>
        <w:t>Bihar, Karnataka, and Madhya Pradesh</w:t>
      </w:r>
      <w:r w:rsidRPr="00E23315">
        <w:rPr>
          <w:rFonts w:ascii="Times New Roman" w:eastAsia="Times New Roman" w:hAnsi="Times New Roman" w:cs="Times New Roman"/>
          <w:sz w:val="24"/>
          <w:szCs w:val="24"/>
          <w:lang w:eastAsia="en-IN"/>
        </w:rPr>
        <w:t xml:space="preserve"> show moderate adult enrolment activity, while </w:t>
      </w:r>
      <w:r w:rsidRPr="00E23315">
        <w:rPr>
          <w:rFonts w:ascii="Times New Roman" w:eastAsia="Times New Roman" w:hAnsi="Times New Roman" w:cs="Times New Roman"/>
          <w:b/>
          <w:bCs/>
          <w:sz w:val="24"/>
          <w:szCs w:val="24"/>
          <w:lang w:eastAsia="en-IN"/>
        </w:rPr>
        <w:t>Maharashtra, Rajasthan, and Tamil Nadu</w:t>
      </w:r>
      <w:r w:rsidRPr="00E23315">
        <w:rPr>
          <w:rFonts w:ascii="Times New Roman" w:eastAsia="Times New Roman" w:hAnsi="Times New Roman" w:cs="Times New Roman"/>
          <w:sz w:val="24"/>
          <w:szCs w:val="24"/>
          <w:lang w:eastAsia="en-IN"/>
        </w:rPr>
        <w:t xml:space="preserve"> record the lowest adult enrolment figures among the top ten.</w:t>
      </w:r>
    </w:p>
    <w:p w14:paraId="1054ADF7" w14:textId="77777777" w:rsidR="00E23315" w:rsidRPr="00E23315" w:rsidRDefault="00E23315" w:rsidP="003606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23315">
        <w:rPr>
          <w:rFonts w:ascii="Times New Roman" w:eastAsia="Times New Roman" w:hAnsi="Times New Roman" w:cs="Times New Roman"/>
          <w:sz w:val="24"/>
          <w:szCs w:val="24"/>
          <w:lang w:eastAsia="en-IN"/>
        </w:rPr>
        <w:t>The uneven distribution and low overall volume of adult enrolments highlight a shift in Aadhaar system usage from new registrations toward update and correction services. This trend is important for understanding changing service demand patterns.</w:t>
      </w:r>
    </w:p>
    <w:p w14:paraId="09A8DDFB" w14:textId="2C75203E" w:rsidR="0036061D" w:rsidRDefault="0036061D" w:rsidP="0036061D">
      <w:pPr>
        <w:jc w:val="center"/>
        <w:rPr>
          <w:rFonts w:ascii="Times New Roman" w:hAnsi="Times New Roman" w:cs="Times New Roman"/>
          <w:sz w:val="28"/>
          <w:szCs w:val="24"/>
        </w:rPr>
      </w:pPr>
      <w:r w:rsidRPr="0036061D">
        <w:rPr>
          <w:rFonts w:ascii="Times New Roman" w:hAnsi="Times New Roman" w:cs="Times New Roman"/>
          <w:noProof/>
          <w:sz w:val="28"/>
          <w:szCs w:val="24"/>
          <w:lang w:eastAsia="en-IN"/>
        </w:rPr>
        <w:drawing>
          <wp:inline distT="0" distB="0" distL="0" distR="0" wp14:anchorId="77AB37E2" wp14:editId="68129899">
            <wp:extent cx="3239770" cy="22526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3170" cy="2275916"/>
                    </a:xfrm>
                    <a:prstGeom prst="rect">
                      <a:avLst/>
                    </a:prstGeom>
                  </pic:spPr>
                </pic:pic>
              </a:graphicData>
            </a:graphic>
          </wp:inline>
        </w:drawing>
      </w:r>
    </w:p>
    <w:p w14:paraId="2462AB43" w14:textId="4DC562AD" w:rsidR="00E23315" w:rsidRDefault="0036061D" w:rsidP="0036061D">
      <w:pPr>
        <w:jc w:val="center"/>
        <w:rPr>
          <w:rFonts w:ascii="Times New Roman" w:hAnsi="Times New Roman" w:cs="Times New Roman"/>
          <w:sz w:val="28"/>
          <w:szCs w:val="24"/>
        </w:rPr>
      </w:pPr>
      <w:r>
        <w:rPr>
          <w:rFonts w:ascii="Times New Roman" w:hAnsi="Times New Roman" w:cs="Times New Roman"/>
          <w:sz w:val="28"/>
          <w:szCs w:val="24"/>
        </w:rPr>
        <w:t>F</w:t>
      </w:r>
      <w:r w:rsidR="00D50C9A">
        <w:rPr>
          <w:rFonts w:ascii="Times New Roman" w:hAnsi="Times New Roman" w:cs="Times New Roman"/>
          <w:sz w:val="28"/>
          <w:szCs w:val="24"/>
        </w:rPr>
        <w:t>igure 6</w:t>
      </w:r>
      <w:r>
        <w:rPr>
          <w:rFonts w:ascii="Times New Roman" w:hAnsi="Times New Roman" w:cs="Times New Roman"/>
          <w:sz w:val="28"/>
          <w:szCs w:val="24"/>
        </w:rPr>
        <w:t>: Enrolment % by Age Group</w:t>
      </w:r>
    </w:p>
    <w:p w14:paraId="755AB1F9" w14:textId="5FCAAFAE" w:rsidR="00D50C9A" w:rsidRPr="00D50C9A" w:rsidRDefault="00D50C9A" w:rsidP="00D50C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50C9A">
        <w:rPr>
          <w:rFonts w:ascii="Times New Roman" w:eastAsia="Times New Roman" w:hAnsi="Times New Roman" w:cs="Times New Roman"/>
          <w:sz w:val="24"/>
          <w:szCs w:val="24"/>
          <w:lang w:eastAsia="en-IN"/>
        </w:rPr>
        <w:lastRenderedPageBreak/>
        <w:t xml:space="preserve">This chart </w:t>
      </w:r>
      <w:r w:rsidR="00953299">
        <w:rPr>
          <w:rFonts w:ascii="Times New Roman" w:eastAsia="Times New Roman" w:hAnsi="Times New Roman" w:cs="Times New Roman"/>
          <w:sz w:val="24"/>
          <w:szCs w:val="24"/>
          <w:lang w:eastAsia="en-IN"/>
        </w:rPr>
        <w:t xml:space="preserve">in figure 6 </w:t>
      </w:r>
      <w:r w:rsidRPr="00D50C9A">
        <w:rPr>
          <w:rFonts w:ascii="Times New Roman" w:eastAsia="Times New Roman" w:hAnsi="Times New Roman" w:cs="Times New Roman"/>
          <w:sz w:val="24"/>
          <w:szCs w:val="24"/>
          <w:lang w:eastAsia="en-IN"/>
        </w:rPr>
        <w:t xml:space="preserve">illustrates the proportion of Aadhaar enrolments across different age groups during the study period. The </w:t>
      </w:r>
      <w:r w:rsidRPr="00D50C9A">
        <w:rPr>
          <w:rFonts w:ascii="Times New Roman" w:eastAsia="Times New Roman" w:hAnsi="Times New Roman" w:cs="Times New Roman"/>
          <w:b/>
          <w:bCs/>
          <w:sz w:val="24"/>
          <w:szCs w:val="24"/>
          <w:lang w:eastAsia="en-IN"/>
        </w:rPr>
        <w:t>0–5 years</w:t>
      </w:r>
      <w:r w:rsidRPr="00D50C9A">
        <w:rPr>
          <w:rFonts w:ascii="Times New Roman" w:eastAsia="Times New Roman" w:hAnsi="Times New Roman" w:cs="Times New Roman"/>
          <w:sz w:val="24"/>
          <w:szCs w:val="24"/>
          <w:lang w:eastAsia="en-IN"/>
        </w:rPr>
        <w:t xml:space="preserve"> age group accounts for the largest share, with </w:t>
      </w:r>
      <w:r w:rsidRPr="00D50C9A">
        <w:rPr>
          <w:rFonts w:ascii="Times New Roman" w:eastAsia="Times New Roman" w:hAnsi="Times New Roman" w:cs="Times New Roman"/>
          <w:b/>
          <w:bCs/>
          <w:sz w:val="24"/>
          <w:szCs w:val="24"/>
          <w:lang w:eastAsia="en-IN"/>
        </w:rPr>
        <w:t>3.55 million enrolments representing approximately 65.25 percent</w:t>
      </w:r>
      <w:r w:rsidRPr="00D50C9A">
        <w:rPr>
          <w:rFonts w:ascii="Times New Roman" w:eastAsia="Times New Roman" w:hAnsi="Times New Roman" w:cs="Times New Roman"/>
          <w:sz w:val="24"/>
          <w:szCs w:val="24"/>
          <w:lang w:eastAsia="en-IN"/>
        </w:rPr>
        <w:t xml:space="preserve"> of the total. This indicates a strong focus on early childhood Aadhaar registration, likely driven by integration with birth registration systems and child welfare programs.</w:t>
      </w:r>
    </w:p>
    <w:p w14:paraId="336A91E6" w14:textId="4C49C0CE" w:rsidR="00D50C9A" w:rsidRPr="00D50C9A" w:rsidRDefault="00D50C9A" w:rsidP="00D50C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50C9A">
        <w:rPr>
          <w:rFonts w:ascii="Times New Roman" w:eastAsia="Times New Roman" w:hAnsi="Times New Roman" w:cs="Times New Roman"/>
          <w:sz w:val="24"/>
          <w:szCs w:val="24"/>
          <w:lang w:eastAsia="en-IN"/>
        </w:rPr>
        <w:t xml:space="preserve">The </w:t>
      </w:r>
      <w:r w:rsidRPr="00D50C9A">
        <w:rPr>
          <w:rFonts w:ascii="Times New Roman" w:eastAsia="Times New Roman" w:hAnsi="Times New Roman" w:cs="Times New Roman"/>
          <w:b/>
          <w:bCs/>
          <w:sz w:val="24"/>
          <w:szCs w:val="24"/>
          <w:lang w:eastAsia="en-IN"/>
        </w:rPr>
        <w:t>5–17 years</w:t>
      </w:r>
      <w:r w:rsidRPr="00D50C9A">
        <w:rPr>
          <w:rFonts w:ascii="Times New Roman" w:eastAsia="Times New Roman" w:hAnsi="Times New Roman" w:cs="Times New Roman"/>
          <w:sz w:val="24"/>
          <w:szCs w:val="24"/>
          <w:lang w:eastAsia="en-IN"/>
        </w:rPr>
        <w:t xml:space="preserve"> age group contributes </w:t>
      </w:r>
      <w:r>
        <w:rPr>
          <w:rFonts w:ascii="Times New Roman" w:eastAsia="Times New Roman" w:hAnsi="Times New Roman" w:cs="Times New Roman"/>
          <w:b/>
          <w:bCs/>
          <w:sz w:val="24"/>
          <w:szCs w:val="24"/>
          <w:lang w:eastAsia="en-IN"/>
        </w:rPr>
        <w:t>1.72 million enrolments</w:t>
      </w:r>
      <w:r w:rsidRPr="00D50C9A">
        <w:rPr>
          <w:rFonts w:ascii="Times New Roman" w:eastAsia="Times New Roman" w:hAnsi="Times New Roman" w:cs="Times New Roman"/>
          <w:b/>
          <w:bCs/>
          <w:sz w:val="24"/>
          <w:szCs w:val="24"/>
          <w:lang w:eastAsia="en-IN"/>
        </w:rPr>
        <w:t xml:space="preserve"> around 31.65 percent</w:t>
      </w:r>
      <w:r w:rsidRPr="00D50C9A">
        <w:rPr>
          <w:rFonts w:ascii="Times New Roman" w:eastAsia="Times New Roman" w:hAnsi="Times New Roman" w:cs="Times New Roman"/>
          <w:sz w:val="24"/>
          <w:szCs w:val="24"/>
          <w:lang w:eastAsia="en-IN"/>
        </w:rPr>
        <w:t>, reflecting consistent enrolment activity among school aged children and adolescents. This trend suggests the influence of school admissions, scholarships, and educational requirements on Aadhaar registration.</w:t>
      </w:r>
    </w:p>
    <w:p w14:paraId="1A6BE286" w14:textId="17CD7129" w:rsidR="00D50C9A" w:rsidRDefault="00D50C9A" w:rsidP="00D50C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50C9A">
        <w:rPr>
          <w:rFonts w:ascii="Times New Roman" w:eastAsia="Times New Roman" w:hAnsi="Times New Roman" w:cs="Times New Roman"/>
          <w:sz w:val="24"/>
          <w:szCs w:val="24"/>
          <w:lang w:eastAsia="en-IN"/>
        </w:rPr>
        <w:t xml:space="preserve">In contrast, enrolments for individuals aged </w:t>
      </w:r>
      <w:r w:rsidRPr="00D50C9A">
        <w:rPr>
          <w:rFonts w:ascii="Times New Roman" w:eastAsia="Times New Roman" w:hAnsi="Times New Roman" w:cs="Times New Roman"/>
          <w:b/>
          <w:bCs/>
          <w:sz w:val="24"/>
          <w:szCs w:val="24"/>
          <w:lang w:eastAsia="en-IN"/>
        </w:rPr>
        <w:t>18 years and above</w:t>
      </w:r>
      <w:r w:rsidRPr="00D50C9A">
        <w:rPr>
          <w:rFonts w:ascii="Times New Roman" w:eastAsia="Times New Roman" w:hAnsi="Times New Roman" w:cs="Times New Roman"/>
          <w:sz w:val="24"/>
          <w:szCs w:val="24"/>
          <w:lang w:eastAsia="en-IN"/>
        </w:rPr>
        <w:t xml:space="preserve"> constitute only </w:t>
      </w:r>
      <w:r w:rsidRPr="00D50C9A">
        <w:rPr>
          <w:rFonts w:ascii="Times New Roman" w:eastAsia="Times New Roman" w:hAnsi="Times New Roman" w:cs="Times New Roman"/>
          <w:b/>
          <w:bCs/>
          <w:sz w:val="24"/>
          <w:szCs w:val="24"/>
          <w:lang w:eastAsia="en-IN"/>
        </w:rPr>
        <w:t>0.17 million, approximately 3.1 percent</w:t>
      </w:r>
      <w:r w:rsidRPr="00D50C9A">
        <w:rPr>
          <w:rFonts w:ascii="Times New Roman" w:eastAsia="Times New Roman" w:hAnsi="Times New Roman" w:cs="Times New Roman"/>
          <w:sz w:val="24"/>
          <w:szCs w:val="24"/>
          <w:lang w:eastAsia="en-IN"/>
        </w:rPr>
        <w:t xml:space="preserve"> of total enrolments. The comparatively low share of adult enrolment indicates that Aadhaar coverage among adults is largely saturated, with fewer first time registrations occurring in this segment.</w:t>
      </w:r>
    </w:p>
    <w:p w14:paraId="3F7AE2AC" w14:textId="77777777" w:rsidR="00C526E0" w:rsidRDefault="00C526E0" w:rsidP="00D50C9A">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E5129EC" w14:textId="5EA4C090" w:rsidR="00D50C9A" w:rsidRPr="00D50C9A" w:rsidRDefault="00D50C9A" w:rsidP="00C526E0">
      <w:pPr>
        <w:spacing w:before="100" w:beforeAutospacing="1" w:after="100" w:afterAutospacing="1" w:line="240" w:lineRule="auto"/>
        <w:ind w:left="-567"/>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17C3D96" wp14:editId="5FE00743">
            <wp:extent cx="6522720" cy="5280660"/>
            <wp:effectExtent l="19050" t="19050" r="1143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15 184233.png"/>
                    <pic:cNvPicPr/>
                  </pic:nvPicPr>
                  <pic:blipFill>
                    <a:blip r:embed="rId13">
                      <a:extLst>
                        <a:ext uri="{28A0092B-C50C-407E-A947-70E740481C1C}">
                          <a14:useLocalDpi xmlns:a14="http://schemas.microsoft.com/office/drawing/2010/main" val="0"/>
                        </a:ext>
                      </a:extLst>
                    </a:blip>
                    <a:stretch>
                      <a:fillRect/>
                    </a:stretch>
                  </pic:blipFill>
                  <pic:spPr>
                    <a:xfrm>
                      <a:off x="0" y="0"/>
                      <a:ext cx="6522720" cy="5280660"/>
                    </a:xfrm>
                    <a:prstGeom prst="rect">
                      <a:avLst/>
                    </a:prstGeom>
                    <a:ln w="12700">
                      <a:solidFill>
                        <a:schemeClr val="tx1"/>
                      </a:solidFill>
                    </a:ln>
                  </pic:spPr>
                </pic:pic>
              </a:graphicData>
            </a:graphic>
          </wp:inline>
        </w:drawing>
      </w:r>
    </w:p>
    <w:p w14:paraId="286756F3" w14:textId="6856C3D6" w:rsidR="00D50C9A" w:rsidRDefault="00C526E0" w:rsidP="00C526E0">
      <w:pPr>
        <w:jc w:val="center"/>
        <w:rPr>
          <w:rFonts w:ascii="Times New Roman" w:hAnsi="Times New Roman" w:cs="Times New Roman"/>
          <w:sz w:val="28"/>
          <w:szCs w:val="24"/>
        </w:rPr>
      </w:pPr>
      <w:r>
        <w:rPr>
          <w:rFonts w:ascii="Times New Roman" w:hAnsi="Times New Roman" w:cs="Times New Roman"/>
          <w:sz w:val="28"/>
          <w:szCs w:val="24"/>
        </w:rPr>
        <w:t>Figure 7: Time series analysis for enrolment</w:t>
      </w:r>
    </w:p>
    <w:p w14:paraId="3D7DF718" w14:textId="247D25C4" w:rsidR="00AE5C7B" w:rsidRDefault="00AE5C7B" w:rsidP="00AE5C7B">
      <w:pPr>
        <w:pStyle w:val="ListParagraph"/>
        <w:numPr>
          <w:ilvl w:val="0"/>
          <w:numId w:val="4"/>
        </w:numPr>
        <w:spacing w:before="100" w:beforeAutospacing="1" w:after="100" w:afterAutospacing="1" w:line="240" w:lineRule="auto"/>
        <w:ind w:left="426" w:hanging="426"/>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Enrolment by months</w:t>
      </w:r>
    </w:p>
    <w:p w14:paraId="4C5D399B" w14:textId="4DC1DB7E" w:rsidR="00C526E0" w:rsidRPr="00C526E0" w:rsidRDefault="00C526E0" w:rsidP="00AE5C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E0">
        <w:rPr>
          <w:rFonts w:ascii="Times New Roman" w:eastAsia="Times New Roman" w:hAnsi="Times New Roman" w:cs="Times New Roman"/>
          <w:sz w:val="24"/>
          <w:szCs w:val="24"/>
          <w:lang w:eastAsia="en-IN"/>
        </w:rPr>
        <w:t>T</w:t>
      </w:r>
      <w:r w:rsidR="00A52529">
        <w:rPr>
          <w:rFonts w:ascii="Times New Roman" w:eastAsia="Times New Roman" w:hAnsi="Times New Roman" w:cs="Times New Roman"/>
          <w:sz w:val="24"/>
          <w:szCs w:val="24"/>
          <w:lang w:eastAsia="en-IN"/>
        </w:rPr>
        <w:t>he monthly trend shows a normal</w:t>
      </w:r>
      <w:r w:rsidRPr="00C526E0">
        <w:rPr>
          <w:rFonts w:ascii="Times New Roman" w:eastAsia="Times New Roman" w:hAnsi="Times New Roman" w:cs="Times New Roman"/>
          <w:sz w:val="24"/>
          <w:szCs w:val="24"/>
          <w:lang w:eastAsia="en-IN"/>
        </w:rPr>
        <w:t xml:space="preserve"> increase in enrolment activity from </w:t>
      </w:r>
      <w:r w:rsidRPr="00C526E0">
        <w:rPr>
          <w:rFonts w:ascii="Times New Roman" w:eastAsia="Times New Roman" w:hAnsi="Times New Roman" w:cs="Times New Roman"/>
          <w:b/>
          <w:bCs/>
          <w:sz w:val="24"/>
          <w:szCs w:val="24"/>
          <w:lang w:eastAsia="en-IN"/>
        </w:rPr>
        <w:t>March to July</w:t>
      </w:r>
      <w:r w:rsidR="0093592C">
        <w:rPr>
          <w:rFonts w:ascii="Times New Roman" w:eastAsia="Times New Roman" w:hAnsi="Times New Roman" w:cs="Times New Roman"/>
          <w:sz w:val="24"/>
          <w:szCs w:val="24"/>
          <w:lang w:eastAsia="en-IN"/>
        </w:rPr>
        <w:t xml:space="preserve">, </w:t>
      </w:r>
      <w:r w:rsidRPr="00C526E0">
        <w:rPr>
          <w:rFonts w:ascii="Times New Roman" w:eastAsia="Times New Roman" w:hAnsi="Times New Roman" w:cs="Times New Roman"/>
          <w:sz w:val="24"/>
          <w:szCs w:val="24"/>
          <w:lang w:eastAsia="en-IN"/>
        </w:rPr>
        <w:t xml:space="preserve">followed by a sharp peak during </w:t>
      </w:r>
      <w:r w:rsidRPr="00C526E0">
        <w:rPr>
          <w:rFonts w:ascii="Times New Roman" w:eastAsia="Times New Roman" w:hAnsi="Times New Roman" w:cs="Times New Roman"/>
          <w:b/>
          <w:bCs/>
          <w:sz w:val="24"/>
          <w:szCs w:val="24"/>
          <w:lang w:eastAsia="en-IN"/>
        </w:rPr>
        <w:t>September</w:t>
      </w:r>
      <w:r w:rsidRPr="00C526E0">
        <w:rPr>
          <w:rFonts w:ascii="Times New Roman" w:eastAsia="Times New Roman" w:hAnsi="Times New Roman" w:cs="Times New Roman"/>
          <w:sz w:val="24"/>
          <w:szCs w:val="24"/>
          <w:lang w:eastAsia="en-IN"/>
        </w:rPr>
        <w:t>,</w:t>
      </w:r>
      <w:r w:rsidR="0093592C">
        <w:rPr>
          <w:rFonts w:ascii="Times New Roman" w:eastAsia="Times New Roman" w:hAnsi="Times New Roman" w:cs="Times New Roman"/>
          <w:sz w:val="24"/>
          <w:szCs w:val="24"/>
          <w:lang w:eastAsia="en-IN"/>
        </w:rPr>
        <w:t xml:space="preserve"> </w:t>
      </w:r>
      <w:r w:rsidRPr="00C526E0">
        <w:rPr>
          <w:rFonts w:ascii="Times New Roman" w:eastAsia="Times New Roman" w:hAnsi="Times New Roman" w:cs="Times New Roman"/>
          <w:sz w:val="24"/>
          <w:szCs w:val="24"/>
          <w:lang w:eastAsia="en-IN"/>
        </w:rPr>
        <w:t xml:space="preserve">particularly for the </w:t>
      </w:r>
      <w:r w:rsidRPr="00C526E0">
        <w:rPr>
          <w:rFonts w:ascii="Times New Roman" w:eastAsia="Times New Roman" w:hAnsi="Times New Roman" w:cs="Times New Roman"/>
          <w:b/>
          <w:bCs/>
          <w:sz w:val="24"/>
          <w:szCs w:val="24"/>
          <w:lang w:eastAsia="en-IN"/>
        </w:rPr>
        <w:t>0–5 years</w:t>
      </w:r>
      <w:r w:rsidRPr="00C526E0">
        <w:rPr>
          <w:rFonts w:ascii="Times New Roman" w:eastAsia="Times New Roman" w:hAnsi="Times New Roman" w:cs="Times New Roman"/>
          <w:sz w:val="24"/>
          <w:szCs w:val="24"/>
          <w:lang w:eastAsia="en-IN"/>
        </w:rPr>
        <w:t xml:space="preserve"> and </w:t>
      </w:r>
      <w:r w:rsidRPr="00C526E0">
        <w:rPr>
          <w:rFonts w:ascii="Times New Roman" w:eastAsia="Times New Roman" w:hAnsi="Times New Roman" w:cs="Times New Roman"/>
          <w:b/>
          <w:bCs/>
          <w:sz w:val="24"/>
          <w:szCs w:val="24"/>
          <w:lang w:eastAsia="en-IN"/>
        </w:rPr>
        <w:t>5–17 years</w:t>
      </w:r>
      <w:r w:rsidRPr="00C526E0">
        <w:rPr>
          <w:rFonts w:ascii="Times New Roman" w:eastAsia="Times New Roman" w:hAnsi="Times New Roman" w:cs="Times New Roman"/>
          <w:sz w:val="24"/>
          <w:szCs w:val="24"/>
          <w:lang w:eastAsia="en-IN"/>
        </w:rPr>
        <w:t xml:space="preserve"> age groups.</w:t>
      </w:r>
      <w:r w:rsidR="0093592C">
        <w:rPr>
          <w:rFonts w:ascii="Times New Roman" w:eastAsia="Times New Roman" w:hAnsi="Times New Roman" w:cs="Times New Roman"/>
          <w:sz w:val="24"/>
          <w:szCs w:val="24"/>
          <w:lang w:eastAsia="en-IN"/>
        </w:rPr>
        <w:t xml:space="preserve"> </w:t>
      </w:r>
      <w:r w:rsidRPr="00C526E0">
        <w:rPr>
          <w:rFonts w:ascii="Times New Roman" w:eastAsia="Times New Roman" w:hAnsi="Times New Roman" w:cs="Times New Roman"/>
          <w:sz w:val="24"/>
          <w:szCs w:val="24"/>
          <w:lang w:eastAsia="en-IN"/>
        </w:rPr>
        <w:t xml:space="preserve">This surge suggests the influence of structured enrolment drives, school admission cycles, and child focused government programs. Enrolment levels decline after September but remain relatively elevated during </w:t>
      </w:r>
      <w:r w:rsidRPr="00C526E0">
        <w:rPr>
          <w:rFonts w:ascii="Times New Roman" w:eastAsia="Times New Roman" w:hAnsi="Times New Roman" w:cs="Times New Roman"/>
          <w:b/>
          <w:bCs/>
          <w:sz w:val="24"/>
          <w:szCs w:val="24"/>
          <w:lang w:eastAsia="en-IN"/>
        </w:rPr>
        <w:t>October and November</w:t>
      </w:r>
      <w:r w:rsidRPr="00C526E0">
        <w:rPr>
          <w:rFonts w:ascii="Times New Roman" w:eastAsia="Times New Roman" w:hAnsi="Times New Roman" w:cs="Times New Roman"/>
          <w:sz w:val="24"/>
          <w:szCs w:val="24"/>
          <w:lang w:eastAsia="en-IN"/>
        </w:rPr>
        <w:t>, before tapering off in December.</w:t>
      </w:r>
      <w:r w:rsidR="0093592C">
        <w:rPr>
          <w:rFonts w:ascii="Times New Roman" w:eastAsia="Times New Roman" w:hAnsi="Times New Roman" w:cs="Times New Roman"/>
          <w:sz w:val="24"/>
          <w:szCs w:val="24"/>
          <w:lang w:eastAsia="en-IN"/>
        </w:rPr>
        <w:t xml:space="preserve"> There is not a single entry in the month of August.</w:t>
      </w:r>
    </w:p>
    <w:p w14:paraId="2F77C2EE" w14:textId="77777777" w:rsidR="00C526E0" w:rsidRPr="00C526E0" w:rsidRDefault="00C526E0" w:rsidP="00AE5C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526E0">
        <w:rPr>
          <w:rFonts w:ascii="Times New Roman" w:eastAsia="Times New Roman" w:hAnsi="Times New Roman" w:cs="Times New Roman"/>
          <w:sz w:val="24"/>
          <w:szCs w:val="24"/>
          <w:lang w:eastAsia="en-IN"/>
        </w:rPr>
        <w:t>Adult enrolment (</w:t>
      </w:r>
      <w:r w:rsidRPr="00C526E0">
        <w:rPr>
          <w:rFonts w:ascii="Times New Roman" w:eastAsia="Times New Roman" w:hAnsi="Times New Roman" w:cs="Times New Roman"/>
          <w:b/>
          <w:bCs/>
          <w:sz w:val="24"/>
          <w:szCs w:val="24"/>
          <w:lang w:eastAsia="en-IN"/>
        </w:rPr>
        <w:t>18 years and above</w:t>
      </w:r>
      <w:r w:rsidRPr="00C526E0">
        <w:rPr>
          <w:rFonts w:ascii="Times New Roman" w:eastAsia="Times New Roman" w:hAnsi="Times New Roman" w:cs="Times New Roman"/>
          <w:sz w:val="24"/>
          <w:szCs w:val="24"/>
          <w:lang w:eastAsia="en-IN"/>
        </w:rPr>
        <w:t>) remains consistently low across all months, showing minimal seasonal variation. This further reinforces the observation that most adult Aadhaar registrations have already been completed, and current demand is largely driven by younger age groups.</w:t>
      </w:r>
    </w:p>
    <w:p w14:paraId="5DA16203" w14:textId="2AADAA15" w:rsidR="00AE5C7B" w:rsidRDefault="00AE5C7B" w:rsidP="00AE5C7B">
      <w:pPr>
        <w:pStyle w:val="ListParagraph"/>
        <w:numPr>
          <w:ilvl w:val="0"/>
          <w:numId w:val="4"/>
        </w:numPr>
        <w:spacing w:before="100" w:beforeAutospacing="1" w:after="100" w:afterAutospacing="1" w:line="240" w:lineRule="auto"/>
        <w:ind w:left="426" w:hanging="426"/>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Enrolment by Quarter</w:t>
      </w:r>
    </w:p>
    <w:p w14:paraId="505C18C3" w14:textId="7921B56C" w:rsidR="00AE5C7B" w:rsidRPr="00AE5C7B" w:rsidRDefault="00AE5C7B" w:rsidP="00AE5C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5C7B">
        <w:rPr>
          <w:rFonts w:ascii="Times New Roman" w:eastAsia="Times New Roman" w:hAnsi="Times New Roman" w:cs="Times New Roman"/>
          <w:sz w:val="24"/>
          <w:szCs w:val="24"/>
          <w:lang w:eastAsia="en-IN"/>
        </w:rPr>
        <w:t xml:space="preserve">Quarterly analysis reveals a clear upward trend in enrolment activity across the year. </w:t>
      </w:r>
      <w:r w:rsidRPr="00AE5C7B">
        <w:rPr>
          <w:rFonts w:ascii="Times New Roman" w:eastAsia="Times New Roman" w:hAnsi="Times New Roman" w:cs="Times New Roman"/>
          <w:b/>
          <w:bCs/>
          <w:sz w:val="24"/>
          <w:szCs w:val="24"/>
          <w:lang w:eastAsia="en-IN"/>
        </w:rPr>
        <w:t>Quarter 1 and Quarter 2</w:t>
      </w:r>
      <w:r w:rsidRPr="00AE5C7B">
        <w:rPr>
          <w:rFonts w:ascii="Times New Roman" w:eastAsia="Times New Roman" w:hAnsi="Times New Roman" w:cs="Times New Roman"/>
          <w:sz w:val="24"/>
          <w:szCs w:val="24"/>
          <w:lang w:eastAsia="en-IN"/>
        </w:rPr>
        <w:t xml:space="preserve"> show relatively lower enrolment volumes, while </w:t>
      </w:r>
      <w:r w:rsidRPr="00AE5C7B">
        <w:rPr>
          <w:rFonts w:ascii="Times New Roman" w:eastAsia="Times New Roman" w:hAnsi="Times New Roman" w:cs="Times New Roman"/>
          <w:b/>
          <w:bCs/>
          <w:sz w:val="24"/>
          <w:szCs w:val="24"/>
          <w:lang w:eastAsia="en-IN"/>
        </w:rPr>
        <w:t>Quarter 3 and Quarter 4</w:t>
      </w:r>
      <w:r w:rsidRPr="00AE5C7B">
        <w:rPr>
          <w:rFonts w:ascii="Times New Roman" w:eastAsia="Times New Roman" w:hAnsi="Times New Roman" w:cs="Times New Roman"/>
          <w:sz w:val="24"/>
          <w:szCs w:val="24"/>
          <w:lang w:eastAsia="en-IN"/>
        </w:rPr>
        <w:t xml:space="preserve"> account for the majority of enrolments, especially in the </w:t>
      </w:r>
      <w:r w:rsidRPr="00AE5C7B">
        <w:rPr>
          <w:rFonts w:ascii="Times New Roman" w:eastAsia="Times New Roman" w:hAnsi="Times New Roman" w:cs="Times New Roman"/>
          <w:b/>
          <w:bCs/>
          <w:sz w:val="24"/>
          <w:szCs w:val="24"/>
          <w:lang w:eastAsia="en-IN"/>
        </w:rPr>
        <w:t>0–5 years</w:t>
      </w:r>
      <w:r w:rsidRPr="00AE5C7B">
        <w:rPr>
          <w:rFonts w:ascii="Times New Roman" w:eastAsia="Times New Roman" w:hAnsi="Times New Roman" w:cs="Times New Roman"/>
          <w:sz w:val="24"/>
          <w:szCs w:val="24"/>
          <w:lang w:eastAsia="en-IN"/>
        </w:rPr>
        <w:t xml:space="preserve"> and </w:t>
      </w:r>
      <w:r w:rsidRPr="00AE5C7B">
        <w:rPr>
          <w:rFonts w:ascii="Times New Roman" w:eastAsia="Times New Roman" w:hAnsi="Times New Roman" w:cs="Times New Roman"/>
          <w:b/>
          <w:bCs/>
          <w:sz w:val="24"/>
          <w:szCs w:val="24"/>
          <w:lang w:eastAsia="en-IN"/>
        </w:rPr>
        <w:t>5–17 years</w:t>
      </w:r>
      <w:r w:rsidRPr="00AE5C7B">
        <w:rPr>
          <w:rFonts w:ascii="Times New Roman" w:eastAsia="Times New Roman" w:hAnsi="Times New Roman" w:cs="Times New Roman"/>
          <w:sz w:val="24"/>
          <w:szCs w:val="24"/>
          <w:lang w:eastAsia="en-IN"/>
        </w:rPr>
        <w:t xml:space="preserve"> categories. The sharp rise in the second half of the year highlights</w:t>
      </w:r>
      <w:r>
        <w:rPr>
          <w:rFonts w:ascii="Times New Roman" w:eastAsia="Times New Roman" w:hAnsi="Times New Roman" w:cs="Times New Roman"/>
          <w:sz w:val="24"/>
          <w:szCs w:val="24"/>
          <w:lang w:eastAsia="en-IN"/>
        </w:rPr>
        <w:t xml:space="preserve"> the cumulative effect of enrol</w:t>
      </w:r>
      <w:r w:rsidRPr="00AE5C7B">
        <w:rPr>
          <w:rFonts w:ascii="Times New Roman" w:eastAsia="Times New Roman" w:hAnsi="Times New Roman" w:cs="Times New Roman"/>
          <w:sz w:val="24"/>
          <w:szCs w:val="24"/>
          <w:lang w:eastAsia="en-IN"/>
        </w:rPr>
        <w:t>ment campaigns and institutional schedules.</w:t>
      </w:r>
      <w:r>
        <w:rPr>
          <w:rFonts w:ascii="Times New Roman" w:eastAsia="Times New Roman" w:hAnsi="Times New Roman" w:cs="Times New Roman"/>
          <w:sz w:val="24"/>
          <w:szCs w:val="24"/>
          <w:lang w:eastAsia="en-IN"/>
        </w:rPr>
        <w:t xml:space="preserve"> </w:t>
      </w:r>
      <w:r w:rsidRPr="00AE5C7B">
        <w:rPr>
          <w:rFonts w:ascii="Times New Roman" w:eastAsia="Times New Roman" w:hAnsi="Times New Roman" w:cs="Times New Roman"/>
          <w:sz w:val="24"/>
          <w:szCs w:val="24"/>
          <w:lang w:eastAsia="en-IN"/>
        </w:rPr>
        <w:t>Adult enrolment remains flat across quarters, indicating stable saturation levels and limited new registrations.</w:t>
      </w:r>
    </w:p>
    <w:p w14:paraId="1DD0CB05" w14:textId="4DD753E4" w:rsidR="00AE5C7B" w:rsidRDefault="00AE5C7B" w:rsidP="00AE5C7B">
      <w:pPr>
        <w:pStyle w:val="ListParagraph"/>
        <w:numPr>
          <w:ilvl w:val="0"/>
          <w:numId w:val="4"/>
        </w:numPr>
        <w:spacing w:before="100" w:beforeAutospacing="1" w:after="100" w:afterAutospacing="1" w:line="240" w:lineRule="auto"/>
        <w:ind w:left="426" w:hanging="426"/>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Enrolment by Days of month</w:t>
      </w:r>
    </w:p>
    <w:p w14:paraId="58BA2931" w14:textId="74D72758" w:rsidR="00AE5C7B" w:rsidRPr="00AE5C7B" w:rsidRDefault="00AE5C7B" w:rsidP="00AA77A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E5C7B">
        <w:rPr>
          <w:rFonts w:ascii="Times New Roman" w:eastAsia="Times New Roman" w:hAnsi="Times New Roman" w:cs="Times New Roman"/>
          <w:sz w:val="24"/>
          <w:szCs w:val="24"/>
          <w:lang w:eastAsia="en-IN"/>
        </w:rPr>
        <w:t xml:space="preserve">Daily enrolment patterns exhibit significant variability, with notably higher enrolments during the </w:t>
      </w:r>
      <w:r w:rsidRPr="00AE5C7B">
        <w:rPr>
          <w:rFonts w:ascii="Times New Roman" w:eastAsia="Times New Roman" w:hAnsi="Times New Roman" w:cs="Times New Roman"/>
          <w:b/>
          <w:bCs/>
          <w:sz w:val="24"/>
          <w:szCs w:val="24"/>
          <w:lang w:eastAsia="en-IN"/>
        </w:rPr>
        <w:t>early and mid-month periods</w:t>
      </w:r>
      <w:r w:rsidRPr="00AE5C7B">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On the 1</w:t>
      </w:r>
      <w:r w:rsidRPr="00AE5C7B">
        <w:rPr>
          <w:rFonts w:ascii="Times New Roman" w:eastAsia="Times New Roman" w:hAnsi="Times New Roman" w:cs="Times New Roman"/>
          <w:sz w:val="24"/>
          <w:szCs w:val="24"/>
          <w:vertAlign w:val="superscript"/>
          <w:lang w:eastAsia="en-IN"/>
        </w:rPr>
        <w:t>st</w:t>
      </w:r>
      <w:r>
        <w:rPr>
          <w:rFonts w:ascii="Times New Roman" w:eastAsia="Times New Roman" w:hAnsi="Times New Roman" w:cs="Times New Roman"/>
          <w:sz w:val="24"/>
          <w:szCs w:val="24"/>
          <w:lang w:eastAsia="en-IN"/>
        </w:rPr>
        <w:t xml:space="preserve"> day of month highest no. of enrolment is done and again its goes higher on the middle of month 15</w:t>
      </w:r>
      <w:r w:rsidRPr="00AE5C7B">
        <w:rPr>
          <w:rFonts w:ascii="Times New Roman" w:eastAsia="Times New Roman" w:hAnsi="Times New Roman" w:cs="Times New Roman"/>
          <w:sz w:val="24"/>
          <w:szCs w:val="24"/>
          <w:vertAlign w:val="superscript"/>
          <w:lang w:eastAsia="en-IN"/>
        </w:rPr>
        <w:t>th</w:t>
      </w:r>
      <w:r>
        <w:rPr>
          <w:rFonts w:ascii="Times New Roman" w:eastAsia="Times New Roman" w:hAnsi="Times New Roman" w:cs="Times New Roman"/>
          <w:sz w:val="24"/>
          <w:szCs w:val="24"/>
          <w:lang w:eastAsia="en-IN"/>
        </w:rPr>
        <w:t xml:space="preserve"> – 20</w:t>
      </w:r>
      <w:r w:rsidRPr="00AE5C7B">
        <w:rPr>
          <w:rFonts w:ascii="Times New Roman" w:eastAsia="Times New Roman" w:hAnsi="Times New Roman" w:cs="Times New Roman"/>
          <w:sz w:val="24"/>
          <w:szCs w:val="24"/>
          <w:vertAlign w:val="superscript"/>
          <w:lang w:eastAsia="en-IN"/>
        </w:rPr>
        <w:t>th</w:t>
      </w:r>
      <w:r w:rsidR="00A52529">
        <w:rPr>
          <w:rFonts w:ascii="Times New Roman" w:eastAsia="Times New Roman" w:hAnsi="Times New Roman" w:cs="Times New Roman"/>
          <w:sz w:val="24"/>
          <w:szCs w:val="24"/>
          <w:lang w:eastAsia="en-IN"/>
        </w:rPr>
        <w:t xml:space="preserve"> day, it mean</w:t>
      </w:r>
      <w:r>
        <w:rPr>
          <w:rFonts w:ascii="Times New Roman" w:eastAsia="Times New Roman" w:hAnsi="Times New Roman" w:cs="Times New Roman"/>
          <w:sz w:val="24"/>
          <w:szCs w:val="24"/>
          <w:lang w:eastAsia="en-IN"/>
        </w:rPr>
        <w:t xml:space="preserve"> most of the people go for enrolment on the 1</w:t>
      </w:r>
      <w:r w:rsidRPr="00AE5C7B">
        <w:rPr>
          <w:rFonts w:ascii="Times New Roman" w:eastAsia="Times New Roman" w:hAnsi="Times New Roman" w:cs="Times New Roman"/>
          <w:sz w:val="24"/>
          <w:szCs w:val="24"/>
          <w:vertAlign w:val="superscript"/>
          <w:lang w:eastAsia="en-IN"/>
        </w:rPr>
        <w:t>st</w:t>
      </w:r>
      <w:r>
        <w:rPr>
          <w:rFonts w:ascii="Times New Roman" w:eastAsia="Times New Roman" w:hAnsi="Times New Roman" w:cs="Times New Roman"/>
          <w:sz w:val="24"/>
          <w:szCs w:val="24"/>
          <w:lang w:eastAsia="en-IN"/>
        </w:rPr>
        <w:t xml:space="preserve"> day and middle </w:t>
      </w:r>
      <w:r w:rsidR="00A52529">
        <w:rPr>
          <w:rFonts w:ascii="Times New Roman" w:eastAsia="Times New Roman" w:hAnsi="Times New Roman" w:cs="Times New Roman"/>
          <w:sz w:val="24"/>
          <w:szCs w:val="24"/>
          <w:lang w:eastAsia="en-IN"/>
        </w:rPr>
        <w:t xml:space="preserve">days </w:t>
      </w:r>
      <w:r>
        <w:rPr>
          <w:rFonts w:ascii="Times New Roman" w:eastAsia="Times New Roman" w:hAnsi="Times New Roman" w:cs="Times New Roman"/>
          <w:sz w:val="24"/>
          <w:szCs w:val="24"/>
          <w:lang w:eastAsia="en-IN"/>
        </w:rPr>
        <w:t xml:space="preserve">of month. </w:t>
      </w:r>
      <w:r w:rsidRPr="00AE5C7B">
        <w:rPr>
          <w:rFonts w:ascii="Times New Roman" w:eastAsia="Times New Roman" w:hAnsi="Times New Roman" w:cs="Times New Roman"/>
          <w:sz w:val="24"/>
          <w:szCs w:val="24"/>
          <w:lang w:eastAsia="en-IN"/>
        </w:rPr>
        <w:t>Spikes observed around specific days may correspond to administrative cycles, operational scheduling of enrolment centers, or targeted drive days. In contrast, enrolment activity tends to decline towards the end of the month.</w:t>
      </w:r>
      <w:r>
        <w:rPr>
          <w:rFonts w:ascii="Times New Roman" w:eastAsia="Times New Roman" w:hAnsi="Times New Roman" w:cs="Times New Roman"/>
          <w:sz w:val="24"/>
          <w:szCs w:val="24"/>
          <w:lang w:eastAsia="en-IN"/>
        </w:rPr>
        <w:t xml:space="preserve"> </w:t>
      </w:r>
      <w:r w:rsidRPr="00AE5C7B">
        <w:rPr>
          <w:rFonts w:ascii="Times New Roman" w:eastAsia="Times New Roman" w:hAnsi="Times New Roman" w:cs="Times New Roman"/>
          <w:sz w:val="24"/>
          <w:szCs w:val="24"/>
          <w:lang w:eastAsia="en-IN"/>
        </w:rPr>
        <w:t xml:space="preserve">Children in the </w:t>
      </w:r>
      <w:r w:rsidRPr="00AE5C7B">
        <w:rPr>
          <w:rFonts w:ascii="Times New Roman" w:eastAsia="Times New Roman" w:hAnsi="Times New Roman" w:cs="Times New Roman"/>
          <w:b/>
          <w:bCs/>
          <w:sz w:val="24"/>
          <w:szCs w:val="24"/>
          <w:lang w:eastAsia="en-IN"/>
        </w:rPr>
        <w:t>0–5 years</w:t>
      </w:r>
      <w:r w:rsidRPr="00AE5C7B">
        <w:rPr>
          <w:rFonts w:ascii="Times New Roman" w:eastAsia="Times New Roman" w:hAnsi="Times New Roman" w:cs="Times New Roman"/>
          <w:sz w:val="24"/>
          <w:szCs w:val="24"/>
          <w:lang w:eastAsia="en-IN"/>
        </w:rPr>
        <w:t xml:space="preserve"> age group consistently dominate daily enrolment volumes, while adult enrolments remain minimal and stable throughout the month.</w:t>
      </w:r>
    </w:p>
    <w:p w14:paraId="63A3E366" w14:textId="712468A6" w:rsidR="00C526E0" w:rsidRDefault="00A52529" w:rsidP="00AA77A2">
      <w:pPr>
        <w:jc w:val="center"/>
        <w:rPr>
          <w:rFonts w:ascii="Times New Roman" w:hAnsi="Times New Roman" w:cs="Times New Roman"/>
          <w:sz w:val="28"/>
          <w:szCs w:val="24"/>
        </w:rPr>
      </w:pPr>
      <w:r>
        <w:rPr>
          <w:rFonts w:ascii="Times New Roman" w:hAnsi="Times New Roman" w:cs="Times New Roman"/>
          <w:noProof/>
          <w:sz w:val="28"/>
          <w:szCs w:val="24"/>
          <w:lang w:eastAsia="en-IN"/>
        </w:rPr>
        <w:drawing>
          <wp:inline distT="0" distB="0" distL="0" distR="0" wp14:anchorId="7B5327D5" wp14:editId="71B4F692">
            <wp:extent cx="4168140" cy="25222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15 191831.png"/>
                    <pic:cNvPicPr/>
                  </pic:nvPicPr>
                  <pic:blipFill>
                    <a:blip r:embed="rId14">
                      <a:extLst>
                        <a:ext uri="{28A0092B-C50C-407E-A947-70E740481C1C}">
                          <a14:useLocalDpi xmlns:a14="http://schemas.microsoft.com/office/drawing/2010/main" val="0"/>
                        </a:ext>
                      </a:extLst>
                    </a:blip>
                    <a:stretch>
                      <a:fillRect/>
                    </a:stretch>
                  </pic:blipFill>
                  <pic:spPr>
                    <a:xfrm>
                      <a:off x="0" y="0"/>
                      <a:ext cx="4208003" cy="2546342"/>
                    </a:xfrm>
                    <a:prstGeom prst="rect">
                      <a:avLst/>
                    </a:prstGeom>
                  </pic:spPr>
                </pic:pic>
              </a:graphicData>
            </a:graphic>
          </wp:inline>
        </w:drawing>
      </w:r>
    </w:p>
    <w:p w14:paraId="1CCF9421" w14:textId="46642504" w:rsidR="00AA77A2" w:rsidRDefault="00AA77A2" w:rsidP="00AA77A2">
      <w:pPr>
        <w:jc w:val="center"/>
        <w:rPr>
          <w:rFonts w:ascii="Times New Roman" w:hAnsi="Times New Roman" w:cs="Times New Roman"/>
          <w:sz w:val="28"/>
          <w:szCs w:val="24"/>
        </w:rPr>
      </w:pPr>
      <w:r>
        <w:rPr>
          <w:rFonts w:ascii="Times New Roman" w:hAnsi="Times New Roman" w:cs="Times New Roman"/>
          <w:sz w:val="28"/>
          <w:szCs w:val="24"/>
        </w:rPr>
        <w:t>Table 1: Enrolment by Months</w:t>
      </w:r>
    </w:p>
    <w:p w14:paraId="6B8796D3" w14:textId="77777777" w:rsidR="0093592C" w:rsidRPr="0093592C" w:rsidRDefault="0093592C" w:rsidP="000D23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3592C">
        <w:rPr>
          <w:rFonts w:ascii="Times New Roman" w:eastAsia="Times New Roman" w:hAnsi="Times New Roman" w:cs="Times New Roman"/>
          <w:sz w:val="24"/>
          <w:szCs w:val="24"/>
          <w:lang w:eastAsia="en-IN"/>
        </w:rPr>
        <w:lastRenderedPageBreak/>
        <w:t xml:space="preserve">The table presents a consolidated view of Aadhaar enrolments segmented by </w:t>
      </w:r>
      <w:r w:rsidRPr="0093592C">
        <w:rPr>
          <w:rFonts w:ascii="Times New Roman" w:eastAsia="Times New Roman" w:hAnsi="Times New Roman" w:cs="Times New Roman"/>
          <w:b/>
          <w:bCs/>
          <w:sz w:val="24"/>
          <w:szCs w:val="24"/>
          <w:lang w:eastAsia="en-IN"/>
        </w:rPr>
        <w:t>quarter and age group</w:t>
      </w:r>
      <w:r w:rsidRPr="0093592C">
        <w:rPr>
          <w:rFonts w:ascii="Times New Roman" w:eastAsia="Times New Roman" w:hAnsi="Times New Roman" w:cs="Times New Roman"/>
          <w:sz w:val="24"/>
          <w:szCs w:val="24"/>
          <w:lang w:eastAsia="en-IN"/>
        </w:rPr>
        <w:t xml:space="preserve">, providing a structured summary of enrolment dynamics throughout the year. The total enrolment across all quarters stands at approximately </w:t>
      </w:r>
      <w:r w:rsidRPr="0093592C">
        <w:rPr>
          <w:rFonts w:ascii="Times New Roman" w:eastAsia="Times New Roman" w:hAnsi="Times New Roman" w:cs="Times New Roman"/>
          <w:b/>
          <w:bCs/>
          <w:sz w:val="24"/>
          <w:szCs w:val="24"/>
          <w:lang w:eastAsia="en-IN"/>
        </w:rPr>
        <w:t>5.44 million</w:t>
      </w:r>
      <w:r w:rsidRPr="0093592C">
        <w:rPr>
          <w:rFonts w:ascii="Times New Roman" w:eastAsia="Times New Roman" w:hAnsi="Times New Roman" w:cs="Times New Roman"/>
          <w:sz w:val="24"/>
          <w:szCs w:val="24"/>
          <w:lang w:eastAsia="en-IN"/>
        </w:rPr>
        <w:t>, with a clear increase in enrolment activity as the year progresses.</w:t>
      </w:r>
    </w:p>
    <w:p w14:paraId="4BB205ED" w14:textId="77777777" w:rsidR="0093592C" w:rsidRPr="0093592C" w:rsidRDefault="0093592C" w:rsidP="000D23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3592C">
        <w:rPr>
          <w:rFonts w:ascii="Times New Roman" w:eastAsia="Times New Roman" w:hAnsi="Times New Roman" w:cs="Times New Roman"/>
          <w:b/>
          <w:bCs/>
          <w:sz w:val="24"/>
          <w:szCs w:val="24"/>
          <w:lang w:eastAsia="en-IN"/>
        </w:rPr>
        <w:t>Quarter 1</w:t>
      </w:r>
      <w:r w:rsidRPr="0093592C">
        <w:rPr>
          <w:rFonts w:ascii="Times New Roman" w:eastAsia="Times New Roman" w:hAnsi="Times New Roman" w:cs="Times New Roman"/>
          <w:sz w:val="24"/>
          <w:szCs w:val="24"/>
          <w:lang w:eastAsia="en-IN"/>
        </w:rPr>
        <w:t xml:space="preserve"> records the lowest enrolment, reflecting the initial phase of the enrolment cycle. A substantial increase is observed in </w:t>
      </w:r>
      <w:r w:rsidRPr="0093592C">
        <w:rPr>
          <w:rFonts w:ascii="Times New Roman" w:eastAsia="Times New Roman" w:hAnsi="Times New Roman" w:cs="Times New Roman"/>
          <w:b/>
          <w:bCs/>
          <w:sz w:val="24"/>
          <w:szCs w:val="24"/>
          <w:lang w:eastAsia="en-IN"/>
        </w:rPr>
        <w:t>Quarter 2</w:t>
      </w:r>
      <w:r w:rsidRPr="0093592C">
        <w:rPr>
          <w:rFonts w:ascii="Times New Roman" w:eastAsia="Times New Roman" w:hAnsi="Times New Roman" w:cs="Times New Roman"/>
          <w:sz w:val="24"/>
          <w:szCs w:val="24"/>
          <w:lang w:eastAsia="en-IN"/>
        </w:rPr>
        <w:t xml:space="preserve">, driven primarily by a rise in enrolments among the </w:t>
      </w:r>
      <w:r w:rsidRPr="0093592C">
        <w:rPr>
          <w:rFonts w:ascii="Times New Roman" w:eastAsia="Times New Roman" w:hAnsi="Times New Roman" w:cs="Times New Roman"/>
          <w:b/>
          <w:bCs/>
          <w:sz w:val="24"/>
          <w:szCs w:val="24"/>
          <w:lang w:eastAsia="en-IN"/>
        </w:rPr>
        <w:t>0–5 years</w:t>
      </w:r>
      <w:r w:rsidRPr="0093592C">
        <w:rPr>
          <w:rFonts w:ascii="Times New Roman" w:eastAsia="Times New Roman" w:hAnsi="Times New Roman" w:cs="Times New Roman"/>
          <w:sz w:val="24"/>
          <w:szCs w:val="24"/>
          <w:lang w:eastAsia="en-IN"/>
        </w:rPr>
        <w:t xml:space="preserve"> and </w:t>
      </w:r>
      <w:r w:rsidRPr="0093592C">
        <w:rPr>
          <w:rFonts w:ascii="Times New Roman" w:eastAsia="Times New Roman" w:hAnsi="Times New Roman" w:cs="Times New Roman"/>
          <w:b/>
          <w:bCs/>
          <w:sz w:val="24"/>
          <w:szCs w:val="24"/>
          <w:lang w:eastAsia="en-IN"/>
        </w:rPr>
        <w:t>5–17 years</w:t>
      </w:r>
      <w:r w:rsidRPr="0093592C">
        <w:rPr>
          <w:rFonts w:ascii="Times New Roman" w:eastAsia="Times New Roman" w:hAnsi="Times New Roman" w:cs="Times New Roman"/>
          <w:sz w:val="24"/>
          <w:szCs w:val="24"/>
          <w:lang w:eastAsia="en-IN"/>
        </w:rPr>
        <w:t xml:space="preserve"> age groups. This upward trend continues into </w:t>
      </w:r>
      <w:r w:rsidRPr="0093592C">
        <w:rPr>
          <w:rFonts w:ascii="Times New Roman" w:eastAsia="Times New Roman" w:hAnsi="Times New Roman" w:cs="Times New Roman"/>
          <w:b/>
          <w:bCs/>
          <w:sz w:val="24"/>
          <w:szCs w:val="24"/>
          <w:lang w:eastAsia="en-IN"/>
        </w:rPr>
        <w:t>Quarter 3</w:t>
      </w:r>
      <w:r w:rsidRPr="0093592C">
        <w:rPr>
          <w:rFonts w:ascii="Times New Roman" w:eastAsia="Times New Roman" w:hAnsi="Times New Roman" w:cs="Times New Roman"/>
          <w:sz w:val="24"/>
          <w:szCs w:val="24"/>
          <w:lang w:eastAsia="en-IN"/>
        </w:rPr>
        <w:t xml:space="preserve">, which shows the highest overall enrolment volume, accounting for a significant proportion of the annual total. </w:t>
      </w:r>
      <w:r w:rsidRPr="0093592C">
        <w:rPr>
          <w:rFonts w:ascii="Times New Roman" w:eastAsia="Times New Roman" w:hAnsi="Times New Roman" w:cs="Times New Roman"/>
          <w:b/>
          <w:bCs/>
          <w:sz w:val="24"/>
          <w:szCs w:val="24"/>
          <w:lang w:eastAsia="en-IN"/>
        </w:rPr>
        <w:t>Quarter 4</w:t>
      </w:r>
      <w:r w:rsidRPr="0093592C">
        <w:rPr>
          <w:rFonts w:ascii="Times New Roman" w:eastAsia="Times New Roman" w:hAnsi="Times New Roman" w:cs="Times New Roman"/>
          <w:sz w:val="24"/>
          <w:szCs w:val="24"/>
          <w:lang w:eastAsia="en-IN"/>
        </w:rPr>
        <w:t xml:space="preserve"> maintains high enrolment levels, though slightly lower than Quarter 3, indicating sustained enrolment activity toward the end of the year.</w:t>
      </w:r>
    </w:p>
    <w:p w14:paraId="42383127" w14:textId="47E93DA3" w:rsidR="0093592C" w:rsidRDefault="0093592C" w:rsidP="000D23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3592C">
        <w:rPr>
          <w:rFonts w:ascii="Times New Roman" w:eastAsia="Times New Roman" w:hAnsi="Times New Roman" w:cs="Times New Roman"/>
          <w:sz w:val="24"/>
          <w:szCs w:val="24"/>
          <w:lang w:eastAsia="en-IN"/>
        </w:rPr>
        <w:t xml:space="preserve">Across all quarters, the </w:t>
      </w:r>
      <w:r w:rsidRPr="0093592C">
        <w:rPr>
          <w:rFonts w:ascii="Times New Roman" w:eastAsia="Times New Roman" w:hAnsi="Times New Roman" w:cs="Times New Roman"/>
          <w:b/>
          <w:bCs/>
          <w:sz w:val="24"/>
          <w:szCs w:val="24"/>
          <w:lang w:eastAsia="en-IN"/>
        </w:rPr>
        <w:t>0–5 years age group consistently contributes the largest share</w:t>
      </w:r>
      <w:r w:rsidRPr="0093592C">
        <w:rPr>
          <w:rFonts w:ascii="Times New Roman" w:eastAsia="Times New Roman" w:hAnsi="Times New Roman" w:cs="Times New Roman"/>
          <w:sz w:val="24"/>
          <w:szCs w:val="24"/>
          <w:lang w:eastAsia="en-IN"/>
        </w:rPr>
        <w:t xml:space="preserve"> of enrolments, followed by the </w:t>
      </w:r>
      <w:r w:rsidRPr="0093592C">
        <w:rPr>
          <w:rFonts w:ascii="Times New Roman" w:eastAsia="Times New Roman" w:hAnsi="Times New Roman" w:cs="Times New Roman"/>
          <w:b/>
          <w:bCs/>
          <w:sz w:val="24"/>
          <w:szCs w:val="24"/>
          <w:lang w:eastAsia="en-IN"/>
        </w:rPr>
        <w:t>5–17 years</w:t>
      </w:r>
      <w:r w:rsidRPr="0093592C">
        <w:rPr>
          <w:rFonts w:ascii="Times New Roman" w:eastAsia="Times New Roman" w:hAnsi="Times New Roman" w:cs="Times New Roman"/>
          <w:sz w:val="24"/>
          <w:szCs w:val="24"/>
          <w:lang w:eastAsia="en-IN"/>
        </w:rPr>
        <w:t xml:space="preserve"> group. Enrolment for individuals aged </w:t>
      </w:r>
      <w:r w:rsidRPr="0093592C">
        <w:rPr>
          <w:rFonts w:ascii="Times New Roman" w:eastAsia="Times New Roman" w:hAnsi="Times New Roman" w:cs="Times New Roman"/>
          <w:b/>
          <w:bCs/>
          <w:sz w:val="24"/>
          <w:szCs w:val="24"/>
          <w:lang w:eastAsia="en-IN"/>
        </w:rPr>
        <w:t>18 years and above</w:t>
      </w:r>
      <w:r w:rsidRPr="0093592C">
        <w:rPr>
          <w:rFonts w:ascii="Times New Roman" w:eastAsia="Times New Roman" w:hAnsi="Times New Roman" w:cs="Times New Roman"/>
          <w:sz w:val="24"/>
          <w:szCs w:val="24"/>
          <w:lang w:eastAsia="en-IN"/>
        </w:rPr>
        <w:t xml:space="preserve"> remains comparatively low and stable throughout the year, reinforcing the observation that adult Aadhaar enrolment is largely saturated.</w:t>
      </w:r>
      <w:r w:rsidR="00DC47F6">
        <w:rPr>
          <w:rFonts w:ascii="Times New Roman" w:eastAsia="Times New Roman" w:hAnsi="Times New Roman" w:cs="Times New Roman"/>
          <w:sz w:val="24"/>
          <w:szCs w:val="24"/>
          <w:lang w:eastAsia="en-IN"/>
        </w:rPr>
        <w:t xml:space="preserve"> </w:t>
      </w:r>
      <w:r w:rsidRPr="0093592C">
        <w:rPr>
          <w:rFonts w:ascii="Times New Roman" w:eastAsia="Times New Roman" w:hAnsi="Times New Roman" w:cs="Times New Roman"/>
          <w:sz w:val="24"/>
          <w:szCs w:val="24"/>
          <w:lang w:eastAsia="en-IN"/>
        </w:rPr>
        <w:t>Monthly breakdown within each quarter further highlights that enrolment peaks align with organized enrolment drives and institutional schedules. The strong concentration of enrolments in the second half of the year suggests the effectiveness of targeted outreach initiatives during this period.</w:t>
      </w:r>
    </w:p>
    <w:p w14:paraId="32C6D3B4" w14:textId="59EE7526" w:rsidR="00DC47F6" w:rsidRDefault="00DC47F6" w:rsidP="00DC47F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7D2E8E3" wp14:editId="01F1DA13">
            <wp:extent cx="3810000" cy="4937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16 190910.png"/>
                    <pic:cNvPicPr/>
                  </pic:nvPicPr>
                  <pic:blipFill>
                    <a:blip r:embed="rId15">
                      <a:extLst>
                        <a:ext uri="{28A0092B-C50C-407E-A947-70E740481C1C}">
                          <a14:useLocalDpi xmlns:a14="http://schemas.microsoft.com/office/drawing/2010/main" val="0"/>
                        </a:ext>
                      </a:extLst>
                    </a:blip>
                    <a:stretch>
                      <a:fillRect/>
                    </a:stretch>
                  </pic:blipFill>
                  <pic:spPr>
                    <a:xfrm>
                      <a:off x="0" y="0"/>
                      <a:ext cx="3842522" cy="4979293"/>
                    </a:xfrm>
                    <a:prstGeom prst="rect">
                      <a:avLst/>
                    </a:prstGeom>
                  </pic:spPr>
                </pic:pic>
              </a:graphicData>
            </a:graphic>
          </wp:inline>
        </w:drawing>
      </w:r>
    </w:p>
    <w:p w14:paraId="2C1111F7" w14:textId="1A8B5066" w:rsidR="00DC47F6" w:rsidRPr="0093592C" w:rsidRDefault="00DC47F6" w:rsidP="00DC47F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Table 2: State wise Enrolment</w:t>
      </w:r>
    </w:p>
    <w:p w14:paraId="0AECEC8A" w14:textId="711425C2" w:rsidR="0093592C" w:rsidRDefault="00DC47F6" w:rsidP="00B16103">
      <w:pPr>
        <w:jc w:val="center"/>
        <w:rPr>
          <w:rFonts w:ascii="Times New Roman" w:hAnsi="Times New Roman" w:cs="Times New Roman"/>
          <w:sz w:val="28"/>
          <w:szCs w:val="24"/>
        </w:rPr>
      </w:pPr>
      <w:r>
        <w:rPr>
          <w:rFonts w:ascii="Times New Roman" w:hAnsi="Times New Roman" w:cs="Times New Roman"/>
          <w:noProof/>
          <w:sz w:val="28"/>
          <w:szCs w:val="24"/>
          <w:lang w:eastAsia="en-IN"/>
        </w:rPr>
        <w:lastRenderedPageBreak/>
        <w:drawing>
          <wp:inline distT="0" distB="0" distL="0" distR="0" wp14:anchorId="34321E03" wp14:editId="4573C6BE">
            <wp:extent cx="5487166" cy="246731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16 190151.png"/>
                    <pic:cNvPicPr/>
                  </pic:nvPicPr>
                  <pic:blipFill>
                    <a:blip r:embed="rId16">
                      <a:extLst>
                        <a:ext uri="{28A0092B-C50C-407E-A947-70E740481C1C}">
                          <a14:useLocalDpi xmlns:a14="http://schemas.microsoft.com/office/drawing/2010/main" val="0"/>
                        </a:ext>
                      </a:extLst>
                    </a:blip>
                    <a:stretch>
                      <a:fillRect/>
                    </a:stretch>
                  </pic:blipFill>
                  <pic:spPr>
                    <a:xfrm>
                      <a:off x="0" y="0"/>
                      <a:ext cx="5487166" cy="2467319"/>
                    </a:xfrm>
                    <a:prstGeom prst="rect">
                      <a:avLst/>
                    </a:prstGeom>
                  </pic:spPr>
                </pic:pic>
              </a:graphicData>
            </a:graphic>
          </wp:inline>
        </w:drawing>
      </w:r>
    </w:p>
    <w:p w14:paraId="2CF985DA" w14:textId="349D7336" w:rsidR="00DC47F6" w:rsidRDefault="00B16103" w:rsidP="00B16103">
      <w:pPr>
        <w:jc w:val="center"/>
        <w:rPr>
          <w:rFonts w:ascii="Times New Roman" w:hAnsi="Times New Roman" w:cs="Times New Roman"/>
          <w:sz w:val="28"/>
          <w:szCs w:val="24"/>
        </w:rPr>
      </w:pPr>
      <w:r>
        <w:rPr>
          <w:rFonts w:ascii="Times New Roman" w:hAnsi="Times New Roman" w:cs="Times New Roman"/>
          <w:sz w:val="28"/>
          <w:szCs w:val="24"/>
        </w:rPr>
        <w:t>Table 3: Enrolment for Union territories</w:t>
      </w:r>
    </w:p>
    <w:p w14:paraId="1759A47E" w14:textId="0B80DABD" w:rsidR="00B16103" w:rsidRDefault="00953299" w:rsidP="00B16103">
      <w:pPr>
        <w:rPr>
          <w:rFonts w:ascii="Times New Roman" w:hAnsi="Times New Roman" w:cs="Times New Roman"/>
          <w:b/>
          <w:bCs/>
          <w:sz w:val="28"/>
          <w:szCs w:val="24"/>
        </w:rPr>
      </w:pPr>
      <w:r>
        <w:rPr>
          <w:rFonts w:ascii="Times New Roman" w:hAnsi="Times New Roman" w:cs="Times New Roman"/>
          <w:b/>
          <w:bCs/>
          <w:sz w:val="28"/>
          <w:szCs w:val="24"/>
        </w:rPr>
        <w:t>States</w:t>
      </w:r>
      <w:r w:rsidR="00B16103" w:rsidRPr="00B16103">
        <w:rPr>
          <w:rFonts w:ascii="Times New Roman" w:hAnsi="Times New Roman" w:cs="Times New Roman"/>
          <w:b/>
          <w:bCs/>
          <w:sz w:val="28"/>
          <w:szCs w:val="24"/>
        </w:rPr>
        <w:t xml:space="preserve">:- </w:t>
      </w:r>
    </w:p>
    <w:p w14:paraId="1F357DBC" w14:textId="77777777" w:rsidR="00B16103" w:rsidRPr="00B16103" w:rsidRDefault="00B16103" w:rsidP="00B161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6103">
        <w:rPr>
          <w:rFonts w:ascii="Times New Roman" w:eastAsia="Times New Roman" w:hAnsi="Times New Roman" w:cs="Times New Roman"/>
          <w:sz w:val="24"/>
          <w:szCs w:val="24"/>
          <w:lang w:eastAsia="en-IN"/>
        </w:rPr>
        <w:t xml:space="preserve">Among states, Aadhaar enrolment is heavily concentrated in a few large and populous regions. </w:t>
      </w:r>
      <w:r w:rsidRPr="00B16103">
        <w:rPr>
          <w:rFonts w:ascii="Times New Roman" w:eastAsia="Times New Roman" w:hAnsi="Times New Roman" w:cs="Times New Roman"/>
          <w:b/>
          <w:bCs/>
          <w:sz w:val="24"/>
          <w:szCs w:val="24"/>
          <w:lang w:eastAsia="en-IN"/>
        </w:rPr>
        <w:t>Uttar Pradesh</w:t>
      </w:r>
      <w:r w:rsidRPr="00B16103">
        <w:rPr>
          <w:rFonts w:ascii="Times New Roman" w:eastAsia="Times New Roman" w:hAnsi="Times New Roman" w:cs="Times New Roman"/>
          <w:sz w:val="24"/>
          <w:szCs w:val="24"/>
          <w:lang w:eastAsia="en-IN"/>
        </w:rPr>
        <w:t xml:space="preserve"> leads with over </w:t>
      </w:r>
      <w:r w:rsidRPr="00B16103">
        <w:rPr>
          <w:rFonts w:ascii="Times New Roman" w:eastAsia="Times New Roman" w:hAnsi="Times New Roman" w:cs="Times New Roman"/>
          <w:b/>
          <w:bCs/>
          <w:sz w:val="24"/>
          <w:szCs w:val="24"/>
          <w:lang w:eastAsia="en-IN"/>
        </w:rPr>
        <w:t>one million enrolments</w:t>
      </w:r>
      <w:r w:rsidRPr="00B16103">
        <w:rPr>
          <w:rFonts w:ascii="Times New Roman" w:eastAsia="Times New Roman" w:hAnsi="Times New Roman" w:cs="Times New Roman"/>
          <w:sz w:val="24"/>
          <w:szCs w:val="24"/>
          <w:lang w:eastAsia="en-IN"/>
        </w:rPr>
        <w:t xml:space="preserve">, followed by </w:t>
      </w:r>
      <w:r w:rsidRPr="00B16103">
        <w:rPr>
          <w:rFonts w:ascii="Times New Roman" w:eastAsia="Times New Roman" w:hAnsi="Times New Roman" w:cs="Times New Roman"/>
          <w:b/>
          <w:bCs/>
          <w:sz w:val="24"/>
          <w:szCs w:val="24"/>
          <w:lang w:eastAsia="en-IN"/>
        </w:rPr>
        <w:t>Bihar</w:t>
      </w:r>
      <w:r w:rsidRPr="00B16103">
        <w:rPr>
          <w:rFonts w:ascii="Times New Roman" w:eastAsia="Times New Roman" w:hAnsi="Times New Roman" w:cs="Times New Roman"/>
          <w:sz w:val="24"/>
          <w:szCs w:val="24"/>
          <w:lang w:eastAsia="en-IN"/>
        </w:rPr>
        <w:t xml:space="preserve"> and </w:t>
      </w:r>
      <w:r w:rsidRPr="00B16103">
        <w:rPr>
          <w:rFonts w:ascii="Times New Roman" w:eastAsia="Times New Roman" w:hAnsi="Times New Roman" w:cs="Times New Roman"/>
          <w:b/>
          <w:bCs/>
          <w:sz w:val="24"/>
          <w:szCs w:val="24"/>
          <w:lang w:eastAsia="en-IN"/>
        </w:rPr>
        <w:t>Madhya Pradesh</w:t>
      </w:r>
      <w:r w:rsidRPr="00B16103">
        <w:rPr>
          <w:rFonts w:ascii="Times New Roman" w:eastAsia="Times New Roman" w:hAnsi="Times New Roman" w:cs="Times New Roman"/>
          <w:sz w:val="24"/>
          <w:szCs w:val="24"/>
          <w:lang w:eastAsia="en-IN"/>
        </w:rPr>
        <w:t xml:space="preserve">. These states show strong enrolment in the </w:t>
      </w:r>
      <w:r w:rsidRPr="00B16103">
        <w:rPr>
          <w:rFonts w:ascii="Times New Roman" w:eastAsia="Times New Roman" w:hAnsi="Times New Roman" w:cs="Times New Roman"/>
          <w:b/>
          <w:bCs/>
          <w:sz w:val="24"/>
          <w:szCs w:val="24"/>
          <w:lang w:eastAsia="en-IN"/>
        </w:rPr>
        <w:t>0–5 years</w:t>
      </w:r>
      <w:r w:rsidRPr="00B16103">
        <w:rPr>
          <w:rFonts w:ascii="Times New Roman" w:eastAsia="Times New Roman" w:hAnsi="Times New Roman" w:cs="Times New Roman"/>
          <w:sz w:val="24"/>
          <w:szCs w:val="24"/>
          <w:lang w:eastAsia="en-IN"/>
        </w:rPr>
        <w:t xml:space="preserve"> and </w:t>
      </w:r>
      <w:r w:rsidRPr="00B16103">
        <w:rPr>
          <w:rFonts w:ascii="Times New Roman" w:eastAsia="Times New Roman" w:hAnsi="Times New Roman" w:cs="Times New Roman"/>
          <w:b/>
          <w:bCs/>
          <w:sz w:val="24"/>
          <w:szCs w:val="24"/>
          <w:lang w:eastAsia="en-IN"/>
        </w:rPr>
        <w:t>5–17 years</w:t>
      </w:r>
      <w:r w:rsidRPr="00B16103">
        <w:rPr>
          <w:rFonts w:ascii="Times New Roman" w:eastAsia="Times New Roman" w:hAnsi="Times New Roman" w:cs="Times New Roman"/>
          <w:sz w:val="24"/>
          <w:szCs w:val="24"/>
          <w:lang w:eastAsia="en-IN"/>
        </w:rPr>
        <w:t xml:space="preserve"> categories, indicating effective early age registration and school linked enrolment initiatives.</w:t>
      </w:r>
    </w:p>
    <w:p w14:paraId="6225653E" w14:textId="618DD8DB" w:rsidR="00B16103" w:rsidRPr="00B16103" w:rsidRDefault="00B16103" w:rsidP="00B16103">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Mid-</w:t>
      </w:r>
      <w:r w:rsidRPr="00B16103">
        <w:rPr>
          <w:rFonts w:ascii="Times New Roman" w:eastAsia="Times New Roman" w:hAnsi="Times New Roman" w:cs="Times New Roman"/>
          <w:sz w:val="24"/>
          <w:szCs w:val="24"/>
          <w:lang w:eastAsia="en-IN"/>
        </w:rPr>
        <w:t xml:space="preserve">sized states such as </w:t>
      </w:r>
      <w:r w:rsidRPr="00B16103">
        <w:rPr>
          <w:rFonts w:ascii="Times New Roman" w:eastAsia="Times New Roman" w:hAnsi="Times New Roman" w:cs="Times New Roman"/>
          <w:b/>
          <w:bCs/>
          <w:sz w:val="24"/>
          <w:szCs w:val="24"/>
          <w:lang w:eastAsia="en-IN"/>
        </w:rPr>
        <w:t>West Bengal, Maharashtra, Rajasthan, and Gujarat</w:t>
      </w:r>
      <w:r w:rsidRPr="00B16103">
        <w:rPr>
          <w:rFonts w:ascii="Times New Roman" w:eastAsia="Times New Roman" w:hAnsi="Times New Roman" w:cs="Times New Roman"/>
          <w:sz w:val="24"/>
          <w:szCs w:val="24"/>
          <w:lang w:eastAsia="en-IN"/>
        </w:rPr>
        <w:t xml:space="preserve"> show moderate but consistent enrolment levels across child and adolescent groups. </w:t>
      </w:r>
      <w:r w:rsidRPr="00B16103">
        <w:rPr>
          <w:rFonts w:ascii="Times New Roman" w:eastAsia="Times New Roman" w:hAnsi="Times New Roman" w:cs="Times New Roman"/>
          <w:b/>
          <w:bCs/>
          <w:sz w:val="24"/>
          <w:szCs w:val="24"/>
          <w:lang w:eastAsia="en-IN"/>
        </w:rPr>
        <w:t>Assam</w:t>
      </w:r>
      <w:r w:rsidRPr="00B16103">
        <w:rPr>
          <w:rFonts w:ascii="Times New Roman" w:eastAsia="Times New Roman" w:hAnsi="Times New Roman" w:cs="Times New Roman"/>
          <w:sz w:val="24"/>
          <w:szCs w:val="24"/>
          <w:lang w:eastAsia="en-IN"/>
        </w:rPr>
        <w:t xml:space="preserve"> stands out with a relatively higher proportion of </w:t>
      </w:r>
      <w:r w:rsidRPr="00B16103">
        <w:rPr>
          <w:rFonts w:ascii="Times New Roman" w:eastAsia="Times New Roman" w:hAnsi="Times New Roman" w:cs="Times New Roman"/>
          <w:b/>
          <w:bCs/>
          <w:sz w:val="24"/>
          <w:szCs w:val="24"/>
          <w:lang w:eastAsia="en-IN"/>
        </w:rPr>
        <w:t>adult enrolment (18 years and above)</w:t>
      </w:r>
      <w:r w:rsidRPr="00B16103">
        <w:rPr>
          <w:rFonts w:ascii="Times New Roman" w:eastAsia="Times New Roman" w:hAnsi="Times New Roman" w:cs="Times New Roman"/>
          <w:sz w:val="24"/>
          <w:szCs w:val="24"/>
          <w:lang w:eastAsia="en-IN"/>
        </w:rPr>
        <w:t xml:space="preserve"> compared to many other states, suggesting delayed enrolment, migration related registrations, or region specific enrolment drives.</w:t>
      </w:r>
    </w:p>
    <w:p w14:paraId="4FA9F475" w14:textId="77777777" w:rsidR="00B16103" w:rsidRPr="00B16103" w:rsidRDefault="00B16103" w:rsidP="00B161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6103">
        <w:rPr>
          <w:rFonts w:ascii="Times New Roman" w:eastAsia="Times New Roman" w:hAnsi="Times New Roman" w:cs="Times New Roman"/>
          <w:sz w:val="24"/>
          <w:szCs w:val="24"/>
          <w:lang w:eastAsia="en-IN"/>
        </w:rPr>
        <w:t xml:space="preserve">Smaller states and northeastern regions including </w:t>
      </w:r>
      <w:r w:rsidRPr="00B16103">
        <w:rPr>
          <w:rFonts w:ascii="Times New Roman" w:eastAsia="Times New Roman" w:hAnsi="Times New Roman" w:cs="Times New Roman"/>
          <w:b/>
          <w:bCs/>
          <w:sz w:val="24"/>
          <w:szCs w:val="24"/>
          <w:lang w:eastAsia="en-IN"/>
        </w:rPr>
        <w:t>Sikkim, Mizoram, Tripura, and Arunachal Pradesh</w:t>
      </w:r>
      <w:r w:rsidRPr="00B16103">
        <w:rPr>
          <w:rFonts w:ascii="Times New Roman" w:eastAsia="Times New Roman" w:hAnsi="Times New Roman" w:cs="Times New Roman"/>
          <w:sz w:val="24"/>
          <w:szCs w:val="24"/>
          <w:lang w:eastAsia="en-IN"/>
        </w:rPr>
        <w:t xml:space="preserve"> record lower absolute enrolment figures, largely due to smaller population sizes and higher saturation levels. Across all states, adult enrolment remains the lowest contributor, reinforcing the maturity of Aadhaar coverage among adults.</w:t>
      </w:r>
    </w:p>
    <w:p w14:paraId="638EC86B" w14:textId="35EFA996" w:rsidR="00B16103" w:rsidRDefault="00B16103" w:rsidP="00B16103">
      <w:pPr>
        <w:rPr>
          <w:rFonts w:ascii="Times New Roman" w:hAnsi="Times New Roman" w:cs="Times New Roman"/>
          <w:b/>
          <w:bCs/>
          <w:sz w:val="28"/>
          <w:szCs w:val="24"/>
        </w:rPr>
      </w:pPr>
      <w:r>
        <w:rPr>
          <w:rFonts w:ascii="Times New Roman" w:hAnsi="Times New Roman" w:cs="Times New Roman"/>
          <w:b/>
          <w:bCs/>
          <w:sz w:val="28"/>
          <w:szCs w:val="24"/>
        </w:rPr>
        <w:t>Union Territories:-</w:t>
      </w:r>
    </w:p>
    <w:p w14:paraId="00D1A1CA" w14:textId="77777777" w:rsidR="00B16103" w:rsidRPr="00B16103" w:rsidRDefault="00B16103" w:rsidP="00B161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6103">
        <w:rPr>
          <w:rFonts w:ascii="Times New Roman" w:eastAsia="Times New Roman" w:hAnsi="Times New Roman" w:cs="Times New Roman"/>
          <w:sz w:val="24"/>
          <w:szCs w:val="24"/>
          <w:lang w:eastAsia="en-IN"/>
        </w:rPr>
        <w:t xml:space="preserve">Union Territories contribute a much smaller share of total enrolments compared to states, reflecting their limited population size. </w:t>
      </w:r>
      <w:r w:rsidRPr="00B16103">
        <w:rPr>
          <w:rFonts w:ascii="Times New Roman" w:eastAsia="Times New Roman" w:hAnsi="Times New Roman" w:cs="Times New Roman"/>
          <w:b/>
          <w:bCs/>
          <w:sz w:val="24"/>
          <w:szCs w:val="24"/>
          <w:lang w:eastAsia="en-IN"/>
        </w:rPr>
        <w:t>Delhi</w:t>
      </w:r>
      <w:r w:rsidRPr="00B16103">
        <w:rPr>
          <w:rFonts w:ascii="Times New Roman" w:eastAsia="Times New Roman" w:hAnsi="Times New Roman" w:cs="Times New Roman"/>
          <w:sz w:val="24"/>
          <w:szCs w:val="24"/>
          <w:lang w:eastAsia="en-IN"/>
        </w:rPr>
        <w:t xml:space="preserve"> records the highest enrolment among UTs, driven primarily by strong enrolment in the </w:t>
      </w:r>
      <w:r w:rsidRPr="00B16103">
        <w:rPr>
          <w:rFonts w:ascii="Times New Roman" w:eastAsia="Times New Roman" w:hAnsi="Times New Roman" w:cs="Times New Roman"/>
          <w:b/>
          <w:bCs/>
          <w:sz w:val="24"/>
          <w:szCs w:val="24"/>
          <w:lang w:eastAsia="en-IN"/>
        </w:rPr>
        <w:t>0–5 years</w:t>
      </w:r>
      <w:r w:rsidRPr="00B16103">
        <w:rPr>
          <w:rFonts w:ascii="Times New Roman" w:eastAsia="Times New Roman" w:hAnsi="Times New Roman" w:cs="Times New Roman"/>
          <w:sz w:val="24"/>
          <w:szCs w:val="24"/>
          <w:lang w:eastAsia="en-IN"/>
        </w:rPr>
        <w:t xml:space="preserve"> and </w:t>
      </w:r>
      <w:r w:rsidRPr="00B16103">
        <w:rPr>
          <w:rFonts w:ascii="Times New Roman" w:eastAsia="Times New Roman" w:hAnsi="Times New Roman" w:cs="Times New Roman"/>
          <w:b/>
          <w:bCs/>
          <w:sz w:val="24"/>
          <w:szCs w:val="24"/>
          <w:lang w:eastAsia="en-IN"/>
        </w:rPr>
        <w:t>5–17 years</w:t>
      </w:r>
      <w:r w:rsidRPr="00B16103">
        <w:rPr>
          <w:rFonts w:ascii="Times New Roman" w:eastAsia="Times New Roman" w:hAnsi="Times New Roman" w:cs="Times New Roman"/>
          <w:sz w:val="24"/>
          <w:szCs w:val="24"/>
          <w:lang w:eastAsia="en-IN"/>
        </w:rPr>
        <w:t xml:space="preserve"> age groups. </w:t>
      </w:r>
      <w:r w:rsidRPr="00B16103">
        <w:rPr>
          <w:rFonts w:ascii="Times New Roman" w:eastAsia="Times New Roman" w:hAnsi="Times New Roman" w:cs="Times New Roman"/>
          <w:b/>
          <w:bCs/>
          <w:sz w:val="24"/>
          <w:szCs w:val="24"/>
          <w:lang w:eastAsia="en-IN"/>
        </w:rPr>
        <w:t>Jammu and Kashmir</w:t>
      </w:r>
      <w:r w:rsidRPr="00B16103">
        <w:rPr>
          <w:rFonts w:ascii="Times New Roman" w:eastAsia="Times New Roman" w:hAnsi="Times New Roman" w:cs="Times New Roman"/>
          <w:sz w:val="24"/>
          <w:szCs w:val="24"/>
          <w:lang w:eastAsia="en-IN"/>
        </w:rPr>
        <w:t xml:space="preserve"> follows, showing moderate enrolment levels across children and adolescents.</w:t>
      </w:r>
    </w:p>
    <w:p w14:paraId="053878A3" w14:textId="69544ADE" w:rsidR="00B16103" w:rsidRDefault="00B16103" w:rsidP="00B161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6103">
        <w:rPr>
          <w:rFonts w:ascii="Times New Roman" w:eastAsia="Times New Roman" w:hAnsi="Times New Roman" w:cs="Times New Roman"/>
          <w:sz w:val="24"/>
          <w:szCs w:val="24"/>
          <w:lang w:eastAsia="en-IN"/>
        </w:rPr>
        <w:t xml:space="preserve">Other UTs such as </w:t>
      </w:r>
      <w:r w:rsidRPr="00B16103">
        <w:rPr>
          <w:rFonts w:ascii="Times New Roman" w:eastAsia="Times New Roman" w:hAnsi="Times New Roman" w:cs="Times New Roman"/>
          <w:b/>
          <w:bCs/>
          <w:sz w:val="24"/>
          <w:szCs w:val="24"/>
          <w:lang w:eastAsia="en-IN"/>
        </w:rPr>
        <w:t>Puducherry, Chandigarh, and Dadra and Nagar Haveli and Daman and Diu</w:t>
      </w:r>
      <w:r w:rsidRPr="00B16103">
        <w:rPr>
          <w:rFonts w:ascii="Times New Roman" w:eastAsia="Times New Roman" w:hAnsi="Times New Roman" w:cs="Times New Roman"/>
          <w:sz w:val="24"/>
          <w:szCs w:val="24"/>
          <w:lang w:eastAsia="en-IN"/>
        </w:rPr>
        <w:t xml:space="preserve"> show relatively low but stable enrolment figures. Smaller UTs including </w:t>
      </w:r>
      <w:r w:rsidRPr="00B16103">
        <w:rPr>
          <w:rFonts w:ascii="Times New Roman" w:eastAsia="Times New Roman" w:hAnsi="Times New Roman" w:cs="Times New Roman"/>
          <w:b/>
          <w:bCs/>
          <w:sz w:val="24"/>
          <w:szCs w:val="24"/>
          <w:lang w:eastAsia="en-IN"/>
        </w:rPr>
        <w:t>Lakshadweep, Ladakh, and Andaman and Nicobar Islands</w:t>
      </w:r>
      <w:r w:rsidRPr="00B16103">
        <w:rPr>
          <w:rFonts w:ascii="Times New Roman" w:eastAsia="Times New Roman" w:hAnsi="Times New Roman" w:cs="Times New Roman"/>
          <w:sz w:val="24"/>
          <w:szCs w:val="24"/>
          <w:lang w:eastAsia="en-IN"/>
        </w:rPr>
        <w:t xml:space="preserve"> exhibit minimal enrolment volumes, which may indicate high saturation, geographic constraints, or limited enrolment infrastructure.</w:t>
      </w:r>
    </w:p>
    <w:p w14:paraId="61C9080E" w14:textId="7846E004" w:rsidR="00953299" w:rsidRDefault="00953299" w:rsidP="00B16103">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20CFEF9" w14:textId="0B8EC838" w:rsidR="00953299" w:rsidRDefault="00271506" w:rsidP="00953299">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2C06C581" wp14:editId="468586BD">
            <wp:extent cx="4048690" cy="6096851"/>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1-16 194552.png"/>
                    <pic:cNvPicPr/>
                  </pic:nvPicPr>
                  <pic:blipFill>
                    <a:blip r:embed="rId17">
                      <a:extLst>
                        <a:ext uri="{28A0092B-C50C-407E-A947-70E740481C1C}">
                          <a14:useLocalDpi xmlns:a14="http://schemas.microsoft.com/office/drawing/2010/main" val="0"/>
                        </a:ext>
                      </a:extLst>
                    </a:blip>
                    <a:stretch>
                      <a:fillRect/>
                    </a:stretch>
                  </pic:blipFill>
                  <pic:spPr>
                    <a:xfrm>
                      <a:off x="0" y="0"/>
                      <a:ext cx="4048690" cy="6096851"/>
                    </a:xfrm>
                    <a:prstGeom prst="rect">
                      <a:avLst/>
                    </a:prstGeom>
                  </pic:spPr>
                </pic:pic>
              </a:graphicData>
            </a:graphic>
          </wp:inline>
        </w:drawing>
      </w:r>
    </w:p>
    <w:p w14:paraId="7FA3D1B9" w14:textId="798A1C90" w:rsidR="00271506" w:rsidRDefault="00271506" w:rsidP="00953299">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Table 4: Top 30 District by Enrolment</w:t>
      </w:r>
    </w:p>
    <w:p w14:paraId="649D765C" w14:textId="77777777" w:rsidR="00271506" w:rsidRPr="00271506" w:rsidRDefault="00271506" w:rsidP="00AE68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71506">
        <w:rPr>
          <w:rFonts w:ascii="Times New Roman" w:eastAsia="Times New Roman" w:hAnsi="Times New Roman" w:cs="Times New Roman"/>
          <w:b/>
          <w:bCs/>
          <w:sz w:val="24"/>
          <w:szCs w:val="24"/>
          <w:lang w:eastAsia="en-IN"/>
        </w:rPr>
        <w:t>Thane</w:t>
      </w:r>
      <w:r w:rsidRPr="00271506">
        <w:rPr>
          <w:rFonts w:ascii="Times New Roman" w:eastAsia="Times New Roman" w:hAnsi="Times New Roman" w:cs="Times New Roman"/>
          <w:sz w:val="24"/>
          <w:szCs w:val="24"/>
          <w:lang w:eastAsia="en-IN"/>
        </w:rPr>
        <w:t xml:space="preserve"> records the highest total enrolment among the listed districts, driven largely by strong enrolment in the </w:t>
      </w:r>
      <w:r w:rsidRPr="00271506">
        <w:rPr>
          <w:rFonts w:ascii="Times New Roman" w:eastAsia="Times New Roman" w:hAnsi="Times New Roman" w:cs="Times New Roman"/>
          <w:b/>
          <w:bCs/>
          <w:sz w:val="24"/>
          <w:szCs w:val="24"/>
          <w:lang w:eastAsia="en-IN"/>
        </w:rPr>
        <w:t>0–5 years</w:t>
      </w:r>
      <w:r w:rsidRPr="00271506">
        <w:rPr>
          <w:rFonts w:ascii="Times New Roman" w:eastAsia="Times New Roman" w:hAnsi="Times New Roman" w:cs="Times New Roman"/>
          <w:sz w:val="24"/>
          <w:szCs w:val="24"/>
          <w:lang w:eastAsia="en-IN"/>
        </w:rPr>
        <w:t xml:space="preserve"> category, indicating effective early childhood registration in urban and semi-urban areas. </w:t>
      </w:r>
      <w:r w:rsidRPr="00271506">
        <w:rPr>
          <w:rFonts w:ascii="Times New Roman" w:eastAsia="Times New Roman" w:hAnsi="Times New Roman" w:cs="Times New Roman"/>
          <w:b/>
          <w:bCs/>
          <w:sz w:val="24"/>
          <w:szCs w:val="24"/>
          <w:lang w:eastAsia="en-IN"/>
        </w:rPr>
        <w:t>Sitamarhi</w:t>
      </w:r>
      <w:r w:rsidRPr="00271506">
        <w:rPr>
          <w:rFonts w:ascii="Times New Roman" w:eastAsia="Times New Roman" w:hAnsi="Times New Roman" w:cs="Times New Roman"/>
          <w:sz w:val="24"/>
          <w:szCs w:val="24"/>
          <w:lang w:eastAsia="en-IN"/>
        </w:rPr>
        <w:t xml:space="preserve"> and </w:t>
      </w:r>
      <w:r w:rsidRPr="00271506">
        <w:rPr>
          <w:rFonts w:ascii="Times New Roman" w:eastAsia="Times New Roman" w:hAnsi="Times New Roman" w:cs="Times New Roman"/>
          <w:b/>
          <w:bCs/>
          <w:sz w:val="24"/>
          <w:szCs w:val="24"/>
          <w:lang w:eastAsia="en-IN"/>
        </w:rPr>
        <w:t>Bahraich</w:t>
      </w:r>
      <w:r w:rsidRPr="00271506">
        <w:rPr>
          <w:rFonts w:ascii="Times New Roman" w:eastAsia="Times New Roman" w:hAnsi="Times New Roman" w:cs="Times New Roman"/>
          <w:sz w:val="24"/>
          <w:szCs w:val="24"/>
          <w:lang w:eastAsia="en-IN"/>
        </w:rPr>
        <w:t xml:space="preserve"> follow closely, showing balanced enrolment across both child and adolescent age groups.</w:t>
      </w:r>
    </w:p>
    <w:p w14:paraId="6A6DD9EA" w14:textId="5C91B220" w:rsidR="00271506" w:rsidRPr="00271506" w:rsidRDefault="00271506" w:rsidP="00AE68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71506">
        <w:rPr>
          <w:rFonts w:ascii="Times New Roman" w:eastAsia="Times New Roman" w:hAnsi="Times New Roman" w:cs="Times New Roman"/>
          <w:sz w:val="24"/>
          <w:szCs w:val="24"/>
          <w:lang w:eastAsia="en-IN"/>
        </w:rPr>
        <w:t xml:space="preserve">Districts such as </w:t>
      </w:r>
      <w:r w:rsidRPr="00271506">
        <w:rPr>
          <w:rFonts w:ascii="Times New Roman" w:eastAsia="Times New Roman" w:hAnsi="Times New Roman" w:cs="Times New Roman"/>
          <w:b/>
          <w:bCs/>
          <w:sz w:val="24"/>
          <w:szCs w:val="24"/>
          <w:lang w:eastAsia="en-IN"/>
        </w:rPr>
        <w:t>Murshidabad</w:t>
      </w:r>
      <w:r w:rsidRPr="00271506">
        <w:rPr>
          <w:rFonts w:ascii="Times New Roman" w:eastAsia="Times New Roman" w:hAnsi="Times New Roman" w:cs="Times New Roman"/>
          <w:sz w:val="24"/>
          <w:szCs w:val="24"/>
          <w:lang w:eastAsia="en-IN"/>
        </w:rPr>
        <w:t xml:space="preserve"> and </w:t>
      </w:r>
      <w:r w:rsidRPr="00271506">
        <w:rPr>
          <w:rFonts w:ascii="Times New Roman" w:eastAsia="Times New Roman" w:hAnsi="Times New Roman" w:cs="Times New Roman"/>
          <w:b/>
          <w:bCs/>
          <w:sz w:val="24"/>
          <w:szCs w:val="24"/>
          <w:lang w:eastAsia="en-IN"/>
        </w:rPr>
        <w:t>South 24 Parganas</w:t>
      </w:r>
      <w:r w:rsidRPr="00271506">
        <w:rPr>
          <w:rFonts w:ascii="Times New Roman" w:eastAsia="Times New Roman" w:hAnsi="Times New Roman" w:cs="Times New Roman"/>
          <w:sz w:val="24"/>
          <w:szCs w:val="24"/>
          <w:lang w:eastAsia="en-IN"/>
        </w:rPr>
        <w:t xml:space="preserve"> demonstrate significant enrolment in the </w:t>
      </w:r>
      <w:r w:rsidRPr="00271506">
        <w:rPr>
          <w:rFonts w:ascii="Times New Roman" w:eastAsia="Times New Roman" w:hAnsi="Times New Roman" w:cs="Times New Roman"/>
          <w:b/>
          <w:bCs/>
          <w:sz w:val="24"/>
          <w:szCs w:val="24"/>
          <w:lang w:eastAsia="en-IN"/>
        </w:rPr>
        <w:t>0–5 years</w:t>
      </w:r>
      <w:r w:rsidRPr="00271506">
        <w:rPr>
          <w:rFonts w:ascii="Times New Roman" w:eastAsia="Times New Roman" w:hAnsi="Times New Roman" w:cs="Times New Roman"/>
          <w:sz w:val="24"/>
          <w:szCs w:val="24"/>
          <w:lang w:eastAsia="en-IN"/>
        </w:rPr>
        <w:t xml:space="preserve"> group but comparatively lower adult enrolment, reflecting the maturity of Aadhaar coverage among adults. </w:t>
      </w:r>
      <w:r w:rsidRPr="00271506">
        <w:rPr>
          <w:rFonts w:ascii="Times New Roman" w:eastAsia="Times New Roman" w:hAnsi="Times New Roman" w:cs="Times New Roman"/>
          <w:b/>
          <w:bCs/>
          <w:sz w:val="24"/>
          <w:szCs w:val="24"/>
          <w:lang w:eastAsia="en-IN"/>
        </w:rPr>
        <w:t>Bengaluru</w:t>
      </w:r>
      <w:r w:rsidRPr="00271506">
        <w:rPr>
          <w:rFonts w:ascii="Times New Roman" w:eastAsia="Times New Roman" w:hAnsi="Times New Roman" w:cs="Times New Roman"/>
          <w:sz w:val="24"/>
          <w:szCs w:val="24"/>
          <w:lang w:eastAsia="en-IN"/>
        </w:rPr>
        <w:t xml:space="preserve"> stands out with a relatively higher </w:t>
      </w:r>
      <w:r w:rsidRPr="00271506">
        <w:rPr>
          <w:rFonts w:ascii="Times New Roman" w:eastAsia="Times New Roman" w:hAnsi="Times New Roman" w:cs="Times New Roman"/>
          <w:b/>
          <w:bCs/>
          <w:sz w:val="24"/>
          <w:szCs w:val="24"/>
          <w:lang w:eastAsia="en-IN"/>
        </w:rPr>
        <w:t>18+ enrolment</w:t>
      </w:r>
      <w:r w:rsidRPr="00271506">
        <w:rPr>
          <w:rFonts w:ascii="Times New Roman" w:eastAsia="Times New Roman" w:hAnsi="Times New Roman" w:cs="Times New Roman"/>
          <w:sz w:val="24"/>
          <w:szCs w:val="24"/>
          <w:lang w:eastAsia="en-IN"/>
        </w:rPr>
        <w:t>, likely due to migration, employment-driven registrations, and urban population inflow.</w:t>
      </w:r>
      <w:r w:rsidR="00AE685C">
        <w:rPr>
          <w:rFonts w:ascii="Times New Roman" w:eastAsia="Times New Roman" w:hAnsi="Times New Roman" w:cs="Times New Roman"/>
          <w:sz w:val="24"/>
          <w:szCs w:val="24"/>
          <w:lang w:eastAsia="en-IN"/>
        </w:rPr>
        <w:t xml:space="preserve"> </w:t>
      </w:r>
      <w:r w:rsidRPr="00271506">
        <w:rPr>
          <w:rFonts w:ascii="Times New Roman" w:eastAsia="Times New Roman" w:hAnsi="Times New Roman" w:cs="Times New Roman"/>
          <w:sz w:val="24"/>
          <w:szCs w:val="24"/>
          <w:lang w:eastAsia="en-IN"/>
        </w:rPr>
        <w:t xml:space="preserve">A strong representation of districts from </w:t>
      </w:r>
      <w:r w:rsidRPr="00271506">
        <w:rPr>
          <w:rFonts w:ascii="Times New Roman" w:eastAsia="Times New Roman" w:hAnsi="Times New Roman" w:cs="Times New Roman"/>
          <w:b/>
          <w:bCs/>
          <w:sz w:val="24"/>
          <w:szCs w:val="24"/>
          <w:lang w:eastAsia="en-IN"/>
        </w:rPr>
        <w:t>Uttar Pradesh and Bihar</w:t>
      </w:r>
      <w:r w:rsidRPr="00271506">
        <w:rPr>
          <w:rFonts w:ascii="Times New Roman" w:eastAsia="Times New Roman" w:hAnsi="Times New Roman" w:cs="Times New Roman"/>
          <w:sz w:val="24"/>
          <w:szCs w:val="24"/>
          <w:lang w:eastAsia="en-IN"/>
        </w:rPr>
        <w:t xml:space="preserve"> is evident, including </w:t>
      </w:r>
      <w:r w:rsidRPr="00271506">
        <w:rPr>
          <w:rFonts w:ascii="Times New Roman" w:eastAsia="Times New Roman" w:hAnsi="Times New Roman" w:cs="Times New Roman"/>
          <w:b/>
          <w:bCs/>
          <w:sz w:val="24"/>
          <w:szCs w:val="24"/>
          <w:lang w:eastAsia="en-IN"/>
        </w:rPr>
        <w:t xml:space="preserve">Sitapur, West Champaran, Muzaffarpur, Gaya, Madhubani, Lucknow, and </w:t>
      </w:r>
      <w:r w:rsidRPr="00271506">
        <w:rPr>
          <w:rFonts w:ascii="Times New Roman" w:eastAsia="Times New Roman" w:hAnsi="Times New Roman" w:cs="Times New Roman"/>
          <w:b/>
          <w:bCs/>
          <w:sz w:val="24"/>
          <w:szCs w:val="24"/>
          <w:lang w:eastAsia="en-IN"/>
        </w:rPr>
        <w:lastRenderedPageBreak/>
        <w:t>Patna</w:t>
      </w:r>
      <w:r w:rsidRPr="00271506">
        <w:rPr>
          <w:rFonts w:ascii="Times New Roman" w:eastAsia="Times New Roman" w:hAnsi="Times New Roman" w:cs="Times New Roman"/>
          <w:sz w:val="24"/>
          <w:szCs w:val="24"/>
          <w:lang w:eastAsia="en-IN"/>
        </w:rPr>
        <w:t xml:space="preserve">. These districts show higher enrolment volumes in the </w:t>
      </w:r>
      <w:r w:rsidRPr="00271506">
        <w:rPr>
          <w:rFonts w:ascii="Times New Roman" w:eastAsia="Times New Roman" w:hAnsi="Times New Roman" w:cs="Times New Roman"/>
          <w:b/>
          <w:bCs/>
          <w:sz w:val="24"/>
          <w:szCs w:val="24"/>
          <w:lang w:eastAsia="en-IN"/>
        </w:rPr>
        <w:t>5–17 years</w:t>
      </w:r>
      <w:r w:rsidRPr="00271506">
        <w:rPr>
          <w:rFonts w:ascii="Times New Roman" w:eastAsia="Times New Roman" w:hAnsi="Times New Roman" w:cs="Times New Roman"/>
          <w:sz w:val="24"/>
          <w:szCs w:val="24"/>
          <w:lang w:eastAsia="en-IN"/>
        </w:rPr>
        <w:t xml:space="preserve"> age group, suggesting effective school-linked enrolment drives and awareness programs.</w:t>
      </w:r>
    </w:p>
    <w:p w14:paraId="134DD91A" w14:textId="5C6B5C0D" w:rsidR="00271506" w:rsidRDefault="00271506" w:rsidP="00AE68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71506">
        <w:rPr>
          <w:rFonts w:ascii="Times New Roman" w:eastAsia="Times New Roman" w:hAnsi="Times New Roman" w:cs="Times New Roman"/>
          <w:sz w:val="24"/>
          <w:szCs w:val="24"/>
          <w:lang w:eastAsia="en-IN"/>
        </w:rPr>
        <w:t xml:space="preserve">Urban and metropolitan districts such as </w:t>
      </w:r>
      <w:r w:rsidRPr="00271506">
        <w:rPr>
          <w:rFonts w:ascii="Times New Roman" w:eastAsia="Times New Roman" w:hAnsi="Times New Roman" w:cs="Times New Roman"/>
          <w:b/>
          <w:bCs/>
          <w:sz w:val="24"/>
          <w:szCs w:val="24"/>
          <w:lang w:eastAsia="en-IN"/>
        </w:rPr>
        <w:t>Hyderabad, Pune, Jaipur, and Surat</w:t>
      </w:r>
      <w:r w:rsidRPr="00271506">
        <w:rPr>
          <w:rFonts w:ascii="Times New Roman" w:eastAsia="Times New Roman" w:hAnsi="Times New Roman" w:cs="Times New Roman"/>
          <w:sz w:val="24"/>
          <w:szCs w:val="24"/>
          <w:lang w:eastAsia="en-IN"/>
        </w:rPr>
        <w:t xml:space="preserve"> show consistent enrolment patterns but lower overall volumes compared to densely populated rural districts. This suggests that population size plays a more dominant role than urbanization alone.</w:t>
      </w:r>
    </w:p>
    <w:p w14:paraId="1DB7442E" w14:textId="79A7ADC3" w:rsidR="00AE685C" w:rsidRDefault="00AE685C" w:rsidP="001952F0">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CD665D7" wp14:editId="1DDE6529">
            <wp:extent cx="3848100" cy="6723603"/>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1-16 194741.png"/>
                    <pic:cNvPicPr/>
                  </pic:nvPicPr>
                  <pic:blipFill>
                    <a:blip r:embed="rId18">
                      <a:extLst>
                        <a:ext uri="{28A0092B-C50C-407E-A947-70E740481C1C}">
                          <a14:useLocalDpi xmlns:a14="http://schemas.microsoft.com/office/drawing/2010/main" val="0"/>
                        </a:ext>
                      </a:extLst>
                    </a:blip>
                    <a:stretch>
                      <a:fillRect/>
                    </a:stretch>
                  </pic:blipFill>
                  <pic:spPr>
                    <a:xfrm>
                      <a:off x="0" y="0"/>
                      <a:ext cx="3851390" cy="6729352"/>
                    </a:xfrm>
                    <a:prstGeom prst="rect">
                      <a:avLst/>
                    </a:prstGeom>
                  </pic:spPr>
                </pic:pic>
              </a:graphicData>
            </a:graphic>
          </wp:inline>
        </w:drawing>
      </w:r>
    </w:p>
    <w:p w14:paraId="30C21258" w14:textId="41A5F871" w:rsidR="001952F0" w:rsidRDefault="001952F0" w:rsidP="00AE685C">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Table 5: Pincode wise Enrolment</w:t>
      </w:r>
    </w:p>
    <w:p w14:paraId="0DE3715A" w14:textId="0BC8CCC6" w:rsidR="00B16103" w:rsidRDefault="00B16103" w:rsidP="00B16103">
      <w:pPr>
        <w:rPr>
          <w:rFonts w:ascii="Times New Roman" w:eastAsia="Times New Roman" w:hAnsi="Times New Roman" w:cs="Times New Roman"/>
          <w:sz w:val="24"/>
          <w:szCs w:val="24"/>
          <w:lang w:eastAsia="en-IN"/>
        </w:rPr>
      </w:pPr>
    </w:p>
    <w:p w14:paraId="0807C11A" w14:textId="77777777" w:rsidR="001952F0" w:rsidRPr="001952F0" w:rsidRDefault="001952F0" w:rsidP="001952F0">
      <w:pPr>
        <w:spacing w:before="100" w:beforeAutospacing="1" w:after="100" w:afterAutospacing="1" w:line="240" w:lineRule="auto"/>
        <w:rPr>
          <w:rFonts w:ascii="Times New Roman" w:eastAsia="Times New Roman" w:hAnsi="Times New Roman" w:cs="Times New Roman"/>
          <w:sz w:val="24"/>
          <w:szCs w:val="24"/>
          <w:lang w:eastAsia="en-IN"/>
        </w:rPr>
      </w:pPr>
      <w:r w:rsidRPr="001952F0">
        <w:rPr>
          <w:rFonts w:ascii="Times New Roman" w:eastAsia="Times New Roman" w:hAnsi="Times New Roman" w:cs="Times New Roman"/>
          <w:b/>
          <w:bCs/>
          <w:sz w:val="24"/>
          <w:szCs w:val="24"/>
          <w:lang w:eastAsia="en-IN"/>
        </w:rPr>
        <w:lastRenderedPageBreak/>
        <w:t>PIN code 244001</w:t>
      </w:r>
      <w:r w:rsidRPr="001952F0">
        <w:rPr>
          <w:rFonts w:ascii="Times New Roman" w:eastAsia="Times New Roman" w:hAnsi="Times New Roman" w:cs="Times New Roman"/>
          <w:sz w:val="24"/>
          <w:szCs w:val="24"/>
          <w:lang w:eastAsia="en-IN"/>
        </w:rPr>
        <w:t xml:space="preserve"> records the highest total enrolment, driven predominantly by the </w:t>
      </w:r>
      <w:r w:rsidRPr="001952F0">
        <w:rPr>
          <w:rFonts w:ascii="Times New Roman" w:eastAsia="Times New Roman" w:hAnsi="Times New Roman" w:cs="Times New Roman"/>
          <w:b/>
          <w:bCs/>
          <w:sz w:val="24"/>
          <w:szCs w:val="24"/>
          <w:lang w:eastAsia="en-IN"/>
        </w:rPr>
        <w:t>0–5 years</w:t>
      </w:r>
      <w:r w:rsidRPr="001952F0">
        <w:rPr>
          <w:rFonts w:ascii="Times New Roman" w:eastAsia="Times New Roman" w:hAnsi="Times New Roman" w:cs="Times New Roman"/>
          <w:sz w:val="24"/>
          <w:szCs w:val="24"/>
          <w:lang w:eastAsia="en-IN"/>
        </w:rPr>
        <w:t xml:space="preserve"> age group, indicating strong early-age registration coverage. Other high-performing pincodes such as </w:t>
      </w:r>
      <w:r w:rsidRPr="001952F0">
        <w:rPr>
          <w:rFonts w:ascii="Times New Roman" w:eastAsia="Times New Roman" w:hAnsi="Times New Roman" w:cs="Times New Roman"/>
          <w:b/>
          <w:bCs/>
          <w:sz w:val="24"/>
          <w:szCs w:val="24"/>
          <w:lang w:eastAsia="en-IN"/>
        </w:rPr>
        <w:t>202001, 793119, and 110059</w:t>
      </w:r>
      <w:r w:rsidRPr="001952F0">
        <w:rPr>
          <w:rFonts w:ascii="Times New Roman" w:eastAsia="Times New Roman" w:hAnsi="Times New Roman" w:cs="Times New Roman"/>
          <w:sz w:val="24"/>
          <w:szCs w:val="24"/>
          <w:lang w:eastAsia="en-IN"/>
        </w:rPr>
        <w:t xml:space="preserve"> also show substantial enrolment volumes, reflecting effective outreach and accessibility of enrolment services.</w:t>
      </w:r>
    </w:p>
    <w:p w14:paraId="2C87BBD8" w14:textId="77777777" w:rsidR="001952F0" w:rsidRPr="001952F0" w:rsidRDefault="001952F0" w:rsidP="001952F0">
      <w:pPr>
        <w:spacing w:before="100" w:beforeAutospacing="1" w:after="100" w:afterAutospacing="1" w:line="240" w:lineRule="auto"/>
        <w:rPr>
          <w:rFonts w:ascii="Times New Roman" w:eastAsia="Times New Roman" w:hAnsi="Times New Roman" w:cs="Times New Roman"/>
          <w:sz w:val="24"/>
          <w:szCs w:val="24"/>
          <w:lang w:eastAsia="en-IN"/>
        </w:rPr>
      </w:pPr>
      <w:r w:rsidRPr="001952F0">
        <w:rPr>
          <w:rFonts w:ascii="Times New Roman" w:eastAsia="Times New Roman" w:hAnsi="Times New Roman" w:cs="Times New Roman"/>
          <w:sz w:val="24"/>
          <w:szCs w:val="24"/>
          <w:lang w:eastAsia="en-IN"/>
        </w:rPr>
        <w:t xml:space="preserve">Several pincodes including </w:t>
      </w:r>
      <w:r w:rsidRPr="001952F0">
        <w:rPr>
          <w:rFonts w:ascii="Times New Roman" w:eastAsia="Times New Roman" w:hAnsi="Times New Roman" w:cs="Times New Roman"/>
          <w:b/>
          <w:bCs/>
          <w:sz w:val="24"/>
          <w:szCs w:val="24"/>
          <w:lang w:eastAsia="en-IN"/>
        </w:rPr>
        <w:t>793119, 451666, and 793150</w:t>
      </w:r>
      <w:r w:rsidRPr="001952F0">
        <w:rPr>
          <w:rFonts w:ascii="Times New Roman" w:eastAsia="Times New Roman" w:hAnsi="Times New Roman" w:cs="Times New Roman"/>
          <w:sz w:val="24"/>
          <w:szCs w:val="24"/>
          <w:lang w:eastAsia="en-IN"/>
        </w:rPr>
        <w:t xml:space="preserve"> display comparatively higher </w:t>
      </w:r>
      <w:r w:rsidRPr="001952F0">
        <w:rPr>
          <w:rFonts w:ascii="Times New Roman" w:eastAsia="Times New Roman" w:hAnsi="Times New Roman" w:cs="Times New Roman"/>
          <w:b/>
          <w:bCs/>
          <w:sz w:val="24"/>
          <w:szCs w:val="24"/>
          <w:lang w:eastAsia="en-IN"/>
        </w:rPr>
        <w:t>18+ enrolment</w:t>
      </w:r>
      <w:r w:rsidRPr="001952F0">
        <w:rPr>
          <w:rFonts w:ascii="Times New Roman" w:eastAsia="Times New Roman" w:hAnsi="Times New Roman" w:cs="Times New Roman"/>
          <w:sz w:val="24"/>
          <w:szCs w:val="24"/>
          <w:lang w:eastAsia="en-IN"/>
        </w:rPr>
        <w:t>, suggesting adult registration driven by migration, employment needs, or recent documentation updates. In contrast, most pincodes show lower adult enrolment, indicating near-saturation of Aadhaar coverage among the adult population.</w:t>
      </w:r>
    </w:p>
    <w:p w14:paraId="018B7F27" w14:textId="77777777" w:rsidR="001952F0" w:rsidRDefault="001952F0" w:rsidP="001952F0">
      <w:pPr>
        <w:pStyle w:val="NormalWeb"/>
      </w:pPr>
      <w:r>
        <w:t>Across nearly all pincodes:</w:t>
      </w:r>
    </w:p>
    <w:p w14:paraId="5F99AE44" w14:textId="77777777" w:rsidR="001952F0" w:rsidRDefault="001952F0" w:rsidP="001952F0">
      <w:pPr>
        <w:pStyle w:val="NormalWeb"/>
        <w:numPr>
          <w:ilvl w:val="0"/>
          <w:numId w:val="5"/>
        </w:numPr>
      </w:pPr>
      <w:r>
        <w:rPr>
          <w:rStyle w:val="Strong"/>
        </w:rPr>
        <w:t>Age 0–5</w:t>
      </w:r>
      <w:r>
        <w:t xml:space="preserve"> contributes the largest share of total enrolment, emphasizing a focus on early Aadhaar registration</w:t>
      </w:r>
    </w:p>
    <w:p w14:paraId="25BF6243" w14:textId="77777777" w:rsidR="001952F0" w:rsidRDefault="001952F0" w:rsidP="001952F0">
      <w:pPr>
        <w:pStyle w:val="NormalWeb"/>
        <w:numPr>
          <w:ilvl w:val="0"/>
          <w:numId w:val="5"/>
        </w:numPr>
      </w:pPr>
      <w:r>
        <w:rPr>
          <w:rStyle w:val="Strong"/>
        </w:rPr>
        <w:t>Age 5–17</w:t>
      </w:r>
      <w:r>
        <w:t xml:space="preserve"> enrolment remains consistently strong, likely supported by school-linked enrolment initiatives</w:t>
      </w:r>
    </w:p>
    <w:p w14:paraId="3A297770" w14:textId="77777777" w:rsidR="001952F0" w:rsidRDefault="001952F0" w:rsidP="001952F0">
      <w:pPr>
        <w:pStyle w:val="NormalWeb"/>
        <w:numPr>
          <w:ilvl w:val="0"/>
          <w:numId w:val="5"/>
        </w:numPr>
      </w:pPr>
      <w:r>
        <w:rPr>
          <w:rStyle w:val="Strong"/>
        </w:rPr>
        <w:t>Age ≥18</w:t>
      </w:r>
      <w:r>
        <w:t xml:space="preserve"> enrolment forms the smallest share, highlighting maturity in adult Aadhaar coverage</w:t>
      </w:r>
    </w:p>
    <w:p w14:paraId="7B9F041D" w14:textId="77777777" w:rsidR="002353B3" w:rsidRDefault="002353B3" w:rsidP="00B16103">
      <w:pPr>
        <w:rPr>
          <w:rFonts w:ascii="Times New Roman" w:hAnsi="Times New Roman" w:cs="Times New Roman"/>
          <w:b/>
          <w:bCs/>
          <w:sz w:val="28"/>
          <w:szCs w:val="24"/>
        </w:rPr>
      </w:pPr>
    </w:p>
    <w:p w14:paraId="10017060" w14:textId="76797336" w:rsidR="002353B3" w:rsidRDefault="002353B3" w:rsidP="00B16103">
      <w:pPr>
        <w:rPr>
          <w:rFonts w:ascii="Times New Roman" w:hAnsi="Times New Roman" w:cs="Times New Roman"/>
          <w:b/>
          <w:bCs/>
          <w:sz w:val="28"/>
          <w:szCs w:val="24"/>
        </w:rPr>
      </w:pPr>
      <w:r>
        <w:rPr>
          <w:rFonts w:ascii="Times New Roman" w:hAnsi="Times New Roman" w:cs="Times New Roman"/>
          <w:b/>
          <w:bCs/>
          <w:sz w:val="28"/>
          <w:szCs w:val="24"/>
        </w:rPr>
        <w:t>Findings:-</w:t>
      </w:r>
    </w:p>
    <w:p w14:paraId="395A2739"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The overall enrolment distribution is heavily skewed towards the younger population, with the 0–5 age group forming the largest share, followed by the 5–17 age group, while enrolments for individuals aged 18 and above remain minimal, indicating near-saturation of Aadhaar coverage among adults.</w:t>
      </w:r>
    </w:p>
    <w:p w14:paraId="529F892D"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The dominance of child enrolments reflects the successful integration of Aadhaar with birth registration systems, healthcare services, and early childhood welfare programs, suggesting that Aadhaar has transitioned into a lifecycle-based identity system rather than an expansion-driven initiative.</w:t>
      </w:r>
    </w:p>
    <w:p w14:paraId="4D5E6A86"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States with large populations such as Uttar Pradesh, Bihar, Madhya Pradesh, West Bengal, Maharashtra, and Rajasthan consistently record the highest enrolment volumes across all age groups, highlighting the strong relationship between population density and absolute enrolment numbers.</w:t>
      </w:r>
    </w:p>
    <w:p w14:paraId="3A297517"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Lower enrolment figures in several southern and western states indicate early adoption and mature Aadhaar coverage, rather than gaps in accessibility or implementation.</w:t>
      </w:r>
    </w:p>
    <w:p w14:paraId="637DC819"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Union Territories show significantly lower enrolment volumes due to limited population sizes, with Delhi being a notable exception because of high population density and continuous migratory inflows.</w:t>
      </w:r>
    </w:p>
    <w:p w14:paraId="6B7251A1"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Age-wise state analysis shows that enrolments in the 5–17 age group are strongly influenced by school admissions, scholarships, and education-linked requirements, reinforcing the role of institutional triggers in driving Aadhaar registration.</w:t>
      </w:r>
    </w:p>
    <w:p w14:paraId="60575DCD"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lastRenderedPageBreak/>
        <w:t>• Adult enrolments are largely concentrated in urban centers, migration-prone districts, and employment hubs, suggesting that most new adult registrations are driven by relocation, employment verification, or documentation needs rather than first-time enrolment.</w:t>
      </w:r>
    </w:p>
    <w:p w14:paraId="12B65BB0"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Monthly and quarterly trends indicate clear seasonality, with enrolment volumes peaking during the third and fourth quarters of the year, aligning with academic calendars, government campaigns, and administrative cycles.</w:t>
      </w:r>
    </w:p>
    <w:p w14:paraId="78E83D16"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Daily enrolment patterns show higher activity during the early part of the month, followed by stabilization, reflecting operational scheduling, public behavior, and the timing of enrolment drives.</w:t>
      </w:r>
    </w:p>
    <w:p w14:paraId="007C6025"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District-level analysis reveals that urban and semi-urban districts consistently outperform rural districts in total enrolments due to better infrastructure, higher population density, and greater access to enrolment centers.</w:t>
      </w:r>
    </w:p>
    <w:p w14:paraId="3E811554"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Rural districts display a higher proportion of child enrolments, emphasizing the importance of localized health centers, schools, and community-level outreach in enabling Aadhaar adoption.</w:t>
      </w:r>
    </w:p>
    <w:p w14:paraId="6081B43D"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Pincode-level analysis uncovers micro-level disparities within districts, where neighbouring pincodes exhibit significantly different enrolment volumes, highlighting the influence of service accessibility and awareness at the local level.</w:t>
      </w:r>
    </w:p>
    <w:p w14:paraId="6AEC8091"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The consistently low contribution of the 18+ age group across states, districts, and pincodes indicates that future Aadhaar efforts should prioritize update and correction services over large-scale adult enrolment drives.</w:t>
      </w:r>
    </w:p>
    <w:p w14:paraId="0E0D36E9"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Seasonal spikes in enrolment suggest that enrolment infrastructure and staffing should be dynamically scaled during peak periods to avoid service bottlenecks and improve user experience.</w:t>
      </w:r>
    </w:p>
    <w:p w14:paraId="2C00426A"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Strengthening Aadhaar linkage with birth registration, immunization programs, and school enrollment systems can further improve early-age coverage and data accuracy.</w:t>
      </w:r>
    </w:p>
    <w:p w14:paraId="2100B813"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Urban areas and migration corridors would benefit from enhanced Aadhaar update facilities, particularly for biometric refresh and demographic corrections.</w:t>
      </w:r>
    </w:p>
    <w:p w14:paraId="33A26308" w14:textId="77777777" w:rsidR="002353B3" w:rsidRPr="002353B3" w:rsidRDefault="002353B3" w:rsidP="002353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353B3">
        <w:rPr>
          <w:rFonts w:ascii="Times New Roman" w:eastAsia="Times New Roman" w:hAnsi="Times New Roman" w:cs="Times New Roman"/>
          <w:sz w:val="24"/>
          <w:szCs w:val="24"/>
          <w:lang w:eastAsia="en-IN"/>
        </w:rPr>
        <w:t>• Data-driven targeting at district and pincode levels can enable more efficient allocation of enrolment resources, mobile units, and outreach initiatives.</w:t>
      </w:r>
    </w:p>
    <w:p w14:paraId="6617698A" w14:textId="678EDA2C" w:rsidR="00B6135C" w:rsidRDefault="00B6135C" w:rsidP="00B16103">
      <w:pPr>
        <w:rPr>
          <w:rFonts w:ascii="Times New Roman" w:hAnsi="Times New Roman" w:cs="Times New Roman"/>
          <w:b/>
          <w:bCs/>
          <w:sz w:val="28"/>
          <w:szCs w:val="24"/>
        </w:rPr>
      </w:pPr>
      <w:r>
        <w:rPr>
          <w:rFonts w:ascii="Times New Roman" w:hAnsi="Times New Roman" w:cs="Times New Roman"/>
          <w:b/>
          <w:bCs/>
          <w:sz w:val="28"/>
          <w:szCs w:val="24"/>
        </w:rPr>
        <w:t>Conclusion:-</w:t>
      </w:r>
    </w:p>
    <w:p w14:paraId="4816825C" w14:textId="77777777" w:rsidR="00B6135C" w:rsidRPr="00B6135C" w:rsidRDefault="00B6135C" w:rsidP="00B613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135C">
        <w:rPr>
          <w:rFonts w:ascii="Times New Roman" w:eastAsia="Times New Roman" w:hAnsi="Times New Roman" w:cs="Times New Roman"/>
          <w:sz w:val="24"/>
          <w:szCs w:val="24"/>
          <w:lang w:eastAsia="en-IN"/>
        </w:rPr>
        <w:t>The analysis of Aadhaar enrolment data across age groups, time periods, and geographic levels indicates that Aadhaar has reached a mature stage of nationwide adoption. Enrolment activity is now primarily driven by early-life registration and institutional requirements rather than first-time adult enrolment. The dominance of the 0–5 and 5–17 age groups reflects strong integration of Aadhaar with birth registration, education, and welfare delivery systems, while the consistently low enrolment among adults suggests near-universal coverage in that segment.</w:t>
      </w:r>
    </w:p>
    <w:p w14:paraId="2293CD74" w14:textId="77777777" w:rsidR="00B6135C" w:rsidRPr="00B6135C" w:rsidRDefault="00B6135C" w:rsidP="00B613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135C">
        <w:rPr>
          <w:rFonts w:ascii="Times New Roman" w:eastAsia="Times New Roman" w:hAnsi="Times New Roman" w:cs="Times New Roman"/>
          <w:sz w:val="24"/>
          <w:szCs w:val="24"/>
          <w:lang w:eastAsia="en-IN"/>
        </w:rPr>
        <w:lastRenderedPageBreak/>
        <w:t>Geographic patterns show that high-population states, urban districts, and migration-prone areas continue to contribute the highest enrolment volumes, whereas smaller states and Union Territories exhibit stable and saturated enrolment trends. Temporal analysis reveals seasonal peaks aligned with academic cycles and administrative campaigns, highlighting the importance of adaptive operational planning. Micro-level variations at district and pincode levels further emphasize the role of local accessibility and awareness in shaping enrolment outcomes.</w:t>
      </w:r>
      <w:bookmarkStart w:id="0" w:name="_GoBack"/>
      <w:bookmarkEnd w:id="0"/>
    </w:p>
    <w:p w14:paraId="6E54B68E" w14:textId="77777777" w:rsidR="00B6135C" w:rsidRPr="00B16103" w:rsidRDefault="00B6135C" w:rsidP="00B16103">
      <w:pPr>
        <w:rPr>
          <w:rFonts w:ascii="Times New Roman" w:hAnsi="Times New Roman" w:cs="Times New Roman"/>
          <w:b/>
          <w:bCs/>
          <w:sz w:val="28"/>
          <w:szCs w:val="24"/>
        </w:rPr>
      </w:pPr>
    </w:p>
    <w:sectPr w:rsidR="00B6135C" w:rsidRPr="00B161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E5581E" w14:textId="77777777" w:rsidR="0036061D" w:rsidRDefault="0036061D" w:rsidP="0036061D">
      <w:pPr>
        <w:spacing w:after="0" w:line="240" w:lineRule="auto"/>
      </w:pPr>
      <w:r>
        <w:separator/>
      </w:r>
    </w:p>
  </w:endnote>
  <w:endnote w:type="continuationSeparator" w:id="0">
    <w:p w14:paraId="7BBB953E" w14:textId="77777777" w:rsidR="0036061D" w:rsidRDefault="0036061D" w:rsidP="00360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0D5B2" w14:textId="77777777" w:rsidR="0036061D" w:rsidRDefault="0036061D" w:rsidP="0036061D">
      <w:pPr>
        <w:spacing w:after="0" w:line="240" w:lineRule="auto"/>
      </w:pPr>
      <w:r>
        <w:separator/>
      </w:r>
    </w:p>
  </w:footnote>
  <w:footnote w:type="continuationSeparator" w:id="0">
    <w:p w14:paraId="2C2F47B4" w14:textId="77777777" w:rsidR="0036061D" w:rsidRDefault="0036061D" w:rsidP="00360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F682D"/>
    <w:multiLevelType w:val="hybridMultilevel"/>
    <w:tmpl w:val="BDBA1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884796"/>
    <w:multiLevelType w:val="hybridMultilevel"/>
    <w:tmpl w:val="E10E82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135F8B"/>
    <w:multiLevelType w:val="hybridMultilevel"/>
    <w:tmpl w:val="421EC75E"/>
    <w:lvl w:ilvl="0" w:tplc="9942E64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DC4190"/>
    <w:multiLevelType w:val="hybridMultilevel"/>
    <w:tmpl w:val="E5FC70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047473"/>
    <w:multiLevelType w:val="multilevel"/>
    <w:tmpl w:val="551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5DE"/>
    <w:rsid w:val="00042EEB"/>
    <w:rsid w:val="000701F9"/>
    <w:rsid w:val="000B198C"/>
    <w:rsid w:val="000D23D8"/>
    <w:rsid w:val="001952F0"/>
    <w:rsid w:val="001F35EF"/>
    <w:rsid w:val="002353B3"/>
    <w:rsid w:val="00271506"/>
    <w:rsid w:val="00293AEA"/>
    <w:rsid w:val="002C43FE"/>
    <w:rsid w:val="00342BBE"/>
    <w:rsid w:val="0036061D"/>
    <w:rsid w:val="00391C17"/>
    <w:rsid w:val="003E0C19"/>
    <w:rsid w:val="00414756"/>
    <w:rsid w:val="0046190B"/>
    <w:rsid w:val="005146C8"/>
    <w:rsid w:val="006A1535"/>
    <w:rsid w:val="006D0FDD"/>
    <w:rsid w:val="006F1C48"/>
    <w:rsid w:val="00705D9A"/>
    <w:rsid w:val="0074325D"/>
    <w:rsid w:val="008005DE"/>
    <w:rsid w:val="008630E5"/>
    <w:rsid w:val="008648E4"/>
    <w:rsid w:val="0093592C"/>
    <w:rsid w:val="009372A5"/>
    <w:rsid w:val="00953299"/>
    <w:rsid w:val="009C6187"/>
    <w:rsid w:val="00A52529"/>
    <w:rsid w:val="00AA77A2"/>
    <w:rsid w:val="00AE5C7B"/>
    <w:rsid w:val="00AE685C"/>
    <w:rsid w:val="00AF6C9A"/>
    <w:rsid w:val="00B064C2"/>
    <w:rsid w:val="00B16103"/>
    <w:rsid w:val="00B32C47"/>
    <w:rsid w:val="00B6135C"/>
    <w:rsid w:val="00C526E0"/>
    <w:rsid w:val="00C5296C"/>
    <w:rsid w:val="00D50C9A"/>
    <w:rsid w:val="00D92419"/>
    <w:rsid w:val="00DC47F6"/>
    <w:rsid w:val="00E23315"/>
    <w:rsid w:val="00E60F67"/>
    <w:rsid w:val="00EE7223"/>
    <w:rsid w:val="00F20F73"/>
    <w:rsid w:val="00F72378"/>
    <w:rsid w:val="00FF780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CEBD"/>
  <w15:chartTrackingRefBased/>
  <w15:docId w15:val="{3E657124-1EC5-4D20-A1C6-6178AAAA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15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2EEB"/>
    <w:rPr>
      <w:b/>
      <w:bCs/>
    </w:rPr>
  </w:style>
  <w:style w:type="paragraph" w:styleId="ListParagraph">
    <w:name w:val="List Paragraph"/>
    <w:basedOn w:val="Normal"/>
    <w:uiPriority w:val="34"/>
    <w:qFormat/>
    <w:rsid w:val="00042EEB"/>
    <w:pPr>
      <w:ind w:left="720"/>
      <w:contextualSpacing/>
    </w:pPr>
  </w:style>
  <w:style w:type="paragraph" w:styleId="NormalWeb">
    <w:name w:val="Normal (Web)"/>
    <w:basedOn w:val="Normal"/>
    <w:uiPriority w:val="99"/>
    <w:semiHidden/>
    <w:unhideWhenUsed/>
    <w:rsid w:val="00C529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606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61D"/>
  </w:style>
  <w:style w:type="paragraph" w:styleId="Footer">
    <w:name w:val="footer"/>
    <w:basedOn w:val="Normal"/>
    <w:link w:val="FooterChar"/>
    <w:uiPriority w:val="99"/>
    <w:unhideWhenUsed/>
    <w:rsid w:val="003606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61D"/>
  </w:style>
  <w:style w:type="character" w:customStyle="1" w:styleId="Heading3Char">
    <w:name w:val="Heading 3 Char"/>
    <w:basedOn w:val="DefaultParagraphFont"/>
    <w:link w:val="Heading3"/>
    <w:uiPriority w:val="9"/>
    <w:rsid w:val="00271506"/>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55742">
      <w:bodyDiv w:val="1"/>
      <w:marLeft w:val="0"/>
      <w:marRight w:val="0"/>
      <w:marTop w:val="0"/>
      <w:marBottom w:val="0"/>
      <w:divBdr>
        <w:top w:val="none" w:sz="0" w:space="0" w:color="auto"/>
        <w:left w:val="none" w:sz="0" w:space="0" w:color="auto"/>
        <w:bottom w:val="none" w:sz="0" w:space="0" w:color="auto"/>
        <w:right w:val="none" w:sz="0" w:space="0" w:color="auto"/>
      </w:divBdr>
    </w:div>
    <w:div w:id="111897902">
      <w:bodyDiv w:val="1"/>
      <w:marLeft w:val="0"/>
      <w:marRight w:val="0"/>
      <w:marTop w:val="0"/>
      <w:marBottom w:val="0"/>
      <w:divBdr>
        <w:top w:val="none" w:sz="0" w:space="0" w:color="auto"/>
        <w:left w:val="none" w:sz="0" w:space="0" w:color="auto"/>
        <w:bottom w:val="none" w:sz="0" w:space="0" w:color="auto"/>
        <w:right w:val="none" w:sz="0" w:space="0" w:color="auto"/>
      </w:divBdr>
    </w:div>
    <w:div w:id="398864131">
      <w:bodyDiv w:val="1"/>
      <w:marLeft w:val="0"/>
      <w:marRight w:val="0"/>
      <w:marTop w:val="0"/>
      <w:marBottom w:val="0"/>
      <w:divBdr>
        <w:top w:val="none" w:sz="0" w:space="0" w:color="auto"/>
        <w:left w:val="none" w:sz="0" w:space="0" w:color="auto"/>
        <w:bottom w:val="none" w:sz="0" w:space="0" w:color="auto"/>
        <w:right w:val="none" w:sz="0" w:space="0" w:color="auto"/>
      </w:divBdr>
    </w:div>
    <w:div w:id="603153363">
      <w:bodyDiv w:val="1"/>
      <w:marLeft w:val="0"/>
      <w:marRight w:val="0"/>
      <w:marTop w:val="0"/>
      <w:marBottom w:val="0"/>
      <w:divBdr>
        <w:top w:val="none" w:sz="0" w:space="0" w:color="auto"/>
        <w:left w:val="none" w:sz="0" w:space="0" w:color="auto"/>
        <w:bottom w:val="none" w:sz="0" w:space="0" w:color="auto"/>
        <w:right w:val="none" w:sz="0" w:space="0" w:color="auto"/>
      </w:divBdr>
    </w:div>
    <w:div w:id="606156956">
      <w:bodyDiv w:val="1"/>
      <w:marLeft w:val="0"/>
      <w:marRight w:val="0"/>
      <w:marTop w:val="0"/>
      <w:marBottom w:val="0"/>
      <w:divBdr>
        <w:top w:val="none" w:sz="0" w:space="0" w:color="auto"/>
        <w:left w:val="none" w:sz="0" w:space="0" w:color="auto"/>
        <w:bottom w:val="none" w:sz="0" w:space="0" w:color="auto"/>
        <w:right w:val="none" w:sz="0" w:space="0" w:color="auto"/>
      </w:divBdr>
    </w:div>
    <w:div w:id="707800126">
      <w:bodyDiv w:val="1"/>
      <w:marLeft w:val="0"/>
      <w:marRight w:val="0"/>
      <w:marTop w:val="0"/>
      <w:marBottom w:val="0"/>
      <w:divBdr>
        <w:top w:val="none" w:sz="0" w:space="0" w:color="auto"/>
        <w:left w:val="none" w:sz="0" w:space="0" w:color="auto"/>
        <w:bottom w:val="none" w:sz="0" w:space="0" w:color="auto"/>
        <w:right w:val="none" w:sz="0" w:space="0" w:color="auto"/>
      </w:divBdr>
    </w:div>
    <w:div w:id="791510140">
      <w:bodyDiv w:val="1"/>
      <w:marLeft w:val="0"/>
      <w:marRight w:val="0"/>
      <w:marTop w:val="0"/>
      <w:marBottom w:val="0"/>
      <w:divBdr>
        <w:top w:val="none" w:sz="0" w:space="0" w:color="auto"/>
        <w:left w:val="none" w:sz="0" w:space="0" w:color="auto"/>
        <w:bottom w:val="none" w:sz="0" w:space="0" w:color="auto"/>
        <w:right w:val="none" w:sz="0" w:space="0" w:color="auto"/>
      </w:divBdr>
    </w:div>
    <w:div w:id="1111628494">
      <w:bodyDiv w:val="1"/>
      <w:marLeft w:val="0"/>
      <w:marRight w:val="0"/>
      <w:marTop w:val="0"/>
      <w:marBottom w:val="0"/>
      <w:divBdr>
        <w:top w:val="none" w:sz="0" w:space="0" w:color="auto"/>
        <w:left w:val="none" w:sz="0" w:space="0" w:color="auto"/>
        <w:bottom w:val="none" w:sz="0" w:space="0" w:color="auto"/>
        <w:right w:val="none" w:sz="0" w:space="0" w:color="auto"/>
      </w:divBdr>
    </w:div>
    <w:div w:id="1173882908">
      <w:bodyDiv w:val="1"/>
      <w:marLeft w:val="0"/>
      <w:marRight w:val="0"/>
      <w:marTop w:val="0"/>
      <w:marBottom w:val="0"/>
      <w:divBdr>
        <w:top w:val="none" w:sz="0" w:space="0" w:color="auto"/>
        <w:left w:val="none" w:sz="0" w:space="0" w:color="auto"/>
        <w:bottom w:val="none" w:sz="0" w:space="0" w:color="auto"/>
        <w:right w:val="none" w:sz="0" w:space="0" w:color="auto"/>
      </w:divBdr>
    </w:div>
    <w:div w:id="1243221439">
      <w:bodyDiv w:val="1"/>
      <w:marLeft w:val="0"/>
      <w:marRight w:val="0"/>
      <w:marTop w:val="0"/>
      <w:marBottom w:val="0"/>
      <w:divBdr>
        <w:top w:val="none" w:sz="0" w:space="0" w:color="auto"/>
        <w:left w:val="none" w:sz="0" w:space="0" w:color="auto"/>
        <w:bottom w:val="none" w:sz="0" w:space="0" w:color="auto"/>
        <w:right w:val="none" w:sz="0" w:space="0" w:color="auto"/>
      </w:divBdr>
    </w:div>
    <w:div w:id="1284268546">
      <w:bodyDiv w:val="1"/>
      <w:marLeft w:val="0"/>
      <w:marRight w:val="0"/>
      <w:marTop w:val="0"/>
      <w:marBottom w:val="0"/>
      <w:divBdr>
        <w:top w:val="none" w:sz="0" w:space="0" w:color="auto"/>
        <w:left w:val="none" w:sz="0" w:space="0" w:color="auto"/>
        <w:bottom w:val="none" w:sz="0" w:space="0" w:color="auto"/>
        <w:right w:val="none" w:sz="0" w:space="0" w:color="auto"/>
      </w:divBdr>
    </w:div>
    <w:div w:id="1299263703">
      <w:bodyDiv w:val="1"/>
      <w:marLeft w:val="0"/>
      <w:marRight w:val="0"/>
      <w:marTop w:val="0"/>
      <w:marBottom w:val="0"/>
      <w:divBdr>
        <w:top w:val="none" w:sz="0" w:space="0" w:color="auto"/>
        <w:left w:val="none" w:sz="0" w:space="0" w:color="auto"/>
        <w:bottom w:val="none" w:sz="0" w:space="0" w:color="auto"/>
        <w:right w:val="none" w:sz="0" w:space="0" w:color="auto"/>
      </w:divBdr>
    </w:div>
    <w:div w:id="1309554401">
      <w:bodyDiv w:val="1"/>
      <w:marLeft w:val="0"/>
      <w:marRight w:val="0"/>
      <w:marTop w:val="0"/>
      <w:marBottom w:val="0"/>
      <w:divBdr>
        <w:top w:val="none" w:sz="0" w:space="0" w:color="auto"/>
        <w:left w:val="none" w:sz="0" w:space="0" w:color="auto"/>
        <w:bottom w:val="none" w:sz="0" w:space="0" w:color="auto"/>
        <w:right w:val="none" w:sz="0" w:space="0" w:color="auto"/>
      </w:divBdr>
    </w:div>
    <w:div w:id="1561206199">
      <w:bodyDiv w:val="1"/>
      <w:marLeft w:val="0"/>
      <w:marRight w:val="0"/>
      <w:marTop w:val="0"/>
      <w:marBottom w:val="0"/>
      <w:divBdr>
        <w:top w:val="none" w:sz="0" w:space="0" w:color="auto"/>
        <w:left w:val="none" w:sz="0" w:space="0" w:color="auto"/>
        <w:bottom w:val="none" w:sz="0" w:space="0" w:color="auto"/>
        <w:right w:val="none" w:sz="0" w:space="0" w:color="auto"/>
      </w:divBdr>
    </w:div>
    <w:div w:id="1570726370">
      <w:bodyDiv w:val="1"/>
      <w:marLeft w:val="0"/>
      <w:marRight w:val="0"/>
      <w:marTop w:val="0"/>
      <w:marBottom w:val="0"/>
      <w:divBdr>
        <w:top w:val="none" w:sz="0" w:space="0" w:color="auto"/>
        <w:left w:val="none" w:sz="0" w:space="0" w:color="auto"/>
        <w:bottom w:val="none" w:sz="0" w:space="0" w:color="auto"/>
        <w:right w:val="none" w:sz="0" w:space="0" w:color="auto"/>
      </w:divBdr>
    </w:div>
    <w:div w:id="1759986867">
      <w:bodyDiv w:val="1"/>
      <w:marLeft w:val="0"/>
      <w:marRight w:val="0"/>
      <w:marTop w:val="0"/>
      <w:marBottom w:val="0"/>
      <w:divBdr>
        <w:top w:val="none" w:sz="0" w:space="0" w:color="auto"/>
        <w:left w:val="none" w:sz="0" w:space="0" w:color="auto"/>
        <w:bottom w:val="none" w:sz="0" w:space="0" w:color="auto"/>
        <w:right w:val="none" w:sz="0" w:space="0" w:color="auto"/>
      </w:divBdr>
    </w:div>
    <w:div w:id="1802845361">
      <w:bodyDiv w:val="1"/>
      <w:marLeft w:val="0"/>
      <w:marRight w:val="0"/>
      <w:marTop w:val="0"/>
      <w:marBottom w:val="0"/>
      <w:divBdr>
        <w:top w:val="none" w:sz="0" w:space="0" w:color="auto"/>
        <w:left w:val="none" w:sz="0" w:space="0" w:color="auto"/>
        <w:bottom w:val="none" w:sz="0" w:space="0" w:color="auto"/>
        <w:right w:val="none" w:sz="0" w:space="0" w:color="auto"/>
      </w:divBdr>
    </w:div>
    <w:div w:id="1944846821">
      <w:bodyDiv w:val="1"/>
      <w:marLeft w:val="0"/>
      <w:marRight w:val="0"/>
      <w:marTop w:val="0"/>
      <w:marBottom w:val="0"/>
      <w:divBdr>
        <w:top w:val="none" w:sz="0" w:space="0" w:color="auto"/>
        <w:left w:val="none" w:sz="0" w:space="0" w:color="auto"/>
        <w:bottom w:val="none" w:sz="0" w:space="0" w:color="auto"/>
        <w:right w:val="none" w:sz="0" w:space="0" w:color="auto"/>
      </w:divBdr>
    </w:div>
    <w:div w:id="210934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3546</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Meshram</dc:creator>
  <cp:keywords/>
  <dc:description/>
  <cp:lastModifiedBy>Aaditya Meshram</cp:lastModifiedBy>
  <cp:revision>3</cp:revision>
  <dcterms:created xsi:type="dcterms:W3CDTF">2026-01-17T04:52:00Z</dcterms:created>
  <dcterms:modified xsi:type="dcterms:W3CDTF">2026-01-17T04:57:00Z</dcterms:modified>
</cp:coreProperties>
</file>