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Realistic Journal-Readiness Audit</w:t>
      </w:r>
    </w:p>
    <w:p>
      <w:pPr>
        <w:pStyle w:val="Subtitle"/>
        <w:jc w:val="center"/>
      </w:pPr>
      <w:r>
        <w:t>Current scientific quality, acceptance blockers, novelty depth and publication potential</w:t>
      </w:r>
    </w:p>
    <w:p>
      <w:pPr>
        <w:jc w:val="center"/>
      </w:pPr>
      <w:r>
        <w:rPr>
          <w:b/>
          <w:sz w:val="19"/>
        </w:rPr>
        <w:t>Reviewed manuscript: Five-Class Land Cover Mapping using Google Earth Engine and Machine Learning on Sentinel-1 and Sentinel-2 Data</w:t>
      </w:r>
    </w:p>
    <w:p>
      <w:pPr>
        <w:jc w:val="center"/>
      </w:pPr>
      <w:r>
        <w:rPr>
          <w:i/>
        </w:rPr>
        <w:t>Basis: complete 10-page manuscript, rendered figures/tables, current journal scopes, and recent comparable literature</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3118"/>
            <w:shd w:fill="17365D"/>
            <w:tcMar>
              <w:top w:w="70" w:type="dxa"/>
              <w:start w:w="90" w:type="dxa"/>
              <w:bottom w:w="70" w:type="dxa"/>
              <w:end w:w="90" w:type="dxa"/>
            </w:tcMar>
          </w:tcPr>
          <w:p>
            <w:pPr>
              <w:jc w:val="center"/>
            </w:pPr>
            <w:r>
              <w:rPr>
                <w:b/>
                <w:color w:val="FFFFFF"/>
                <w:sz w:val="16"/>
              </w:rPr>
              <w:t>Dimension</w:t>
            </w:r>
          </w:p>
        </w:tc>
        <w:tc>
          <w:tcPr>
            <w:tcW w:type="dxa" w:w="1361"/>
            <w:shd w:fill="17365D"/>
            <w:tcMar>
              <w:top w:w="70" w:type="dxa"/>
              <w:start w:w="90" w:type="dxa"/>
              <w:bottom w:w="70" w:type="dxa"/>
              <w:end w:w="90" w:type="dxa"/>
            </w:tcMar>
          </w:tcPr>
          <w:p>
            <w:pPr>
              <w:jc w:val="center"/>
            </w:pPr>
            <w:r>
              <w:rPr>
                <w:b/>
                <w:color w:val="FFFFFF"/>
                <w:sz w:val="16"/>
              </w:rPr>
              <w:t>Current rating</w:t>
            </w:r>
          </w:p>
        </w:tc>
        <w:tc>
          <w:tcPr>
            <w:tcW w:type="dxa" w:w="4989"/>
            <w:shd w:fill="17365D"/>
            <w:tcMar>
              <w:top w:w="70" w:type="dxa"/>
              <w:start w:w="90" w:type="dxa"/>
              <w:bottom w:w="70" w:type="dxa"/>
              <w:end w:w="90" w:type="dxa"/>
            </w:tcMar>
          </w:tcPr>
          <w:p>
            <w:pPr>
              <w:jc w:val="center"/>
            </w:pPr>
            <w:r>
              <w:rPr>
                <w:b/>
                <w:color w:val="FFFFFF"/>
                <w:sz w:val="16"/>
              </w:rPr>
              <w:t>Interpretation</w:t>
            </w:r>
          </w:p>
        </w:tc>
      </w:tr>
      <w:tr>
        <w:tc>
          <w:tcPr>
            <w:tcW w:type="dxa" w:w="3118"/>
            <w:tcMar>
              <w:top w:w="70" w:type="dxa"/>
              <w:start w:w="90" w:type="dxa"/>
              <w:bottom w:w="70" w:type="dxa"/>
              <w:end w:w="90" w:type="dxa"/>
            </w:tcMar>
            <w:vAlign w:val="top"/>
          </w:tcPr>
          <w:p>
            <w:pPr>
              <w:spacing w:after="0"/>
            </w:pPr>
            <w:r>
              <w:rPr>
                <w:sz w:val="16"/>
              </w:rPr>
              <w:t>Problem relevance</w:t>
            </w:r>
          </w:p>
        </w:tc>
        <w:tc>
          <w:tcPr>
            <w:tcW w:type="dxa" w:w="1361"/>
            <w:tcMar>
              <w:top w:w="70" w:type="dxa"/>
              <w:start w:w="90" w:type="dxa"/>
              <w:bottom w:w="70" w:type="dxa"/>
              <w:end w:w="90" w:type="dxa"/>
            </w:tcMar>
            <w:vAlign w:val="top"/>
          </w:tcPr>
          <w:p>
            <w:pPr>
              <w:spacing w:after="0"/>
            </w:pPr>
            <w:r>
              <w:rPr>
                <w:sz w:val="16"/>
              </w:rPr>
              <w:t>8.0/10</w:t>
            </w:r>
          </w:p>
        </w:tc>
        <w:tc>
          <w:tcPr>
            <w:tcW w:type="dxa" w:w="4989"/>
            <w:tcMar>
              <w:top w:w="70" w:type="dxa"/>
              <w:start w:w="90" w:type="dxa"/>
              <w:bottom w:w="70" w:type="dxa"/>
              <w:end w:w="90" w:type="dxa"/>
            </w:tcMar>
            <w:vAlign w:val="top"/>
          </w:tcPr>
          <w:p>
            <w:pPr>
              <w:spacing w:after="0"/>
            </w:pPr>
            <w:r>
              <w:rPr>
                <w:sz w:val="16"/>
              </w:rPr>
              <w:t>State-scale LULC mapping, seasonal transfer and open-land/built confusion are practically important.</w:t>
            </w:r>
          </w:p>
        </w:tc>
      </w:tr>
      <w:tr>
        <w:tc>
          <w:tcPr>
            <w:tcW w:type="dxa" w:w="3118"/>
            <w:tcMar>
              <w:top w:w="70" w:type="dxa"/>
              <w:start w:w="90" w:type="dxa"/>
              <w:bottom w:w="70" w:type="dxa"/>
              <w:end w:w="90" w:type="dxa"/>
            </w:tcMar>
            <w:shd w:fill="F8FAFC"/>
            <w:vAlign w:val="top"/>
          </w:tcPr>
          <w:p>
            <w:pPr>
              <w:spacing w:after="0"/>
            </w:pPr>
            <w:r>
              <w:rPr>
                <w:sz w:val="16"/>
              </w:rPr>
              <w:t>Data integration</w:t>
            </w:r>
          </w:p>
        </w:tc>
        <w:tc>
          <w:tcPr>
            <w:tcW w:type="dxa" w:w="1361"/>
            <w:tcMar>
              <w:top w:w="70" w:type="dxa"/>
              <w:start w:w="90" w:type="dxa"/>
              <w:bottom w:w="70" w:type="dxa"/>
              <w:end w:w="90" w:type="dxa"/>
            </w:tcMar>
            <w:shd w:fill="F8FAFC"/>
            <w:vAlign w:val="top"/>
          </w:tcPr>
          <w:p>
            <w:pPr>
              <w:spacing w:after="0"/>
            </w:pPr>
            <w:r>
              <w:rPr>
                <w:sz w:val="16"/>
              </w:rPr>
              <w:t>7.5/10</w:t>
            </w:r>
          </w:p>
        </w:tc>
        <w:tc>
          <w:tcPr>
            <w:tcW w:type="dxa" w:w="4989"/>
            <w:tcMar>
              <w:top w:w="70" w:type="dxa"/>
              <w:start w:w="90" w:type="dxa"/>
              <w:bottom w:w="70" w:type="dxa"/>
              <w:end w:w="90" w:type="dxa"/>
            </w:tcMar>
            <w:shd w:fill="F8FAFC"/>
            <w:vAlign w:val="top"/>
          </w:tcPr>
          <w:p>
            <w:pPr>
              <w:spacing w:after="0"/>
            </w:pPr>
            <w:r>
              <w:rPr>
                <w:sz w:val="16"/>
              </w:rPr>
              <w:t>Sentinel-1 + Sentinel-2 + indices + texture within GEE is coherent but not novel by itself.</w:t>
            </w:r>
          </w:p>
        </w:tc>
      </w:tr>
      <w:tr>
        <w:tc>
          <w:tcPr>
            <w:tcW w:type="dxa" w:w="3118"/>
            <w:tcMar>
              <w:top w:w="70" w:type="dxa"/>
              <w:start w:w="90" w:type="dxa"/>
              <w:bottom w:w="70" w:type="dxa"/>
              <w:end w:w="90" w:type="dxa"/>
            </w:tcMar>
            <w:vAlign w:val="top"/>
          </w:tcPr>
          <w:p>
            <w:pPr>
              <w:spacing w:after="0"/>
            </w:pPr>
            <w:r>
              <w:rPr>
                <w:sz w:val="16"/>
              </w:rPr>
              <w:t>Novelty</w:t>
            </w:r>
          </w:p>
        </w:tc>
        <w:tc>
          <w:tcPr>
            <w:tcW w:type="dxa" w:w="1361"/>
            <w:tcMar>
              <w:top w:w="70" w:type="dxa"/>
              <w:start w:w="90" w:type="dxa"/>
              <w:bottom w:w="70" w:type="dxa"/>
              <w:end w:w="90" w:type="dxa"/>
            </w:tcMar>
            <w:vAlign w:val="top"/>
          </w:tcPr>
          <w:p>
            <w:pPr>
              <w:spacing w:after="0"/>
            </w:pPr>
            <w:r>
              <w:rPr>
                <w:sz w:val="16"/>
              </w:rPr>
              <w:t>6.2/10</w:t>
            </w:r>
          </w:p>
        </w:tc>
        <w:tc>
          <w:tcPr>
            <w:tcW w:type="dxa" w:w="4989"/>
            <w:tcMar>
              <w:top w:w="70" w:type="dxa"/>
              <w:start w:w="90" w:type="dxa"/>
              <w:bottom w:w="70" w:type="dxa"/>
              <w:end w:w="90" w:type="dxa"/>
            </w:tcMar>
            <w:vAlign w:val="top"/>
          </w:tcPr>
          <w:p>
            <w:pPr>
              <w:spacing w:after="0"/>
            </w:pPr>
            <w:r>
              <w:rPr>
                <w:sz w:val="16"/>
              </w:rPr>
              <w:t>The strongest potential novelty is validation realism and cross-district transfer, not the classifier list.</w:t>
            </w:r>
          </w:p>
        </w:tc>
      </w:tr>
      <w:tr>
        <w:tc>
          <w:tcPr>
            <w:tcW w:type="dxa" w:w="3118"/>
            <w:tcMar>
              <w:top w:w="70" w:type="dxa"/>
              <w:start w:w="90" w:type="dxa"/>
              <w:bottom w:w="70" w:type="dxa"/>
              <w:end w:w="90" w:type="dxa"/>
            </w:tcMar>
            <w:shd w:fill="F8FAFC"/>
            <w:vAlign w:val="top"/>
          </w:tcPr>
          <w:p>
            <w:pPr>
              <w:spacing w:after="0"/>
            </w:pPr>
            <w:r>
              <w:rPr>
                <w:sz w:val="16"/>
              </w:rPr>
              <w:t>Training-label design</w:t>
            </w:r>
          </w:p>
        </w:tc>
        <w:tc>
          <w:tcPr>
            <w:tcW w:type="dxa" w:w="1361"/>
            <w:tcMar>
              <w:top w:w="70" w:type="dxa"/>
              <w:start w:w="90" w:type="dxa"/>
              <w:bottom w:w="70" w:type="dxa"/>
              <w:end w:w="90" w:type="dxa"/>
            </w:tcMar>
            <w:shd w:fill="F8FAFC"/>
            <w:vAlign w:val="top"/>
          </w:tcPr>
          <w:p>
            <w:pPr>
              <w:spacing w:after="0"/>
            </w:pPr>
            <w:r>
              <w:rPr>
                <w:sz w:val="16"/>
              </w:rPr>
              <w:t>5.5/10</w:t>
            </w:r>
          </w:p>
        </w:tc>
        <w:tc>
          <w:tcPr>
            <w:tcW w:type="dxa" w:w="4989"/>
            <w:tcMar>
              <w:top w:w="70" w:type="dxa"/>
              <w:start w:w="90" w:type="dxa"/>
              <w:bottom w:w="70" w:type="dxa"/>
              <w:end w:w="90" w:type="dxa"/>
            </w:tcMar>
            <w:shd w:fill="F8FAFC"/>
            <w:vAlign w:val="top"/>
          </w:tcPr>
          <w:p>
            <w:pPr>
              <w:spacing w:after="0"/>
            </w:pPr>
            <w:r>
              <w:rPr>
                <w:sz w:val="16"/>
              </w:rPr>
              <w:t>Balanced 5,000-point training set is useful, but annotation provenance and class-boundary ambiguity are under-documented.</w:t>
            </w:r>
          </w:p>
        </w:tc>
      </w:tr>
      <w:tr>
        <w:tc>
          <w:tcPr>
            <w:tcW w:type="dxa" w:w="3118"/>
            <w:tcMar>
              <w:top w:w="70" w:type="dxa"/>
              <w:start w:w="90" w:type="dxa"/>
              <w:bottom w:w="70" w:type="dxa"/>
              <w:end w:w="90" w:type="dxa"/>
            </w:tcMar>
            <w:vAlign w:val="top"/>
          </w:tcPr>
          <w:p>
            <w:pPr>
              <w:spacing w:after="0"/>
            </w:pPr>
            <w:r>
              <w:rPr>
                <w:sz w:val="16"/>
              </w:rPr>
              <w:t>External validation</w:t>
            </w:r>
          </w:p>
        </w:tc>
        <w:tc>
          <w:tcPr>
            <w:tcW w:type="dxa" w:w="1361"/>
            <w:tcMar>
              <w:top w:w="70" w:type="dxa"/>
              <w:start w:w="90" w:type="dxa"/>
              <w:bottom w:w="70" w:type="dxa"/>
              <w:end w:w="90" w:type="dxa"/>
            </w:tcMar>
            <w:vAlign w:val="top"/>
          </w:tcPr>
          <w:p>
            <w:pPr>
              <w:spacing w:after="0"/>
            </w:pPr>
            <w:r>
              <w:rPr>
                <w:sz w:val="16"/>
              </w:rPr>
              <w:t>5.8/10</w:t>
            </w:r>
          </w:p>
        </w:tc>
        <w:tc>
          <w:tcPr>
            <w:tcW w:type="dxa" w:w="4989"/>
            <w:tcMar>
              <w:top w:w="70" w:type="dxa"/>
              <w:start w:w="90" w:type="dxa"/>
              <w:bottom w:w="70" w:type="dxa"/>
              <w:end w:w="90" w:type="dxa"/>
            </w:tcMar>
            <w:vAlign w:val="top"/>
          </w:tcPr>
          <w:p>
            <w:pPr>
              <w:spacing w:after="0"/>
            </w:pPr>
            <w:r>
              <w:rPr>
                <w:sz w:val="16"/>
              </w:rPr>
              <w:t>Statewide public-map consensus is stronger than random splitting but is not field/VHR ground truth and has year mismatch.</w:t>
            </w:r>
          </w:p>
        </w:tc>
      </w:tr>
      <w:tr>
        <w:tc>
          <w:tcPr>
            <w:tcW w:type="dxa" w:w="3118"/>
            <w:tcMar>
              <w:top w:w="70" w:type="dxa"/>
              <w:start w:w="90" w:type="dxa"/>
              <w:bottom w:w="70" w:type="dxa"/>
              <w:end w:w="90" w:type="dxa"/>
            </w:tcMar>
            <w:shd w:fill="F8FAFC"/>
            <w:vAlign w:val="top"/>
          </w:tcPr>
          <w:p>
            <w:pPr>
              <w:spacing w:after="0"/>
            </w:pPr>
            <w:r>
              <w:rPr>
                <w:sz w:val="16"/>
              </w:rPr>
              <w:t>Spatial generalization</w:t>
            </w:r>
          </w:p>
        </w:tc>
        <w:tc>
          <w:tcPr>
            <w:tcW w:type="dxa" w:w="1361"/>
            <w:tcMar>
              <w:top w:w="70" w:type="dxa"/>
              <w:start w:w="90" w:type="dxa"/>
              <w:bottom w:w="70" w:type="dxa"/>
              <w:end w:w="90" w:type="dxa"/>
            </w:tcMar>
            <w:shd w:fill="F8FAFC"/>
            <w:vAlign w:val="top"/>
          </w:tcPr>
          <w:p>
            <w:pPr>
              <w:spacing w:after="0"/>
            </w:pPr>
            <w:r>
              <w:rPr>
                <w:sz w:val="16"/>
              </w:rPr>
              <w:t>7.0/10</w:t>
            </w:r>
          </w:p>
        </w:tc>
        <w:tc>
          <w:tcPr>
            <w:tcW w:type="dxa" w:w="4989"/>
            <w:tcMar>
              <w:top w:w="70" w:type="dxa"/>
              <w:start w:w="90" w:type="dxa"/>
              <w:bottom w:w="70" w:type="dxa"/>
              <w:end w:w="90" w:type="dxa"/>
            </w:tcMar>
            <w:shd w:fill="F8FAFC"/>
            <w:vAlign w:val="top"/>
          </w:tcPr>
          <w:p>
            <w:pPr>
              <w:spacing w:after="0"/>
            </w:pPr>
            <w:r>
              <w:rPr>
                <w:sz w:val="16"/>
              </w:rPr>
              <w:t>Training in Jabalpur and testing statewide is a strong idea; it needs cleaner experimental separation and current boundaries.</w:t>
            </w:r>
          </w:p>
        </w:tc>
      </w:tr>
      <w:tr>
        <w:tc>
          <w:tcPr>
            <w:tcW w:type="dxa" w:w="3118"/>
            <w:tcMar>
              <w:top w:w="70" w:type="dxa"/>
              <w:start w:w="90" w:type="dxa"/>
              <w:bottom w:w="70" w:type="dxa"/>
              <w:end w:w="90" w:type="dxa"/>
            </w:tcMar>
            <w:vAlign w:val="top"/>
          </w:tcPr>
          <w:p>
            <w:pPr>
              <w:spacing w:after="0"/>
            </w:pPr>
            <w:r>
              <w:rPr>
                <w:sz w:val="16"/>
              </w:rPr>
              <w:t>Seasonal robustness</w:t>
            </w:r>
          </w:p>
        </w:tc>
        <w:tc>
          <w:tcPr>
            <w:tcW w:type="dxa" w:w="1361"/>
            <w:tcMar>
              <w:top w:w="70" w:type="dxa"/>
              <w:start w:w="90" w:type="dxa"/>
              <w:bottom w:w="70" w:type="dxa"/>
              <w:end w:w="90" w:type="dxa"/>
            </w:tcMar>
            <w:vAlign w:val="top"/>
          </w:tcPr>
          <w:p>
            <w:pPr>
              <w:spacing w:after="0"/>
            </w:pPr>
            <w:r>
              <w:rPr>
                <w:sz w:val="16"/>
              </w:rPr>
              <w:t>6.0/10</w:t>
            </w:r>
          </w:p>
        </w:tc>
        <w:tc>
          <w:tcPr>
            <w:tcW w:type="dxa" w:w="4989"/>
            <w:tcMar>
              <w:top w:w="70" w:type="dxa"/>
              <w:start w:w="90" w:type="dxa"/>
              <w:bottom w:w="70" w:type="dxa"/>
              <w:end w:w="90" w:type="dxa"/>
            </w:tcMar>
            <w:vAlign w:val="top"/>
          </w:tcPr>
          <w:p>
            <w:pPr>
              <w:spacing w:after="0"/>
            </w:pPr>
            <w:r>
              <w:rPr>
                <w:sz w:val="16"/>
              </w:rPr>
              <w:t>Winter-summer performance drop is informative but windows and radar fallback are not temporally controlled enough.</w:t>
            </w:r>
          </w:p>
        </w:tc>
      </w:tr>
      <w:tr>
        <w:tc>
          <w:tcPr>
            <w:tcW w:type="dxa" w:w="3118"/>
            <w:tcMar>
              <w:top w:w="70" w:type="dxa"/>
              <w:start w:w="90" w:type="dxa"/>
              <w:bottom w:w="70" w:type="dxa"/>
              <w:end w:w="90" w:type="dxa"/>
            </w:tcMar>
            <w:shd w:fill="F8FAFC"/>
            <w:vAlign w:val="top"/>
          </w:tcPr>
          <w:p>
            <w:pPr>
              <w:spacing w:after="0"/>
            </w:pPr>
            <w:r>
              <w:rPr>
                <w:sz w:val="16"/>
              </w:rPr>
              <w:t>Feature attribution</w:t>
            </w:r>
          </w:p>
        </w:tc>
        <w:tc>
          <w:tcPr>
            <w:tcW w:type="dxa" w:w="1361"/>
            <w:tcMar>
              <w:top w:w="70" w:type="dxa"/>
              <w:start w:w="90" w:type="dxa"/>
              <w:bottom w:w="70" w:type="dxa"/>
              <w:end w:w="90" w:type="dxa"/>
            </w:tcMar>
            <w:shd w:fill="F8FAFC"/>
            <w:vAlign w:val="top"/>
          </w:tcPr>
          <w:p>
            <w:pPr>
              <w:spacing w:after="0"/>
            </w:pPr>
            <w:r>
              <w:rPr>
                <w:sz w:val="16"/>
              </w:rPr>
              <w:t>5.5/10</w:t>
            </w:r>
          </w:p>
        </w:tc>
        <w:tc>
          <w:tcPr>
            <w:tcW w:type="dxa" w:w="4989"/>
            <w:tcMar>
              <w:top w:w="70" w:type="dxa"/>
              <w:start w:w="90" w:type="dxa"/>
              <w:bottom w:w="70" w:type="dxa"/>
              <w:end w:w="90" w:type="dxa"/>
            </w:tcMar>
            <w:shd w:fill="F8FAFC"/>
            <w:vAlign w:val="top"/>
          </w:tcPr>
          <w:p>
            <w:pPr>
              <w:spacing w:after="0"/>
            </w:pPr>
            <w:r>
              <w:rPr>
                <w:sz w:val="16"/>
              </w:rPr>
              <w:t>Ablations are useful but appear to reuse evaluation data for feature selection.</w:t>
            </w:r>
          </w:p>
        </w:tc>
      </w:tr>
      <w:tr>
        <w:tc>
          <w:tcPr>
            <w:tcW w:type="dxa" w:w="3118"/>
            <w:tcMar>
              <w:top w:w="70" w:type="dxa"/>
              <w:start w:w="90" w:type="dxa"/>
              <w:bottom w:w="70" w:type="dxa"/>
              <w:end w:w="90" w:type="dxa"/>
            </w:tcMar>
            <w:vAlign w:val="top"/>
          </w:tcPr>
          <w:p>
            <w:pPr>
              <w:spacing w:after="0"/>
            </w:pPr>
            <w:r>
              <w:rPr>
                <w:sz w:val="16"/>
              </w:rPr>
              <w:t>Classifier comparison</w:t>
            </w:r>
          </w:p>
        </w:tc>
        <w:tc>
          <w:tcPr>
            <w:tcW w:type="dxa" w:w="1361"/>
            <w:tcMar>
              <w:top w:w="70" w:type="dxa"/>
              <w:start w:w="90" w:type="dxa"/>
              <w:bottom w:w="70" w:type="dxa"/>
              <w:end w:w="90" w:type="dxa"/>
            </w:tcMar>
            <w:vAlign w:val="top"/>
          </w:tcPr>
          <w:p>
            <w:pPr>
              <w:spacing w:after="0"/>
            </w:pPr>
            <w:r>
              <w:rPr>
                <w:sz w:val="16"/>
              </w:rPr>
              <w:t>4.5/10</w:t>
            </w:r>
          </w:p>
        </w:tc>
        <w:tc>
          <w:tcPr>
            <w:tcW w:type="dxa" w:w="4989"/>
            <w:tcMar>
              <w:top w:w="70" w:type="dxa"/>
              <w:start w:w="90" w:type="dxa"/>
              <w:bottom w:w="70" w:type="dxa"/>
              <w:end w:w="90" w:type="dxa"/>
            </w:tcMar>
            <w:vAlign w:val="top"/>
          </w:tcPr>
          <w:p>
            <w:pPr>
              <w:spacing w:after="0"/>
            </w:pPr>
            <w:r>
              <w:rPr>
                <w:sz w:val="16"/>
              </w:rPr>
              <w:t>The reported 'XGBoost' is actually GEE Smile Gradient Tree Boosting, a major method-name error.</w:t>
            </w:r>
          </w:p>
        </w:tc>
      </w:tr>
      <w:tr>
        <w:tc>
          <w:tcPr>
            <w:tcW w:type="dxa" w:w="3118"/>
            <w:tcMar>
              <w:top w:w="70" w:type="dxa"/>
              <w:start w:w="90" w:type="dxa"/>
              <w:bottom w:w="70" w:type="dxa"/>
              <w:end w:w="90" w:type="dxa"/>
            </w:tcMar>
            <w:shd w:fill="F8FAFC"/>
            <w:vAlign w:val="top"/>
          </w:tcPr>
          <w:p>
            <w:pPr>
              <w:spacing w:after="0"/>
            </w:pPr>
            <w:r>
              <w:rPr>
                <w:sz w:val="16"/>
              </w:rPr>
              <w:t>Statistical rigor</w:t>
            </w:r>
          </w:p>
        </w:tc>
        <w:tc>
          <w:tcPr>
            <w:tcW w:type="dxa" w:w="1361"/>
            <w:tcMar>
              <w:top w:w="70" w:type="dxa"/>
              <w:start w:w="90" w:type="dxa"/>
              <w:bottom w:w="70" w:type="dxa"/>
              <w:end w:w="90" w:type="dxa"/>
            </w:tcMar>
            <w:shd w:fill="F8FAFC"/>
            <w:vAlign w:val="top"/>
          </w:tcPr>
          <w:p>
            <w:pPr>
              <w:spacing w:after="0"/>
            </w:pPr>
            <w:r>
              <w:rPr>
                <w:sz w:val="16"/>
              </w:rPr>
              <w:t>4.8/10</w:t>
            </w:r>
          </w:p>
        </w:tc>
        <w:tc>
          <w:tcPr>
            <w:tcW w:type="dxa" w:w="4989"/>
            <w:tcMar>
              <w:top w:w="70" w:type="dxa"/>
              <w:start w:w="90" w:type="dxa"/>
              <w:bottom w:w="70" w:type="dxa"/>
              <w:end w:w="90" w:type="dxa"/>
            </w:tcMar>
            <w:shd w:fill="F8FAFC"/>
            <w:vAlign w:val="top"/>
          </w:tcPr>
          <w:p>
            <w:pPr>
              <w:spacing w:after="0"/>
            </w:pPr>
            <w:r>
              <w:rPr>
                <w:sz w:val="16"/>
              </w:rPr>
              <w:t>No area-adjusted accuracy, district-block uncertainty or formal paired comparisons.</w:t>
            </w:r>
          </w:p>
        </w:tc>
      </w:tr>
      <w:tr>
        <w:tc>
          <w:tcPr>
            <w:tcW w:type="dxa" w:w="3118"/>
            <w:tcMar>
              <w:top w:w="70" w:type="dxa"/>
              <w:start w:w="90" w:type="dxa"/>
              <w:bottom w:w="70" w:type="dxa"/>
              <w:end w:w="90" w:type="dxa"/>
            </w:tcMar>
            <w:vAlign w:val="top"/>
          </w:tcPr>
          <w:p>
            <w:pPr>
              <w:spacing w:after="0"/>
            </w:pPr>
            <w:r>
              <w:rPr>
                <w:sz w:val="16"/>
              </w:rPr>
              <w:t>Reproducibility</w:t>
            </w:r>
          </w:p>
        </w:tc>
        <w:tc>
          <w:tcPr>
            <w:tcW w:type="dxa" w:w="1361"/>
            <w:tcMar>
              <w:top w:w="70" w:type="dxa"/>
              <w:start w:w="90" w:type="dxa"/>
              <w:bottom w:w="70" w:type="dxa"/>
              <w:end w:w="90" w:type="dxa"/>
            </w:tcMar>
            <w:vAlign w:val="top"/>
          </w:tcPr>
          <w:p>
            <w:pPr>
              <w:spacing w:after="0"/>
            </w:pPr>
            <w:r>
              <w:rPr>
                <w:sz w:val="16"/>
              </w:rPr>
              <w:t>5.8/10</w:t>
            </w:r>
          </w:p>
        </w:tc>
        <w:tc>
          <w:tcPr>
            <w:tcW w:type="dxa" w:w="4989"/>
            <w:tcMar>
              <w:top w:w="70" w:type="dxa"/>
              <w:start w:w="90" w:type="dxa"/>
              <w:bottom w:w="70" w:type="dxa"/>
              <w:end w:w="90" w:type="dxa"/>
            </w:tcMar>
            <w:vAlign w:val="top"/>
          </w:tcPr>
          <w:p>
            <w:pPr>
              <w:spacing w:after="0"/>
            </w:pPr>
            <w:r>
              <w:rPr>
                <w:sz w:val="16"/>
              </w:rPr>
              <w:t>Many settings are given, but radar preprocessing, resampling, seeds, dataset manifests and code release are incomplete.</w:t>
            </w:r>
          </w:p>
        </w:tc>
      </w:tr>
      <w:tr>
        <w:tc>
          <w:tcPr>
            <w:tcW w:type="dxa" w:w="3118"/>
            <w:tcMar>
              <w:top w:w="70" w:type="dxa"/>
              <w:start w:w="90" w:type="dxa"/>
              <w:bottom w:w="70" w:type="dxa"/>
              <w:end w:w="90" w:type="dxa"/>
            </w:tcMar>
            <w:shd w:fill="F8FAFC"/>
            <w:vAlign w:val="top"/>
          </w:tcPr>
          <w:p>
            <w:pPr>
              <w:spacing w:after="0"/>
            </w:pPr>
            <w:r>
              <w:rPr>
                <w:sz w:val="16"/>
              </w:rPr>
              <w:t>Internal consistency</w:t>
            </w:r>
          </w:p>
        </w:tc>
        <w:tc>
          <w:tcPr>
            <w:tcW w:type="dxa" w:w="1361"/>
            <w:tcMar>
              <w:top w:w="70" w:type="dxa"/>
              <w:start w:w="90" w:type="dxa"/>
              <w:bottom w:w="70" w:type="dxa"/>
              <w:end w:w="90" w:type="dxa"/>
            </w:tcMar>
            <w:shd w:fill="F8FAFC"/>
            <w:vAlign w:val="top"/>
          </w:tcPr>
          <w:p>
            <w:pPr>
              <w:spacing w:after="0"/>
            </w:pPr>
            <w:r>
              <w:rPr>
                <w:sz w:val="16"/>
              </w:rPr>
              <w:t>4.8/10</w:t>
            </w:r>
          </w:p>
        </w:tc>
        <w:tc>
          <w:tcPr>
            <w:tcW w:type="dxa" w:w="4989"/>
            <w:tcMar>
              <w:top w:w="70" w:type="dxa"/>
              <w:start w:w="90" w:type="dxa"/>
              <w:bottom w:w="70" w:type="dxa"/>
              <w:end w:w="90" w:type="dxa"/>
            </w:tcMar>
            <w:shd w:fill="F8FAFC"/>
            <w:vAlign w:val="top"/>
          </w:tcPr>
          <w:p>
            <w:pPr>
              <w:spacing w:after="0"/>
            </w:pPr>
            <w:r>
              <w:rPr>
                <w:sz w:val="16"/>
              </w:rPr>
              <w:t>District count, figures, sample counts and site labels contain visible contradictions.</w:t>
            </w:r>
          </w:p>
        </w:tc>
      </w:tr>
      <w:tr>
        <w:tc>
          <w:tcPr>
            <w:tcW w:type="dxa" w:w="3118"/>
            <w:tcMar>
              <w:top w:w="70" w:type="dxa"/>
              <w:start w:w="90" w:type="dxa"/>
              <w:bottom w:w="70" w:type="dxa"/>
              <w:end w:w="90" w:type="dxa"/>
            </w:tcMar>
            <w:vAlign w:val="top"/>
          </w:tcPr>
          <w:p>
            <w:pPr>
              <w:spacing w:after="0"/>
            </w:pPr>
            <w:r>
              <w:rPr>
                <w:sz w:val="16"/>
              </w:rPr>
              <w:t>Overall strong-journal readiness</w:t>
            </w:r>
          </w:p>
        </w:tc>
        <w:tc>
          <w:tcPr>
            <w:tcW w:type="dxa" w:w="1361"/>
            <w:tcMar>
              <w:top w:w="70" w:type="dxa"/>
              <w:start w:w="90" w:type="dxa"/>
              <w:bottom w:w="70" w:type="dxa"/>
              <w:end w:w="90" w:type="dxa"/>
            </w:tcMar>
            <w:vAlign w:val="top"/>
          </w:tcPr>
          <w:p>
            <w:pPr>
              <w:spacing w:after="0"/>
            </w:pPr>
            <w:r>
              <w:rPr>
                <w:sz w:val="16"/>
              </w:rPr>
              <w:t>5.7/10</w:t>
            </w:r>
          </w:p>
        </w:tc>
        <w:tc>
          <w:tcPr>
            <w:tcW w:type="dxa" w:w="4989"/>
            <w:tcMar>
              <w:top w:w="70" w:type="dxa"/>
              <w:start w:w="90" w:type="dxa"/>
              <w:bottom w:w="70" w:type="dxa"/>
              <w:end w:w="90" w:type="dxa"/>
            </w:tcMar>
            <w:vAlign w:val="top"/>
          </w:tcPr>
          <w:p>
            <w:pPr>
              <w:spacing w:after="0"/>
            </w:pPr>
            <w:r>
              <w:rPr>
                <w:sz w:val="16"/>
              </w:rPr>
              <w:t>Promising paper, but current version is not ready for a strong remote-sensing journal.</w:t>
            </w:r>
          </w:p>
        </w:tc>
      </w:tr>
    </w:tbl>
    <w:p>
      <w:pPr>
        <w:spacing w:after="0"/>
      </w:pPr>
    </w:p>
    <w:tbl>
      <w:tblPr>
        <w:tblStyle w:val="TableGrid"/>
        <w:tblW w:type="auto" w:w="0"/>
        <w:jc w:val="center"/>
        <w:tblLook w:firstColumn="1" w:firstRow="1" w:lastColumn="0" w:lastRow="0" w:noHBand="0" w:noVBand="1" w:val="04A0"/>
      </w:tblPr>
      <w:tblGrid>
        <w:gridCol w:w="10482"/>
      </w:tblGrid>
      <w:tr>
        <w:tc>
          <w:tcPr>
            <w:tcW w:type="dxa" w:w="10482"/>
            <w:shd w:fill="FFF2E3"/>
            <w:tcMar>
              <w:top w:w="110" w:type="dxa"/>
              <w:start w:w="140" w:type="dxa"/>
              <w:bottom w:w="110" w:type="dxa"/>
              <w:end w:w="140" w:type="dxa"/>
            </w:tcMar>
          </w:tcPr>
          <w:p>
            <w:r>
              <w:rPr>
                <w:b/>
                <w:color w:val="C65D18"/>
                <w:sz w:val="21"/>
              </w:rPr>
              <w:t>Decision</w:t>
            </w:r>
          </w:p>
          <w:p>
            <w:r>
              <w:t>NO-GO in the current form for a strong journal. The manuscript has a publishable core, especially because it trains in one district and evaluates statewide, quantifies validation inflation, and targets a physically difficult built-versus-open confusion. However, several technical mistakes and validation-design issues would likely trigger major revision or desk rejection. After a focused reconstruction, the work can realistically target solid Q1/Q2 remote-sensing journals.</w:t>
            </w:r>
          </w:p>
        </w:tc>
      </w:tr>
    </w:tbl>
    <w:p>
      <w:pPr>
        <w:spacing w:after="0"/>
      </w:pPr>
    </w:p>
    <w:p>
      <w:pPr>
        <w:pStyle w:val="Heading1"/>
      </w:pPr>
      <w:r>
        <w:t>1. Strong parts worth preserving</w:t>
      </w:r>
    </w:p>
    <w:p>
      <w:pPr>
        <w:pStyle w:val="ListBullet"/>
        <w:spacing w:after="40"/>
        <w:ind w:left="369" w:hanging="142"/>
      </w:pPr>
      <w:r>
        <w:t>The study does not rely only on a random Jabalpur split. It explicitly shows that random validation can report about 94% while stricter spatial/external checks are materially lower.</w:t>
      </w:r>
    </w:p>
    <w:p>
      <w:pPr>
        <w:pStyle w:val="ListBullet"/>
        <w:spacing w:after="40"/>
        <w:ind w:left="369" w:hanging="142"/>
      </w:pPr>
      <w:r>
        <w:t>The manuscript identifies a concrete physical confusion - dry open land versus constructed surfaces - and tests optical texture and SAR as complementary evidence.</w:t>
      </w:r>
    </w:p>
    <w:p>
      <w:pPr>
        <w:pStyle w:val="ListBullet"/>
        <w:spacing w:after="40"/>
        <w:ind w:left="369" w:hanging="142"/>
      </w:pPr>
      <w:r>
        <w:t>Training is localized in Jabalpur while evaluation spans a much larger and more heterogeneous Madhya Pradesh domain, creating a meaningful transfer question.</w:t>
      </w:r>
    </w:p>
    <w:p>
      <w:pPr>
        <w:pStyle w:val="ListBullet"/>
        <w:spacing w:after="40"/>
        <w:ind w:left="369" w:hanging="142"/>
      </w:pPr>
      <w:r>
        <w:t>Per-class F1, Kappa, winter-summer differences and feature-family experiments provide more insight than a single overall-accuracy number.</w:t>
      </w:r>
    </w:p>
    <w:p>
      <w:pPr>
        <w:pStyle w:val="ListBullet"/>
        <w:spacing w:after="40"/>
        <w:ind w:left="369" w:hanging="142"/>
      </w:pPr>
      <w:r>
        <w:t>A served GEE dashboard creates a useful reproducibility/application dimension if the scientific model pipeline is frozen and documented.</w:t>
      </w:r>
    </w:p>
    <w:p>
      <w:pPr>
        <w:pStyle w:val="Heading1"/>
      </w:pPr>
      <w:r>
        <w:t>2. Immediate acceptance blockers</w:t>
      </w:r>
    </w:p>
    <w:p>
      <w:pPr>
        <w:pStyle w:val="Heading3"/>
      </w:pPr>
      <w:r>
        <w:t>2.1. The reported 'XGBoost' model is not XGBoost</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Abstract; Sections I, III-D; Tables IV, VI, VII, IX; figures and conclusion</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manuscript states that XGBoost is implemented with ee.Classifier.smileGradientTreeBoost. Google Earth Engine documents this API as a Smile Gradient Tree Boost classifier, not the XGBoost implementation of Chen and Guestrin.</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This is a method-identity error. Reviewers familiar with GEE will catch it immediately, and all 'XGBoost' rankings/citations become technically incorrect.</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Rename the model throughout as Smile Gradient Tree Boosting (GTB/GBT) and cite the Earth Engine/Smile implementation. If actual XGBoost is desired, train a genuine XGBoost model outside GEE or through an appropriate external workflow and rerun the comparison.</w:t>
            </w:r>
          </w:p>
        </w:tc>
      </w:tr>
    </w:tbl>
    <w:p>
      <w:pPr>
        <w:spacing w:after="0"/>
      </w:pPr>
    </w:p>
    <w:p>
      <w:pPr>
        <w:pStyle w:val="Heading3"/>
      </w:pPr>
      <w:r>
        <w:t>2.2. The Sentinel-2 cloud-mask equation is wrong or ambiguously written</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 III-A, Eq. (1)</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manuscript defines M(x,y)=Q10 AND Q11 after saying bits 10 and 11 represent opaque cloud and cirrus. If Q10 and Q11 are the raw cloud flags, this masks only pixels where both flags are simultaneously set.</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A cloud-screening error changes every optical composite and therefore every classification result.</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Define the mask explicitly. For a clear-pixel mask, require bit10=0 AND bit11=0. For a cloud flag, use bit10 OR bit11. Show the exact GEE code or equivalent Boolean expression and rerun if the present implementation used the wrong logic.</w:t>
            </w:r>
          </w:p>
        </w:tc>
      </w:tr>
    </w:tbl>
    <w:p>
      <w:pPr>
        <w:spacing w:after="0"/>
      </w:pPr>
    </w:p>
    <w:p>
      <w:pPr>
        <w:pStyle w:val="Heading3"/>
      </w:pPr>
      <w:r>
        <w:t>2.3. The statewide district count is outdated or incorrectly described</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Abstract; Section II-A; statewide validation tables</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manuscript repeatedly states that Madhya Pradesh is split into 48 districts. Current Government of Madhya Pradesh systems report 55 districts.</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Calling 48 historical polygons 'all districts' makes the geographic scope factually incorrect and may omit recently created administrative units.</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Preferably update the evaluation to the current 55-district boundary set. If the analysis must retain 48 historical units, report the exact boundary vintage and call them 48 historical/evaluation units rather than current districts.</w:t>
            </w:r>
          </w:p>
        </w:tc>
      </w:tr>
    </w:tbl>
    <w:p>
      <w:pPr>
        <w:spacing w:after="0"/>
      </w:pPr>
    </w:p>
    <w:p>
      <w:pPr>
        <w:pStyle w:val="Heading3"/>
      </w:pPr>
      <w:r>
        <w:t>2.4. Figure 1 is visibly inconsistent with its caption and study-area text</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Page 3, Figure 1</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rendered map itself is headed 'Indore District and City Classification', while the manuscript and figure caption describe Jabalpur city and the Narmada corridor.</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This is a high-visibility credibility failure and raises concern that figures may come from different experiment versions.</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Replace the figure with the actual Jabalpur output or rewrite the study-area description if Indore was intended. Verify every figure source and embedded title before submission.</w:t>
            </w:r>
          </w:p>
        </w:tc>
      </w:tr>
    </w:tbl>
    <w:p>
      <w:pPr>
        <w:spacing w:after="0"/>
      </w:pPr>
    </w:p>
    <w:p>
      <w:pPr>
        <w:pStyle w:val="Heading3"/>
      </w:pPr>
      <w:r>
        <w:t>2.5. The 'independent' public-map consensus is not equivalent to independent ground truth</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 III-E; Abstract; Results</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Validation labels are generated from WorldCover, Dynamic World, OPERA DSWx, GHSL and WorldCereal. These products have their own classification errors, use overlapping Earth-observation data, and several reference years do not match the 2025 composites.</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Agreement with another map is useful for external benchmarking, but it cannot be treated as field-verified ground truth. Shared sensor inputs can also create correlated error.</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Keep the consensus as one benchmark, but manually verify a stratified subset using 2025 very-high-resolution imagery and/or field/GNSS observations. Report agreement between consensus and manual reference, then make the manually interpreted set the final validation benchmark where feasible.</w:t>
            </w:r>
          </w:p>
        </w:tc>
      </w:tr>
    </w:tbl>
    <w:p>
      <w:pPr>
        <w:spacing w:after="0"/>
      </w:pPr>
    </w:p>
    <w:p>
      <w:pPr>
        <w:pStyle w:val="Heading3"/>
      </w:pPr>
      <w:r>
        <w:t>2.6. Feature selection appears to use evaluation data</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Table IX/Figure 10 and associated text</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27-to-22-to-19 feature-stack reduction is chosen because it improves accuracy on 5,760 'independent evaluation points'. The 19-band stack is then used for the reported final model.</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If the same evaluation population is used to select features and report final performance, it is no longer an untouched external test and the final accuracy is optimistically selected.</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Separate development and final testing. Use spatially blocked Jabalpur folds or a designated validation-district subset to choose the 19-band stack and hyperparameters. Evaluate the frozen pipeline once on held-out external districts/reference samples.</w:t>
            </w:r>
          </w:p>
        </w:tc>
      </w:tr>
    </w:tbl>
    <w:p>
      <w:pPr>
        <w:spacing w:after="0"/>
      </w:pPr>
    </w:p>
    <w:p>
      <w:pPr>
        <w:pStyle w:val="Heading3"/>
      </w:pPr>
      <w:r>
        <w:t>2.7. Classifier selection also reuses the external evaluation set</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Table VI and conclusion</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Five classifiers are compared on the statewide reference and the best-performing classifier is identified from those same scores.</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Model selection and final evaluation are mixed. This creates selection bias even if training labels are independent.</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Predefine a spatial validation set for classifier/hyperparameter selection, then reserve separate districts or blocks for final testing. A nested spatial design would be strongest.</w:t>
            </w:r>
          </w:p>
        </w:tc>
      </w:tr>
    </w:tbl>
    <w:p>
      <w:pPr>
        <w:spacing w:after="0"/>
      </w:pPr>
    </w:p>
    <w:p>
      <w:pPr>
        <w:pStyle w:val="Heading3"/>
      </w:pPr>
      <w:r>
        <w:t>2.8. The validation sample counts are not coherent enough</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Abstract; Tables V, VI, IX; Figures 4 and 10</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manuscript refers to 1,274 statewide points, 5,760 independent evaluation points, 4,787 winter samples and 4,627 summer samples without a single split/provenance table.</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A reviewer cannot tell which samples were used for ablation, feature reduction, classifier selection, seasonal evaluation and final reporting.</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Add a dataset/split manifest listing every reference set, its districts, season, class counts, exclusion rules, distance buffer, purpose and whether it influenced model/feature selection.</w:t>
            </w:r>
          </w:p>
        </w:tc>
      </w:tr>
    </w:tbl>
    <w:p>
      <w:pPr>
        <w:spacing w:after="0"/>
      </w:pPr>
    </w:p>
    <w:p>
      <w:pPr>
        <w:pStyle w:val="Heading3"/>
      </w:pPr>
      <w:r>
        <w:t>2.9. Class definitions are not operationally sharp enough</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 III-B</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Vegetation includes 'other green cover', agriculture includes seasonal crops and fallow farmland, and open land includes exposed soil. These definitions overlap strongly, especially in the summer window.</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The large winter-to-summer degradation may partly reflect ontology ambiguity rather than only model weakness.</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Add a class-ontology decision table with inclusion/exclusion rules for orchards, plantations, grass, urban parks, fallow cropland, harvested fields, construction sites and rocky soil. Report annotation examples and difficult cases.</w:t>
            </w:r>
          </w:p>
        </w:tc>
      </w:tr>
    </w:tbl>
    <w:p>
      <w:pPr>
        <w:spacing w:after="0"/>
      </w:pPr>
    </w:p>
    <w:p>
      <w:pPr>
        <w:pStyle w:val="Heading3"/>
      </w:pPr>
      <w:r>
        <w:t>2.10. Training-label provenance is under-documented</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 III-B</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Five thousand points were 'manually placed', but the manuscript does not explain who labeled them, what imagery/date was used, how clusters were distributed, whether labels were independently checked, or how class purity was assured.</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The entire supervised model depends on these labels, and clustered points can overrepresent a few landscapes.</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Provide a label protocol, spatial map, per-class distribution, minimum spacing, source imagery/date and quality-control procedure. Ideally double-check a subset by a second interpreter and report agreement.</w:t>
            </w:r>
          </w:p>
        </w:tc>
      </w:tr>
    </w:tbl>
    <w:p>
      <w:pPr>
        <w:spacing w:after="0"/>
      </w:pPr>
    </w:p>
    <w:p>
      <w:pPr>
        <w:pStyle w:val="Heading3"/>
      </w:pPr>
      <w:r>
        <w:t>2.11. The seasonal windows are not comparable in duration</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 II-D</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Winter spans 1 January-28 February, while summer spans 31 March-30 April. The manuscript states that fixing the windows prevents changing composite depth, but the windows are roughly 59 and 31 days.</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Different observation counts and cloud opportunities can influence composite quality independently of season.</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Use equal-length windows, or explicitly model the number of valid observations and show that differences are not driven by composite depth. A multi-temporal/phenological feature design would be stronger than two unequal single-season composites.</w:t>
            </w:r>
          </w:p>
        </w:tc>
      </w:tr>
    </w:tbl>
    <w:p>
      <w:pPr>
        <w:spacing w:after="0"/>
      </w:pPr>
    </w:p>
    <w:p>
      <w:pPr>
        <w:pStyle w:val="Heading3"/>
      </w:pPr>
      <w:r>
        <w:t>2.12. The Sentinel-1 fallback creates temporal leakage/domain mismatch</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 III-A</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If no Sentinel-1 scene exists in the short seasonal window, the manuscript substitutes a longer 2024-2025 fallback.</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The radar feature for a 2025 seasonal map may then represent a different season or year, compromising seasonal comparisons and class state.</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Use temporally matched Sentinel-1 observations only. If unavailable, report missingness, enlarge the same-season window symmetrically, or design a documented temporal compositing rule applied consistently to every district.</w:t>
            </w:r>
          </w:p>
        </w:tc>
      </w:tr>
    </w:tbl>
    <w:p>
      <w:pPr>
        <w:spacing w:after="0"/>
      </w:pPr>
    </w:p>
    <w:p>
      <w:pPr>
        <w:pStyle w:val="Heading3"/>
      </w:pPr>
      <w:r>
        <w:t>2.13. Sentinel-1 processing is not physically reproducible enough</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Sections II-C and III-C</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Orbit direction, incidence-angle handling, border/noise treatment, exact temporal filters and the domain of the VV/VH ratio are not specified. The manuscript describes dB values, rescales them, and then uses a VV/VH ratio.</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A ratio should be computed consistently in linear power units, or equivalently represented as a difference in dB. Dividing dB or arbitrarily rescaled values is not a physical backscatter ratio.</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Specify the exact GEE preprocessing and formula. Filter or stratify by orbit/pass where needed, compute polarimetric ratios on a physically valid scale, and rerun the affected experiments if necessary.</w:t>
            </w:r>
          </w:p>
        </w:tc>
      </w:tr>
    </w:tbl>
    <w:p>
      <w:pPr>
        <w:spacing w:after="0"/>
      </w:pPr>
    </w:p>
    <w:p>
      <w:pPr>
        <w:pStyle w:val="Heading3"/>
      </w:pPr>
      <w:r>
        <w:t>2.14. The effective spatial resolution is overstated</w:t>
      </w:r>
    </w:p>
    <w:tbl>
      <w:tblPr>
        <w:tblW w:type="auto" w:w="0"/>
        <w:tblLook w:firstColumn="1" w:firstRow="1" w:lastColumn="0" w:lastRow="0" w:noHBand="0" w:noVBand="1" w:val="04A0"/>
      </w:tblPr>
      <w:tblGrid>
        <w:gridCol w:w="5241"/>
        <w:gridCol w:w="5241"/>
      </w:tblGrid>
      <w:tr>
        <w:tc>
          <w:tcPr>
            <w:tcW w:type="dxa" w:w="5241"/>
            <w:shd w:fill="C65D18"/>
            <w:tcMar>
              <w:top w:w="45" w:type="dxa"/>
              <w:start w:w="80" w:type="dxa"/>
              <w:bottom w:w="45" w:type="dxa"/>
              <w:end w:w="80" w:type="dxa"/>
            </w:tcMar>
          </w:tcPr>
          <w:p>
            <w:r>
              <w:rPr>
                <w:b/>
              </w:rPr>
              <w:t>STRONGLY RECOMMENDED</w:t>
            </w:r>
          </w:p>
        </w:tc>
        <w:tc>
          <w:tcPr>
            <w:tcW w:type="dxa" w:w="5241"/>
            <w:shd w:fill="F2F4F7"/>
            <w:tcMar>
              <w:top w:w="45" w:type="dxa"/>
              <w:start w:w="80" w:type="dxa"/>
              <w:bottom w:w="45" w:type="dxa"/>
              <w:end w:w="80" w:type="dxa"/>
            </w:tcMar>
          </w:tcPr>
          <w:p>
            <w:r>
              <w:rPr>
                <w:b/>
              </w:rPr>
              <w:t>Location: Throughout manuscript and dashboard claims</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Several Sentinel-2 inputs are native 20 m and are resampled to a 10 m grid. The paper repeatedly describes a 10 m classifier/map.</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A 10 m output grid does not make every source feature truly 10 m resolution.</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State '10 m output grid' rather than implying uniform native 10 m information. Document the 20-to-10 m resampling method and conduct a small sensitivity check if the choice could affect built/open boundaries.</w:t>
            </w:r>
          </w:p>
        </w:tc>
      </w:tr>
    </w:tbl>
    <w:p>
      <w:pPr>
        <w:spacing w:after="0"/>
      </w:pPr>
    </w:p>
    <w:p>
      <w:pPr>
        <w:pStyle w:val="Heading3"/>
      </w:pPr>
      <w:r>
        <w:t>2.15. Reported overall accuracy is not area-adjusted</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Section III-E and all statewide OA reporting</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reference design intentionally samples roughly equal numbers per class/district, and the limitations acknowledge class-balanced rather than area-weighted sampling.</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An unweighted confusion matrix from a stratified balanced sample does not directly estimate map-wide overall accuracy or class area. The cited Olofsson et al. framework specifically supports design-based area adjustment and uncertainty.</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Report design-based area-adjusted OA, user's/producer's accuracy, class-area estimates and 95% confidence intervals using mapped class proportions and the stratified sample design. Retain the balanced macro metrics as secondary diagnostics.</w:t>
            </w:r>
          </w:p>
        </w:tc>
      </w:tr>
    </w:tbl>
    <w:p>
      <w:pPr>
        <w:spacing w:after="0"/>
      </w:pPr>
    </w:p>
    <w:p>
      <w:pPr>
        <w:pStyle w:val="Heading3"/>
      </w:pPr>
      <w:r>
        <w:t>2.16. Hyperparameters are not tuned for the final problem</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Table IV and Limitations</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manuscript admits that settings were chosen on an earlier problem and were not retuned for the five-class 19-feature setup.</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This weakens the classifier-ranking claim and can unfairly disadvantage models such as SVM, RF and KNN.</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Tune each model using the same spatially blocked development protocol. Report search ranges and selected settings. Do not tune on the final external test.</w:t>
            </w:r>
          </w:p>
        </w:tc>
      </w:tr>
    </w:tbl>
    <w:p>
      <w:pPr>
        <w:spacing w:after="0"/>
      </w:pPr>
    </w:p>
    <w:p>
      <w:pPr>
        <w:pStyle w:val="Heading3"/>
      </w:pPr>
      <w:r>
        <w:t>2.17. No uncertainty is attached to the main statewide performance</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Tables VI-VIII</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OA and Kappa are reported as point values across thousands of samples, but no district-block confidence interval or paired model comparison is provided.</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Samples within a district/landscape are spatially correlated; simple pixel-level uncertainty would be too optimistic.</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Bootstrap or resample at the district/spatial-block level. Report 95% CIs for OA, macro-F1 and key class F1. Compare classifiers using paired district-level differences rather than only ranking point estimates.</w:t>
            </w:r>
          </w:p>
        </w:tc>
      </w:tr>
    </w:tbl>
    <w:p>
      <w:pPr>
        <w:spacing w:after="0"/>
      </w:pPr>
    </w:p>
    <w:p>
      <w:pPr>
        <w:pStyle w:val="Heading3"/>
      </w:pPr>
      <w:r>
        <w:t>2.18. The most interesting spatial-transfer result is underdeveloped</w:t>
      </w:r>
    </w:p>
    <w:tbl>
      <w:tblPr>
        <w:tblW w:type="auto" w:w="0"/>
        <w:tblLook w:firstColumn="1" w:firstRow="1" w:lastColumn="0" w:lastRow="0" w:noHBand="0" w:noVBand="1" w:val="04A0"/>
      </w:tblPr>
      <w:tblGrid>
        <w:gridCol w:w="5241"/>
        <w:gridCol w:w="5241"/>
      </w:tblGrid>
      <w:tr>
        <w:tc>
          <w:tcPr>
            <w:tcW w:type="dxa" w:w="5241"/>
            <w:shd w:fill="C65D18"/>
            <w:tcMar>
              <w:top w:w="45" w:type="dxa"/>
              <w:start w:w="80" w:type="dxa"/>
              <w:bottom w:w="45" w:type="dxa"/>
              <w:end w:w="80" w:type="dxa"/>
            </w:tcMar>
          </w:tcPr>
          <w:p>
            <w:r>
              <w:rPr>
                <w:b/>
              </w:rPr>
              <w:t>STRONGLY RECOMMENDED</w:t>
            </w:r>
          </w:p>
        </w:tc>
        <w:tc>
          <w:tcPr>
            <w:tcW w:type="dxa" w:w="5241"/>
            <w:shd w:fill="F2F4F7"/>
            <w:tcMar>
              <w:top w:w="45" w:type="dxa"/>
              <w:start w:w="80" w:type="dxa"/>
              <w:bottom w:w="45" w:type="dxa"/>
              <w:end w:w="80" w:type="dxa"/>
            </w:tcMar>
          </w:tcPr>
          <w:p>
            <w:r>
              <w:rPr>
                <w:b/>
              </w:rPr>
              <w:t>Location: Section IV-D</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manuscript notes that accuracy increases toward the longitude band containing the training data, but this is not developed into a formal transfer analysis.</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This may be the paper's best contribution because standard GEE classifier comparisons are already common.</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Quantify accuracy versus distance from Jabalpur, agroecological zone, soil/terrain regime and district. Model the transfer decay and identify which classes fail first. Make cross-domain generalization a central scientific result.</w:t>
            </w:r>
          </w:p>
        </w:tc>
      </w:tr>
    </w:tbl>
    <w:p>
      <w:pPr>
        <w:spacing w:after="0"/>
      </w:pPr>
    </w:p>
    <w:p>
      <w:pPr>
        <w:pStyle w:val="Heading3"/>
      </w:pPr>
      <w:r>
        <w:t>2.19. The paper should be called LULC, not purely land cover</w:t>
      </w:r>
    </w:p>
    <w:tbl>
      <w:tblPr>
        <w:tblW w:type="auto" w:w="0"/>
        <w:tblLook w:firstColumn="1" w:firstRow="1" w:lastColumn="0" w:lastRow="0" w:noHBand="0" w:noVBand="1" w:val="04A0"/>
      </w:tblPr>
      <w:tblGrid>
        <w:gridCol w:w="5241"/>
        <w:gridCol w:w="5241"/>
      </w:tblGrid>
      <w:tr>
        <w:tc>
          <w:tcPr>
            <w:tcW w:type="dxa" w:w="5241"/>
            <w:shd w:fill="C65D18"/>
            <w:tcMar>
              <w:top w:w="45" w:type="dxa"/>
              <w:start w:w="80" w:type="dxa"/>
              <w:bottom w:w="45" w:type="dxa"/>
              <w:end w:w="80" w:type="dxa"/>
            </w:tcMar>
          </w:tcPr>
          <w:p>
            <w:r>
              <w:rPr>
                <w:b/>
              </w:rPr>
              <w:t>STRONGLY RECOMMENDED</w:t>
            </w:r>
          </w:p>
        </w:tc>
        <w:tc>
          <w:tcPr>
            <w:tcW w:type="dxa" w:w="5241"/>
            <w:shd w:fill="F2F4F7"/>
            <w:tcMar>
              <w:top w:w="45" w:type="dxa"/>
              <w:start w:w="80" w:type="dxa"/>
              <w:bottom w:w="45" w:type="dxa"/>
              <w:end w:w="80" w:type="dxa"/>
            </w:tcMar>
          </w:tcPr>
          <w:p>
            <w:r>
              <w:rPr>
                <w:b/>
              </w:rPr>
              <w:t>Location: Title and entire manuscript</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Agriculture is partly a land-use class, while built area combines land-use/land-cover concepts.</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Terminological precision matters in remote-sensing journals and improves comparability with published products.</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Use 'land use/land cover (LULC)' unless the class ontology is redesigned to be purely biophysical cover.</w:t>
            </w:r>
          </w:p>
        </w:tc>
      </w:tr>
    </w:tbl>
    <w:p>
      <w:pPr>
        <w:spacing w:after="0"/>
      </w:pPr>
    </w:p>
    <w:p>
      <w:pPr>
        <w:pStyle w:val="Heading3"/>
      </w:pPr>
      <w:r>
        <w:t>2.20. Visible manuscript-production artifacts must be removed</w:t>
      </w:r>
    </w:p>
    <w:tbl>
      <w:tblPr>
        <w:tblW w:type="auto" w:w="0"/>
        <w:tblLook w:firstColumn="1" w:firstRow="1" w:lastColumn="0" w:lastRow="0" w:noHBand="0" w:noVBand="1" w:val="04A0"/>
      </w:tblPr>
      <w:tblGrid>
        <w:gridCol w:w="5241"/>
        <w:gridCol w:w="5241"/>
      </w:tblGrid>
      <w:tr>
        <w:tc>
          <w:tcPr>
            <w:tcW w:type="dxa" w:w="5241"/>
            <w:shd w:fill="A61B1B"/>
            <w:tcMar>
              <w:top w:w="45" w:type="dxa"/>
              <w:start w:w="80" w:type="dxa"/>
              <w:bottom w:w="45" w:type="dxa"/>
              <w:end w:w="80" w:type="dxa"/>
            </w:tcMar>
          </w:tcPr>
          <w:p>
            <w:r>
              <w:rPr>
                <w:b/>
              </w:rPr>
              <w:t>MUST FIX</w:t>
            </w:r>
          </w:p>
        </w:tc>
        <w:tc>
          <w:tcPr>
            <w:tcW w:type="dxa" w:w="5241"/>
            <w:shd w:fill="F2F4F7"/>
            <w:tcMar>
              <w:top w:w="45" w:type="dxa"/>
              <w:start w:w="80" w:type="dxa"/>
              <w:bottom w:w="45" w:type="dxa"/>
              <w:end w:w="80" w:type="dxa"/>
            </w:tcMar>
          </w:tcPr>
          <w:p>
            <w:r>
              <w:rPr>
                <w:b/>
              </w:rPr>
              <w:t>Location: Entire PDF</w:t>
            </w:r>
          </w:p>
        </w:tc>
      </w:tr>
    </w:tbl>
    <w:tbl>
      <w:tblPr>
        <w:tblStyle w:val="TableGrid"/>
        <w:tblW w:type="auto" w:w="0"/>
        <w:jc w:val="center"/>
        <w:tblLook w:firstColumn="1" w:firstRow="1" w:lastColumn="0" w:lastRow="0" w:noHBand="0" w:noVBand="1" w:val="04A0"/>
      </w:tblPr>
      <w:tblGrid>
        <w:gridCol w:w="5241"/>
        <w:gridCol w:w="5241"/>
      </w:tblGrid>
      <w:tr>
        <w:trPr>
          <w:tblHeader w:val="true"/>
        </w:trPr>
        <w:tc>
          <w:tcPr>
            <w:tcW w:type="dxa" w:w="1871"/>
            <w:shd w:fill="1F6D78"/>
            <w:tcMar>
              <w:top w:w="70" w:type="dxa"/>
              <w:start w:w="90" w:type="dxa"/>
              <w:bottom w:w="70" w:type="dxa"/>
              <w:end w:w="90" w:type="dxa"/>
            </w:tcMar>
          </w:tcPr>
          <w:p>
            <w:pPr>
              <w:jc w:val="center"/>
            </w:pPr>
            <w:r>
              <w:rPr>
                <w:b/>
                <w:color w:val="FFFFFF"/>
                <w:sz w:val="16"/>
              </w:rPr>
              <w:t>Item</w:t>
            </w:r>
          </w:p>
        </w:tc>
        <w:tc>
          <w:tcPr>
            <w:tcW w:type="dxa" w:w="7767"/>
            <w:shd w:fill="1F6D78"/>
            <w:tcMar>
              <w:top w:w="70" w:type="dxa"/>
              <w:start w:w="90" w:type="dxa"/>
              <w:bottom w:w="70" w:type="dxa"/>
              <w:end w:w="90" w:type="dxa"/>
            </w:tcMar>
          </w:tcPr>
          <w:p>
            <w:pPr>
              <w:jc w:val="center"/>
            </w:pPr>
            <w:r>
              <w:rPr>
                <w:b/>
                <w:color w:val="FFFFFF"/>
                <w:sz w:val="16"/>
              </w:rPr>
              <w:t>Assessment</w:t>
            </w:r>
          </w:p>
        </w:tc>
      </w:tr>
      <w:tr>
        <w:tc>
          <w:tcPr>
            <w:tcW w:type="dxa" w:w="1871"/>
            <w:tcMar>
              <w:top w:w="70" w:type="dxa"/>
              <w:start w:w="90" w:type="dxa"/>
              <w:bottom w:w="70" w:type="dxa"/>
              <w:end w:w="90" w:type="dxa"/>
            </w:tcMar>
            <w:vAlign w:val="top"/>
          </w:tcPr>
          <w:p>
            <w:pPr>
              <w:spacing w:after="0"/>
            </w:pPr>
            <w:r>
              <w:rPr>
                <w:sz w:val="16"/>
              </w:rPr>
              <w:t>Problem</w:t>
            </w:r>
          </w:p>
        </w:tc>
        <w:tc>
          <w:tcPr>
            <w:tcW w:type="dxa" w:w="7767"/>
            <w:tcMar>
              <w:top w:w="70" w:type="dxa"/>
              <w:start w:w="90" w:type="dxa"/>
              <w:bottom w:w="70" w:type="dxa"/>
              <w:end w:w="90" w:type="dxa"/>
            </w:tcMar>
            <w:vAlign w:val="top"/>
          </w:tcPr>
          <w:p>
            <w:pPr>
              <w:spacing w:after="0"/>
            </w:pPr>
            <w:r>
              <w:rPr>
                <w:sz w:val="16"/>
              </w:rPr>
              <w:t>The PDF contains repeated '[cite: 1]' artifacts, inconsistent figure-source text, and visible legacy references to earlier class inventories.</w:t>
            </w:r>
          </w:p>
        </w:tc>
      </w:tr>
      <w:tr>
        <w:tc>
          <w:tcPr>
            <w:tcW w:type="dxa" w:w="1871"/>
            <w:tcMar>
              <w:top w:w="70" w:type="dxa"/>
              <w:start w:w="90" w:type="dxa"/>
              <w:bottom w:w="70" w:type="dxa"/>
              <w:end w:w="90" w:type="dxa"/>
            </w:tcMar>
            <w:shd w:fill="F8FAFC"/>
            <w:vAlign w:val="top"/>
          </w:tcPr>
          <w:p>
            <w:pPr>
              <w:spacing w:after="0"/>
            </w:pPr>
            <w:r>
              <w:rPr>
                <w:sz w:val="16"/>
              </w:rPr>
              <w:t>Why it matters</w:t>
            </w:r>
          </w:p>
        </w:tc>
        <w:tc>
          <w:tcPr>
            <w:tcW w:type="dxa" w:w="7767"/>
            <w:tcMar>
              <w:top w:w="70" w:type="dxa"/>
              <w:start w:w="90" w:type="dxa"/>
              <w:bottom w:w="70" w:type="dxa"/>
              <w:end w:w="90" w:type="dxa"/>
            </w:tcMar>
            <w:shd w:fill="F8FAFC"/>
            <w:vAlign w:val="top"/>
          </w:tcPr>
          <w:p>
            <w:pPr>
              <w:spacing w:after="0"/>
            </w:pPr>
            <w:r>
              <w:rPr>
                <w:sz w:val="16"/>
              </w:rPr>
              <w:t>These defects make the paper appear unfinished even before scientific review.</w:t>
            </w:r>
          </w:p>
        </w:tc>
      </w:tr>
      <w:tr>
        <w:tc>
          <w:tcPr>
            <w:tcW w:type="dxa" w:w="1871"/>
            <w:tcMar>
              <w:top w:w="70" w:type="dxa"/>
              <w:start w:w="90" w:type="dxa"/>
              <w:bottom w:w="70" w:type="dxa"/>
              <w:end w:w="90" w:type="dxa"/>
            </w:tcMar>
            <w:vAlign w:val="top"/>
          </w:tcPr>
          <w:p>
            <w:pPr>
              <w:spacing w:after="0"/>
            </w:pPr>
            <w:r>
              <w:rPr>
                <w:sz w:val="16"/>
              </w:rPr>
              <w:t>Exact correction</w:t>
            </w:r>
          </w:p>
        </w:tc>
        <w:tc>
          <w:tcPr>
            <w:tcW w:type="dxa" w:w="7767"/>
            <w:tcMar>
              <w:top w:w="70" w:type="dxa"/>
              <w:start w:w="90" w:type="dxa"/>
              <w:bottom w:w="70" w:type="dxa"/>
              <w:end w:w="90" w:type="dxa"/>
            </w:tcMar>
            <w:vAlign w:val="top"/>
          </w:tcPr>
          <w:p>
            <w:pPr>
              <w:spacing w:after="0"/>
            </w:pPr>
            <w:r>
              <w:rPr>
                <w:sz w:val="16"/>
              </w:rPr>
              <w:t>Regenerate the manuscript from a clean citation source, verify every figure/caption/table number, and remove internal pipeline annotations before submission.</w:t>
            </w:r>
          </w:p>
        </w:tc>
      </w:tr>
    </w:tbl>
    <w:p>
      <w:pPr>
        <w:spacing w:after="0"/>
      </w:pPr>
    </w:p>
    <w:p>
      <w:pPr>
        <w:pStyle w:val="Heading1"/>
      </w:pPr>
      <w:r>
        <w:t>3. What the paper should become</w:t>
      </w:r>
    </w:p>
    <w:tbl>
      <w:tblPr>
        <w:tblStyle w:val="TableGrid"/>
        <w:tblW w:type="auto" w:w="0"/>
        <w:jc w:val="center"/>
        <w:tblLook w:firstColumn="1" w:firstRow="1" w:lastColumn="0" w:lastRow="0" w:noHBand="0" w:noVBand="1" w:val="04A0"/>
      </w:tblPr>
      <w:tblGrid>
        <w:gridCol w:w="10482"/>
      </w:tblGrid>
      <w:tr>
        <w:tc>
          <w:tcPr>
            <w:tcW w:type="dxa" w:w="10482"/>
            <w:shd w:fill="E8F4F4"/>
            <w:tcMar>
              <w:top w:w="110" w:type="dxa"/>
              <w:start w:w="140" w:type="dxa"/>
              <w:bottom w:w="110" w:type="dxa"/>
              <w:end w:w="140" w:type="dxa"/>
            </w:tcMar>
          </w:tcPr>
          <w:p>
            <w:r>
              <w:rPr>
                <w:b/>
                <w:color w:val="1F6D78"/>
                <w:sz w:val="21"/>
              </w:rPr>
              <w:t>Recommended scientific repositioning</w:t>
            </w:r>
          </w:p>
          <w:p>
            <w:r>
              <w:t>Do not sell this as 'five classifiers in GEE'. That literature is crowded. Reposition it around a harder and more defensible question: how well can a one-district Sentinel-1/2 model transfer across a climatically and spectrally heterogeneous Indian state, how much does validation protocol inflate apparent skill, and which sensor/texture features specifically repair built-versus-open confusion?</w:t>
            </w:r>
          </w:p>
        </w:tc>
      </w:tr>
    </w:tbl>
    <w:p>
      <w:pPr>
        <w:spacing w:after="0"/>
      </w:pPr>
    </w:p>
    <w:p>
      <w:pPr>
        <w:pStyle w:val="Heading1"/>
      </w:pPr>
      <w:r>
        <w:t>4. Publication potential after different levels of upgrade</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608"/>
            <w:shd w:fill="2F6B3C"/>
            <w:tcMar>
              <w:top w:w="70" w:type="dxa"/>
              <w:start w:w="90" w:type="dxa"/>
              <w:bottom w:w="70" w:type="dxa"/>
              <w:end w:w="90" w:type="dxa"/>
            </w:tcMar>
          </w:tcPr>
          <w:p>
            <w:pPr>
              <w:jc w:val="center"/>
            </w:pPr>
            <w:r>
              <w:rPr>
                <w:b/>
                <w:color w:val="FFFFFF"/>
                <w:sz w:val="16"/>
              </w:rPr>
              <w:t>Upgrade level</w:t>
            </w:r>
          </w:p>
        </w:tc>
        <w:tc>
          <w:tcPr>
            <w:tcW w:type="dxa" w:w="2381"/>
            <w:shd w:fill="2F6B3C"/>
            <w:tcMar>
              <w:top w:w="70" w:type="dxa"/>
              <w:start w:w="90" w:type="dxa"/>
              <w:bottom w:w="70" w:type="dxa"/>
              <w:end w:w="90" w:type="dxa"/>
            </w:tcMar>
          </w:tcPr>
          <w:p>
            <w:pPr>
              <w:jc w:val="center"/>
            </w:pPr>
            <w:r>
              <w:rPr>
                <w:b/>
                <w:color w:val="FFFFFF"/>
                <w:sz w:val="16"/>
              </w:rPr>
              <w:t>Expected readiness</w:t>
            </w:r>
          </w:p>
        </w:tc>
        <w:tc>
          <w:tcPr>
            <w:tcW w:type="dxa" w:w="4989"/>
            <w:shd w:fill="2F6B3C"/>
            <w:tcMar>
              <w:top w:w="70" w:type="dxa"/>
              <w:start w:w="90" w:type="dxa"/>
              <w:bottom w:w="70" w:type="dxa"/>
              <w:end w:w="90" w:type="dxa"/>
            </w:tcMar>
          </w:tcPr>
          <w:p>
            <w:pPr>
              <w:jc w:val="center"/>
            </w:pPr>
            <w:r>
              <w:rPr>
                <w:b/>
                <w:color w:val="FFFFFF"/>
                <w:sz w:val="16"/>
              </w:rPr>
              <w:t>Likely journal tier</w:t>
            </w:r>
          </w:p>
        </w:tc>
      </w:tr>
      <w:tr>
        <w:tc>
          <w:tcPr>
            <w:tcW w:type="dxa" w:w="2608"/>
            <w:tcMar>
              <w:top w:w="70" w:type="dxa"/>
              <w:start w:w="90" w:type="dxa"/>
              <w:bottom w:w="70" w:type="dxa"/>
              <w:end w:w="90" w:type="dxa"/>
            </w:tcMar>
            <w:vAlign w:val="top"/>
          </w:tcPr>
          <w:p>
            <w:pPr>
              <w:spacing w:after="0"/>
            </w:pPr>
            <w:r>
              <w:rPr>
                <w:sz w:val="16"/>
              </w:rPr>
              <w:t>Text cleanup only</w:t>
            </w:r>
          </w:p>
        </w:tc>
        <w:tc>
          <w:tcPr>
            <w:tcW w:type="dxa" w:w="2381"/>
            <w:tcMar>
              <w:top w:w="70" w:type="dxa"/>
              <w:start w:w="90" w:type="dxa"/>
              <w:bottom w:w="70" w:type="dxa"/>
              <w:end w:w="90" w:type="dxa"/>
            </w:tcMar>
            <w:vAlign w:val="top"/>
          </w:tcPr>
          <w:p>
            <w:pPr>
              <w:spacing w:after="0"/>
            </w:pPr>
            <w:r>
              <w:rPr>
                <w:sz w:val="16"/>
              </w:rPr>
              <w:t>6.0/10</w:t>
            </w:r>
          </w:p>
        </w:tc>
        <w:tc>
          <w:tcPr>
            <w:tcW w:type="dxa" w:w="4989"/>
            <w:tcMar>
              <w:top w:w="70" w:type="dxa"/>
              <w:start w:w="90" w:type="dxa"/>
              <w:bottom w:w="70" w:type="dxa"/>
              <w:end w:w="90" w:type="dxa"/>
            </w:tcMar>
            <w:vAlign w:val="top"/>
          </w:tcPr>
          <w:p>
            <w:pPr>
              <w:spacing w:after="0"/>
            </w:pPr>
            <w:r>
              <w:rPr>
                <w:sz w:val="16"/>
              </w:rPr>
              <w:t>Lower-tier applied remote sensing only; not recommended.</w:t>
            </w:r>
          </w:p>
        </w:tc>
      </w:tr>
      <w:tr>
        <w:tc>
          <w:tcPr>
            <w:tcW w:type="dxa" w:w="2608"/>
            <w:tcMar>
              <w:top w:w="70" w:type="dxa"/>
              <w:start w:w="90" w:type="dxa"/>
              <w:bottom w:w="70" w:type="dxa"/>
              <w:end w:w="90" w:type="dxa"/>
            </w:tcMar>
            <w:shd w:fill="F8FAFC"/>
            <w:vAlign w:val="top"/>
          </w:tcPr>
          <w:p>
            <w:pPr>
              <w:spacing w:after="0"/>
            </w:pPr>
            <w:r>
              <w:rPr>
                <w:sz w:val="16"/>
              </w:rPr>
              <w:t>Correct methods + current boundaries + clean split + tuned models + CIs</w:t>
            </w:r>
          </w:p>
        </w:tc>
        <w:tc>
          <w:tcPr>
            <w:tcW w:type="dxa" w:w="2381"/>
            <w:tcMar>
              <w:top w:w="70" w:type="dxa"/>
              <w:start w:w="90" w:type="dxa"/>
              <w:bottom w:w="70" w:type="dxa"/>
              <w:end w:w="90" w:type="dxa"/>
            </w:tcMar>
            <w:shd w:fill="F8FAFC"/>
            <w:vAlign w:val="top"/>
          </w:tcPr>
          <w:p>
            <w:pPr>
              <w:spacing w:after="0"/>
            </w:pPr>
            <w:r>
              <w:rPr>
                <w:sz w:val="16"/>
              </w:rPr>
              <w:t>7.3/10</w:t>
            </w:r>
          </w:p>
        </w:tc>
        <w:tc>
          <w:tcPr>
            <w:tcW w:type="dxa" w:w="4989"/>
            <w:tcMar>
              <w:top w:w="70" w:type="dxa"/>
              <w:start w:w="90" w:type="dxa"/>
              <w:bottom w:w="70" w:type="dxa"/>
              <w:end w:w="90" w:type="dxa"/>
            </w:tcMar>
            <w:shd w:fill="F8FAFC"/>
            <w:vAlign w:val="top"/>
          </w:tcPr>
          <w:p>
            <w:pPr>
              <w:spacing w:after="0"/>
            </w:pPr>
            <w:r>
              <w:rPr>
                <w:sz w:val="16"/>
              </w:rPr>
              <w:t>International Journal of Remote Sensing, European Journal of Remote Sensing, Journal of Applied Remote Sensing.</w:t>
            </w:r>
          </w:p>
        </w:tc>
      </w:tr>
      <w:tr>
        <w:tc>
          <w:tcPr>
            <w:tcW w:type="dxa" w:w="2608"/>
            <w:tcMar>
              <w:top w:w="70" w:type="dxa"/>
              <w:start w:w="90" w:type="dxa"/>
              <w:bottom w:w="70" w:type="dxa"/>
              <w:end w:w="90" w:type="dxa"/>
            </w:tcMar>
            <w:vAlign w:val="top"/>
          </w:tcPr>
          <w:p>
            <w:pPr>
              <w:spacing w:after="0"/>
            </w:pPr>
            <w:r>
              <w:rPr>
                <w:sz w:val="16"/>
              </w:rPr>
              <w:t>Above + manual/VHR external validation + area-adjusted accuracy + formal spatial-transfer analysis</w:t>
            </w:r>
          </w:p>
        </w:tc>
        <w:tc>
          <w:tcPr>
            <w:tcW w:type="dxa" w:w="2381"/>
            <w:tcMar>
              <w:top w:w="70" w:type="dxa"/>
              <w:start w:w="90" w:type="dxa"/>
              <w:bottom w:w="70" w:type="dxa"/>
              <w:end w:w="90" w:type="dxa"/>
            </w:tcMar>
            <w:vAlign w:val="top"/>
          </w:tcPr>
          <w:p>
            <w:pPr>
              <w:spacing w:after="0"/>
            </w:pPr>
            <w:r>
              <w:rPr>
                <w:sz w:val="16"/>
              </w:rPr>
              <w:t>8.3/10</w:t>
            </w:r>
          </w:p>
        </w:tc>
        <w:tc>
          <w:tcPr>
            <w:tcW w:type="dxa" w:w="4989"/>
            <w:tcMar>
              <w:top w:w="70" w:type="dxa"/>
              <w:start w:w="90" w:type="dxa"/>
              <w:bottom w:w="70" w:type="dxa"/>
              <w:end w:w="90" w:type="dxa"/>
            </w:tcMar>
            <w:vAlign w:val="top"/>
          </w:tcPr>
          <w:p>
            <w:pPr>
              <w:spacing w:after="0"/>
            </w:pPr>
            <w:r>
              <w:rPr>
                <w:sz w:val="16"/>
              </w:rPr>
              <w:t>Remote Sensing Applications: Society and Environment; Geo-spatial Information Science; IEEE JSTARS.</w:t>
            </w:r>
          </w:p>
        </w:tc>
      </w:tr>
      <w:tr>
        <w:tc>
          <w:tcPr>
            <w:tcW w:type="dxa" w:w="2608"/>
            <w:tcMar>
              <w:top w:w="70" w:type="dxa"/>
              <w:start w:w="90" w:type="dxa"/>
              <w:bottom w:w="70" w:type="dxa"/>
              <w:end w:w="90" w:type="dxa"/>
            </w:tcMar>
            <w:shd w:fill="F8FAFC"/>
            <w:vAlign w:val="top"/>
          </w:tcPr>
          <w:p>
            <w:pPr>
              <w:spacing w:after="0"/>
            </w:pPr>
            <w:r>
              <w:rPr>
                <w:sz w:val="16"/>
              </w:rPr>
              <w:t>Above + new transferable domain-generalization method + open FAIR code/data + multi-region validation</w:t>
            </w:r>
          </w:p>
        </w:tc>
        <w:tc>
          <w:tcPr>
            <w:tcW w:type="dxa" w:w="2381"/>
            <w:tcMar>
              <w:top w:w="70" w:type="dxa"/>
              <w:start w:w="90" w:type="dxa"/>
              <w:bottom w:w="70" w:type="dxa"/>
              <w:end w:w="90" w:type="dxa"/>
            </w:tcMar>
            <w:shd w:fill="F8FAFC"/>
            <w:vAlign w:val="top"/>
          </w:tcPr>
          <w:p>
            <w:pPr>
              <w:spacing w:after="0"/>
            </w:pPr>
            <w:r>
              <w:rPr>
                <w:sz w:val="16"/>
              </w:rPr>
              <w:t>9.0/10</w:t>
            </w:r>
          </w:p>
        </w:tc>
        <w:tc>
          <w:tcPr>
            <w:tcW w:type="dxa" w:w="4989"/>
            <w:tcMar>
              <w:top w:w="70" w:type="dxa"/>
              <w:start w:w="90" w:type="dxa"/>
              <w:bottom w:w="70" w:type="dxa"/>
              <w:end w:w="90" w:type="dxa"/>
            </w:tcMar>
            <w:shd w:fill="F8FAFC"/>
            <w:vAlign w:val="top"/>
          </w:tcPr>
          <w:p>
            <w:pPr>
              <w:spacing w:after="0"/>
            </w:pPr>
            <w:r>
              <w:rPr>
                <w:sz w:val="16"/>
              </w:rPr>
              <w:t>GIScience &amp; Remote Sensing; International Journal of Applied Earth Observation and Geoinformation.</w:t>
            </w:r>
          </w:p>
        </w:tc>
      </w:tr>
    </w:tbl>
    <w:p>
      <w:pPr>
        <w:spacing w:after="0"/>
      </w:pPr>
    </w:p>
    <w:sectPr w:rsidR="00FC693F" w:rsidRPr="0006063C" w:rsidSect="00034616">
      <w:headerReference w:type="default" r:id="rId9"/>
      <w:footerReference w:type="default" r:id="rId10"/>
      <w:pgSz w:w="12240" w:h="15840"/>
      <w:pgMar w:top="879"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573"/>
        <w:sz w:val="16"/>
      </w:rPr>
      <w:t>Internal expert review | 27 August 2026</w:t>
    </w:r>
  </w:p>
  <w:p>
    <w:pP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F6D78"/>
        <w:sz w:val="16"/>
      </w:rPr>
      <w:t>LULC GEE SENTINEL-1/2 | REALISTIC JOURNAL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6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A61B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Arial"/>
      <w:b/>
      <w:i/>
      <w:iCs/>
      <w:color w:val="1F6D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A6573"/>
      <w:sz w:val="17"/>
    </w:rPr>
  </w:style>
  <w:style w:type="paragraph" w:customStyle="1" w:styleId="PasteText">
    <w:name w:val="Paste Text"/>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