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2937"/>
          <w:sz w:val="40"/>
          <w:szCs w:val="40"/>
        </w:rPr>
        <w:t xml:space="preserve">Customer Churn Analysis</w:t>
      </w:r>
    </w:p>
    <w:p>
      <w:pPr>
        <w:spacing w:after="200"/>
      </w:pPr>
      <w:r>
        <w:rPr>
          <w:rFonts w:ascii="Calibri" w:cs="Calibri" w:eastAsia="Calibri" w:hAnsi="Calibri"/>
          <w:i/>
          <w:iCs/>
          <w:color w:val="6B7280"/>
          <w:sz w:val="19"/>
          <w:szCs w:val="19"/>
        </w:rPr>
        <w:t xml:space="preserve">Exploratory Data Analysis · Key Findings &amp; Retention Recommendations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40"/>
      </w:tblGrid>
      <w:tr>
        <w:tc>
          <w:tcPr>
            <w:tcW w:type="pct" w:w="33.33%"/>
            <w:shd w:fill="F3F4F6" w:val="clear"/>
            <w:tcMar>
              <w:top w:type="dxa" w:w="160"/>
              <w:left w:type="dxa" w:w="120"/>
              <w:bottom w:type="dxa" w:w="160"/>
              <w:right w:type="dxa" w:w="120"/>
            </w:tcMar>
            <w:vAlign w:val="center"/>
          </w:tcPr>
          <w:p>
            <w:pPr>
              <w:spacing w:after="20"/>
              <w:jc w:val="center"/>
            </w:pPr>
            <w:r>
              <w:rPr>
                <w:b/>
                <w:bCs/>
                <w:color w:val="C0392B"/>
                <w:sz w:val="30"/>
                <w:szCs w:val="30"/>
              </w:rPr>
              <w:t xml:space="preserve">26.5%</w:t>
            </w:r>
          </w:p>
          <w:p>
            <w:pPr>
              <w:jc w:val="center"/>
            </w:pPr>
            <w:r>
              <w:rPr>
                <w:rFonts w:ascii="Calibri" w:cs="Calibri" w:eastAsia="Calibri" w:hAnsi="Calibri"/>
                <w:color w:val="6B7280"/>
                <w:sz w:val="15"/>
                <w:szCs w:val="15"/>
              </w:rPr>
              <w:t xml:space="preserve">Overall Churn Rate</w:t>
            </w:r>
          </w:p>
        </w:tc>
        <w:tc>
          <w:tcPr>
            <w:tcW w:type="pct" w:w="33.33%"/>
            <w:shd w:fill="F3F4F6" w:val="clear"/>
            <w:tcMar>
              <w:top w:type="dxa" w:w="160"/>
              <w:left w:type="dxa" w:w="120"/>
              <w:bottom w:type="dxa" w:w="160"/>
              <w:right w:type="dxa" w:w="120"/>
            </w:tcMar>
            <w:vAlign w:val="center"/>
          </w:tcPr>
          <w:p>
            <w:pPr>
              <w:spacing w:after="20"/>
              <w:jc w:val="center"/>
            </w:pPr>
            <w:r>
              <w:rPr>
                <w:b/>
                <w:bCs/>
                <w:color w:val="C0392B"/>
                <w:sz w:val="30"/>
                <w:szCs w:val="30"/>
              </w:rPr>
              <w:t xml:space="preserve">1–2 mo</w:t>
            </w:r>
          </w:p>
          <w:p>
            <w:pPr>
              <w:jc w:val="center"/>
            </w:pPr>
            <w:r>
              <w:rPr>
                <w:rFonts w:ascii="Calibri" w:cs="Calibri" w:eastAsia="Calibri" w:hAnsi="Calibri"/>
                <w:color w:val="6B7280"/>
                <w:sz w:val="15"/>
                <w:szCs w:val="15"/>
              </w:rPr>
              <w:t xml:space="preserve">Highest-Risk Tenure Window</w:t>
            </w:r>
          </w:p>
        </w:tc>
        <w:tc>
          <w:tcPr>
            <w:tcW w:type="pct" w:w="33.33%"/>
            <w:shd w:fill="F3F4F6" w:val="clear"/>
            <w:tcMar>
              <w:top w:type="dxa" w:w="160"/>
              <w:left w:type="dxa" w:w="120"/>
              <w:bottom w:type="dxa" w:w="160"/>
              <w:right w:type="dxa" w:w="120"/>
            </w:tcMar>
            <w:vAlign w:val="center"/>
          </w:tcPr>
          <w:p>
            <w:pPr>
              <w:spacing w:after="20"/>
              <w:jc w:val="center"/>
            </w:pPr>
            <w:r>
              <w:rPr>
                <w:b/>
                <w:bCs/>
                <w:color w:val="C0392B"/>
                <w:sz w:val="30"/>
                <w:szCs w:val="30"/>
              </w:rPr>
              <w:t xml:space="preserve">Month-to-Month</w:t>
            </w:r>
          </w:p>
          <w:p>
            <w:pPr>
              <w:jc w:val="center"/>
            </w:pPr>
            <w:r>
              <w:rPr>
                <w:rFonts w:ascii="Calibri" w:cs="Calibri" w:eastAsia="Calibri" w:hAnsi="Calibri"/>
                <w:color w:val="6B7280"/>
                <w:sz w:val="15"/>
                <w:szCs w:val="15"/>
              </w:rPr>
              <w:t xml:space="preserve">Highest-Risk Contract Type</w:t>
            </w:r>
          </w:p>
        </w:tc>
      </w:tr>
    </w:tbl>
    <w:p>
      <w:pPr>
        <w:pBdr>
          <w:bottom w:val="single" w:color="1F2937" w:sz="6" w:space="2"/>
        </w:pBdr>
        <w:spacing w:after="80" w:before="200"/>
      </w:pPr>
      <w:r>
        <w:rPr>
          <w:rFonts w:ascii="Calibri" w:cs="Calibri" w:eastAsia="Calibri" w:hAnsi="Calibri"/>
          <w:b/>
          <w:bCs/>
          <w:color w:val="1F2937"/>
          <w:sz w:val="19"/>
          <w:szCs w:val="19"/>
        </w:rPr>
        <w:t xml:space="preserve">CONCLUSION</w:t>
      </w:r>
    </w:p>
    <w:p>
      <w:pPr>
        <w:spacing w:after="60"/>
      </w:pPr>
      <w:r>
        <w:rPr>
          <w:rFonts w:ascii="Calibri" w:cs="Calibri" w:eastAsia="Calibri" w:hAnsi="Calibri"/>
          <w:color w:val="1F2937"/>
          <w:sz w:val="18"/>
          <w:szCs w:val="18"/>
        </w:rPr>
        <w:t xml:space="preserve">Churn is concentrated among disengaged, low-commitment customers. Customers on month-to-month contracts, in their first 1–2 months of tenure, paying by electronic check, or on fiber optic internet churn at markedly higher rates. Lacking add-on services such as Online Security, Tech Support, and Device Protection is strongly associated with churn, as is Senior Citizen status. In contrast, longer contracts, longer tenure, and bundled support services correlate with strong retention. Gender and streaming service usage show little predictive value.</w:t>
      </w:r>
    </w:p>
    <w:p>
      <w:pPr>
        <w:pBdr>
          <w:bottom w:val="single" w:color="1F2937" w:sz="6" w:space="2"/>
        </w:pBdr>
        <w:spacing w:after="80" w:before="200"/>
      </w:pPr>
      <w:r>
        <w:rPr>
          <w:rFonts w:ascii="Calibri" w:cs="Calibri" w:eastAsia="Calibri" w:hAnsi="Calibri"/>
          <w:b/>
          <w:bCs/>
          <w:color w:val="1F2937"/>
          <w:sz w:val="19"/>
          <w:szCs w:val="19"/>
        </w:rPr>
        <w:t xml:space="preserve">KEY CHURN DRIVERS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3320"/>
        <w:gridCol w:w="3320"/>
        <w:gridCol w:w="3300"/>
      </w:tblGrid>
      <w:tr>
        <w:tc>
          <w:tcPr>
            <w:tcW w:type="pct" w:w="33.3%"/>
            <w:tcMar>
              <w:right w:type="dxa" w:w="160"/>
            </w:tcMar>
          </w:tcPr>
          <w:p>
            <w:pPr>
              <w:pStyle w:val="ListParagraph"/>
              <w:numPr>
                <w:ilvl w:val="0"/>
                <w:numId w:val="1"/>
              </w:numPr>
              <w:spacing w:after="40"/>
            </w:pPr>
            <w:r>
              <w:rPr>
                <w:rFonts w:ascii="Calibri" w:cs="Calibri" w:eastAsia="Calibri" w:hAnsi="Calibri"/>
                <w:color w:val="1F2937"/>
                <w:sz w:val="18"/>
                <w:szCs w:val="18"/>
              </w:rPr>
              <w:t xml:space="preserve">Month-to-month contracts churn far more than 1- or 2-year contracts</w:t>
            </w:r>
          </w:p>
          <w:p>
            <w:pPr>
              <w:pStyle w:val="ListParagraph"/>
              <w:numPr>
                <w:ilvl w:val="0"/>
                <w:numId w:val="1"/>
              </w:numPr>
              <w:spacing w:after="40"/>
            </w:pPr>
            <w:r>
              <w:rPr>
                <w:rFonts w:ascii="Calibri" w:cs="Calibri" w:eastAsia="Calibri" w:hAnsi="Calibri"/>
                <w:color w:val="1F2937"/>
                <w:sz w:val="18"/>
                <w:szCs w:val="18"/>
              </w:rPr>
              <w:t xml:space="preserve">Fiber optic internet users churn more than DSL / no-internet users</w:t>
            </w:r>
          </w:p>
        </w:tc>
        <w:tc>
          <w:tcPr>
            <w:tcW w:type="pct" w:w="33.3%"/>
            <w:tcMar>
              <w:right w:type="dxa" w:w="160"/>
            </w:tcMar>
          </w:tcPr>
          <w:p>
            <w:pPr>
              <w:pStyle w:val="ListParagraph"/>
              <w:numPr>
                <w:ilvl w:val="0"/>
                <w:numId w:val="1"/>
              </w:numPr>
              <w:spacing w:after="40"/>
            </w:pPr>
            <w:r>
              <w:rPr>
                <w:rFonts w:ascii="Calibri" w:cs="Calibri" w:eastAsia="Calibri" w:hAnsi="Calibri"/>
                <w:color w:val="1F2937"/>
                <w:sz w:val="18"/>
                <w:szCs w:val="18"/>
              </w:rPr>
              <w:t xml:space="preserve">Electronic check payers churn more than automatic-payment customers</w:t>
            </w:r>
          </w:p>
          <w:p>
            <w:pPr>
              <w:pStyle w:val="ListParagraph"/>
              <w:numPr>
                <w:ilvl w:val="0"/>
                <w:numId w:val="1"/>
              </w:numPr>
              <w:spacing w:after="40"/>
            </w:pPr>
            <w:r>
              <w:rPr>
                <w:rFonts w:ascii="Calibri" w:cs="Calibri" w:eastAsia="Calibri" w:hAnsi="Calibri"/>
                <w:color w:val="1F2937"/>
                <w:sz w:val="18"/>
                <w:szCs w:val="18"/>
              </w:rPr>
              <w:t xml:space="preserve">Missing add-ons (Security, Backup, Device Protection, Tech Support) raise churn risk</w:t>
            </w:r>
          </w:p>
        </w:tc>
        <w:tc>
          <w:tcPr>
            <w:tcW w:type="pct" w:w="33.4%"/>
          </w:tcPr>
          <w:p>
            <w:pPr>
              <w:pStyle w:val="ListParagraph"/>
              <w:numPr>
                <w:ilvl w:val="0"/>
                <w:numId w:val="1"/>
              </w:numPr>
              <w:spacing w:after="40"/>
            </w:pPr>
            <w:r>
              <w:rPr>
                <w:rFonts w:ascii="Calibri" w:cs="Calibri" w:eastAsia="Calibri" w:hAnsi="Calibri"/>
                <w:color w:val="1F2937"/>
                <w:sz w:val="18"/>
                <w:szCs w:val="18"/>
              </w:rPr>
              <w:t xml:space="preserve">Senior citizens churn at a higher rate than non-seniors</w:t>
            </w:r>
          </w:p>
          <w:p>
            <w:pPr>
              <w:pStyle w:val="ListParagraph"/>
              <w:numPr>
                <w:ilvl w:val="0"/>
                <w:numId w:val="1"/>
              </w:numPr>
              <w:spacing w:after="40"/>
            </w:pPr>
            <w:r>
              <w:rPr>
                <w:rFonts w:ascii="Calibri" w:cs="Calibri" w:eastAsia="Calibri" w:hAnsi="Calibri"/>
                <w:color w:val="1F2937"/>
                <w:sz w:val="18"/>
                <w:szCs w:val="18"/>
              </w:rPr>
              <w:t xml:space="preserve">Churn peaks in months 1–2 of tenure, then drops sharply</w:t>
            </w:r>
          </w:p>
        </w:tc>
      </w:tr>
    </w:tbl>
    <w:p>
      <w:pPr>
        <w:pBdr>
          <w:bottom w:val="single" w:color="1F2937" w:sz="6" w:space="2"/>
        </w:pBdr>
        <w:spacing w:after="80" w:before="200"/>
      </w:pPr>
      <w:r>
        <w:rPr>
          <w:rFonts w:ascii="Calibri" w:cs="Calibri" w:eastAsia="Calibri" w:hAnsi="Calibri"/>
          <w:b/>
          <w:bCs/>
          <w:color w:val="1F2937"/>
          <w:sz w:val="19"/>
          <w:szCs w:val="19"/>
        </w:rPr>
        <w:t xml:space="preserve">RECOMMENDATIONS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700"/>
        <w:gridCol w:w="8260"/>
      </w:tblGrid>
      <w:tr>
        <w:tc>
          <w:tcPr>
            <w:tcW w:type="pct" w:w="6%"/>
            <w:shd w:fill="F3F4F6" w:val="clear"/>
            <w:tcMar>
              <w:top w:type="dxa" w:w="90"/>
              <w:left w:type="dxa" w:w="80"/>
              <w:bottom w:type="dxa" w:w="90"/>
              <w:right w:type="dxa" w:w="40"/>
            </w:tcMar>
            <w:vAlign w:val="top"/>
          </w:tcPr>
          <w:p>
            <w:r>
              <w:rPr>
                <w:b/>
                <w:bCs/>
                <w:color w:val="2563EB"/>
                <w:sz w:val="18"/>
                <w:szCs w:val="18"/>
              </w:rPr>
              <w:t xml:space="preserve">1</w:t>
            </w:r>
          </w:p>
        </w:tc>
        <w:tc>
          <w:tcPr>
            <w:tcW w:type="pct" w:w="94%"/>
            <w:shd w:fill="F3F4F6" w:val="clear"/>
            <w:tcMar>
              <w:top w:type="dxa" w:w="90"/>
              <w:left w:type="dxa" w:w="80"/>
              <w:bottom w:type="dxa" w:w="90"/>
              <w:right w:type="dxa" w:w="120"/>
            </w:tcMar>
            <w:vAlign w:val="top"/>
          </w:tcPr>
          <w:p>
            <w:pPr>
              <w:spacing w:after="15"/>
            </w:pPr>
            <w:r>
              <w:rPr>
                <w:rFonts w:ascii="Calibri" w:cs="Calibri" w:eastAsia="Calibri" w:hAnsi="Calibri"/>
                <w:b/>
                <w:bCs/>
                <w:color w:val="1F2937"/>
                <w:sz w:val="18"/>
                <w:szCs w:val="18"/>
              </w:rPr>
              <w:t xml:space="preserve">Incentivize longer contracts</w:t>
            </w:r>
          </w:p>
          <w:p>
            <w:r>
              <w:rPr>
                <w:rFonts w:ascii="Calibri" w:cs="Calibri" w:eastAsia="Calibri" w:hAnsi="Calibri"/>
                <w:color w:val="374151"/>
                <w:sz w:val="17"/>
                <w:szCs w:val="17"/>
              </w:rPr>
              <w:t xml:space="preserve">Offer discounts or perks to migrate month-to-month customers to 1- or 2-year plans.</w:t>
            </w:r>
          </w:p>
        </w:tc>
      </w:tr>
      <w:tr>
        <w:tc>
          <w:tcPr>
            <w:tcW w:type="pct" w:w="6%"/>
            <w:tcMar>
              <w:top w:type="dxa" w:w="90"/>
              <w:left w:type="dxa" w:w="80"/>
              <w:bottom w:type="dxa" w:w="90"/>
              <w:right w:type="dxa" w:w="40"/>
            </w:tcMar>
            <w:vAlign w:val="top"/>
          </w:tcPr>
          <w:p>
            <w:r>
              <w:rPr>
                <w:b/>
                <w:bCs/>
                <w:color w:val="2563EB"/>
                <w:sz w:val="18"/>
                <w:szCs w:val="18"/>
              </w:rPr>
              <w:t xml:space="preserve">2</w:t>
            </w:r>
          </w:p>
        </w:tc>
        <w:tc>
          <w:tcPr>
            <w:tcW w:type="pct" w:w="94%"/>
            <w:tcMar>
              <w:top w:type="dxa" w:w="90"/>
              <w:left w:type="dxa" w:w="80"/>
              <w:bottom w:type="dxa" w:w="90"/>
              <w:right w:type="dxa" w:w="120"/>
            </w:tcMar>
            <w:vAlign w:val="top"/>
          </w:tcPr>
          <w:p>
            <w:pPr>
              <w:spacing w:after="15"/>
            </w:pPr>
            <w:r>
              <w:rPr>
                <w:rFonts w:ascii="Calibri" w:cs="Calibri" w:eastAsia="Calibri" w:hAnsi="Calibri"/>
                <w:b/>
                <w:bCs/>
                <w:color w:val="1F2937"/>
                <w:sz w:val="18"/>
                <w:szCs w:val="18"/>
              </w:rPr>
              <w:t xml:space="preserve">Strengthen early-tenure onboarding</w:t>
            </w:r>
          </w:p>
          <w:p>
            <w:r>
              <w:rPr>
                <w:rFonts w:ascii="Calibri" w:cs="Calibri" w:eastAsia="Calibri" w:hAnsi="Calibri"/>
                <w:color w:val="374151"/>
                <w:sz w:val="17"/>
                <w:szCs w:val="17"/>
              </w:rPr>
              <w:t xml:space="preserve">Launch a proactive engagement program for the first 1–2 months, when churn risk peaks.</w:t>
            </w:r>
          </w:p>
        </w:tc>
      </w:tr>
      <w:tr>
        <w:tc>
          <w:tcPr>
            <w:tcW w:type="pct" w:w="6%"/>
            <w:shd w:fill="F3F4F6" w:val="clear"/>
            <w:tcMar>
              <w:top w:type="dxa" w:w="90"/>
              <w:left w:type="dxa" w:w="80"/>
              <w:bottom w:type="dxa" w:w="90"/>
              <w:right w:type="dxa" w:w="40"/>
            </w:tcMar>
            <w:vAlign w:val="top"/>
          </w:tcPr>
          <w:p>
            <w:r>
              <w:rPr>
                <w:b/>
                <w:bCs/>
                <w:color w:val="2563EB"/>
                <w:sz w:val="18"/>
                <w:szCs w:val="18"/>
              </w:rPr>
              <w:t xml:space="preserve">3</w:t>
            </w:r>
          </w:p>
        </w:tc>
        <w:tc>
          <w:tcPr>
            <w:tcW w:type="pct" w:w="94%"/>
            <w:shd w:fill="F3F4F6" w:val="clear"/>
            <w:tcMar>
              <w:top w:type="dxa" w:w="90"/>
              <w:left w:type="dxa" w:w="80"/>
              <w:bottom w:type="dxa" w:w="90"/>
              <w:right w:type="dxa" w:w="120"/>
            </w:tcMar>
            <w:vAlign w:val="top"/>
          </w:tcPr>
          <w:p>
            <w:pPr>
              <w:spacing w:after="15"/>
            </w:pPr>
            <w:r>
              <w:rPr>
                <w:rFonts w:ascii="Calibri" w:cs="Calibri" w:eastAsia="Calibri" w:hAnsi="Calibri"/>
                <w:b/>
                <w:bCs/>
                <w:color w:val="1F2937"/>
                <w:sz w:val="18"/>
                <w:szCs w:val="18"/>
              </w:rPr>
              <w:t xml:space="preserve">Bundle support add-ons</w:t>
            </w:r>
          </w:p>
          <w:p>
            <w:r>
              <w:rPr>
                <w:rFonts w:ascii="Calibri" w:cs="Calibri" w:eastAsia="Calibri" w:hAnsi="Calibri"/>
                <w:color w:val="374151"/>
                <w:sz w:val="17"/>
                <w:szCs w:val="17"/>
              </w:rPr>
              <w:t xml:space="preserve">Promote Online Security, Tech Support, and Device Protection at a discount to reduce churn risk.</w:t>
            </w:r>
          </w:p>
        </w:tc>
      </w:tr>
      <w:tr>
        <w:tc>
          <w:tcPr>
            <w:tcW w:type="pct" w:w="6%"/>
            <w:tcMar>
              <w:top w:type="dxa" w:w="90"/>
              <w:left w:type="dxa" w:w="80"/>
              <w:bottom w:type="dxa" w:w="90"/>
              <w:right w:type="dxa" w:w="40"/>
            </w:tcMar>
            <w:vAlign w:val="top"/>
          </w:tcPr>
          <w:p>
            <w:r>
              <w:rPr>
                <w:b/>
                <w:bCs/>
                <w:color w:val="2563EB"/>
                <w:sz w:val="18"/>
                <w:szCs w:val="18"/>
              </w:rPr>
              <w:t xml:space="preserve">4</w:t>
            </w:r>
          </w:p>
        </w:tc>
        <w:tc>
          <w:tcPr>
            <w:tcW w:type="pct" w:w="94%"/>
            <w:tcMar>
              <w:top w:type="dxa" w:w="90"/>
              <w:left w:type="dxa" w:w="80"/>
              <w:bottom w:type="dxa" w:w="90"/>
              <w:right w:type="dxa" w:w="120"/>
            </w:tcMar>
            <w:vAlign w:val="top"/>
          </w:tcPr>
          <w:p>
            <w:pPr>
              <w:spacing w:after="15"/>
            </w:pPr>
            <w:r>
              <w:rPr>
                <w:rFonts w:ascii="Calibri" w:cs="Calibri" w:eastAsia="Calibri" w:hAnsi="Calibri"/>
                <w:b/>
                <w:bCs/>
                <w:color w:val="1F2937"/>
                <w:sz w:val="18"/>
                <w:szCs w:val="18"/>
              </w:rPr>
              <w:t xml:space="preserve">Investigate fiber optic experience</w:t>
            </w:r>
          </w:p>
          <w:p>
            <w:r>
              <w:rPr>
                <w:rFonts w:ascii="Calibri" w:cs="Calibri" w:eastAsia="Calibri" w:hAnsi="Calibri"/>
                <w:color w:val="374151"/>
                <w:sz w:val="17"/>
                <w:szCs w:val="17"/>
              </w:rPr>
              <w:t xml:space="preserve">Review pricing and service quality for fiber customers, who churn well above DSL users.</w:t>
            </w:r>
          </w:p>
        </w:tc>
      </w:tr>
      <w:tr>
        <w:tc>
          <w:tcPr>
            <w:tcW w:type="pct" w:w="6%"/>
            <w:shd w:fill="F3F4F6" w:val="clear"/>
            <w:tcMar>
              <w:top w:type="dxa" w:w="90"/>
              <w:left w:type="dxa" w:w="80"/>
              <w:bottom w:type="dxa" w:w="90"/>
              <w:right w:type="dxa" w:w="40"/>
            </w:tcMar>
            <w:vAlign w:val="top"/>
          </w:tcPr>
          <w:p>
            <w:r>
              <w:rPr>
                <w:b/>
                <w:bCs/>
                <w:color w:val="2563EB"/>
                <w:sz w:val="18"/>
                <w:szCs w:val="18"/>
              </w:rPr>
              <w:t xml:space="preserve">5</w:t>
            </w:r>
          </w:p>
        </w:tc>
        <w:tc>
          <w:tcPr>
            <w:tcW w:type="pct" w:w="94%"/>
            <w:shd w:fill="F3F4F6" w:val="clear"/>
            <w:tcMar>
              <w:top w:type="dxa" w:w="90"/>
              <w:left w:type="dxa" w:w="80"/>
              <w:bottom w:type="dxa" w:w="90"/>
              <w:right w:type="dxa" w:w="120"/>
            </w:tcMar>
            <w:vAlign w:val="top"/>
          </w:tcPr>
          <w:p>
            <w:pPr>
              <w:spacing w:after="15"/>
            </w:pPr>
            <w:r>
              <w:rPr>
                <w:rFonts w:ascii="Calibri" w:cs="Calibri" w:eastAsia="Calibri" w:hAnsi="Calibri"/>
                <w:b/>
                <w:bCs/>
                <w:color w:val="1F2937"/>
                <w:sz w:val="18"/>
                <w:szCs w:val="18"/>
              </w:rPr>
              <w:t xml:space="preserve">Shift payment methods</w:t>
            </w:r>
          </w:p>
          <w:p>
            <w:r>
              <w:rPr>
                <w:rFonts w:ascii="Calibri" w:cs="Calibri" w:eastAsia="Calibri" w:hAnsi="Calibri"/>
                <w:color w:val="374151"/>
                <w:sz w:val="17"/>
                <w:szCs w:val="17"/>
              </w:rPr>
              <w:t xml:space="preserve">Encourage electronic check users toward automatic bank transfer or credit card payments.</w:t>
            </w:r>
          </w:p>
        </w:tc>
      </w:tr>
      <w:tr>
        <w:tc>
          <w:tcPr>
            <w:tcW w:type="pct" w:w="6%"/>
            <w:tcMar>
              <w:top w:type="dxa" w:w="90"/>
              <w:left w:type="dxa" w:w="80"/>
              <w:bottom w:type="dxa" w:w="90"/>
              <w:right w:type="dxa" w:w="40"/>
            </w:tcMar>
            <w:vAlign w:val="top"/>
          </w:tcPr>
          <w:p>
            <w:r>
              <w:rPr>
                <w:b/>
                <w:bCs/>
                <w:color w:val="2563EB"/>
                <w:sz w:val="18"/>
                <w:szCs w:val="18"/>
              </w:rPr>
              <w:t xml:space="preserve">6</w:t>
            </w:r>
          </w:p>
        </w:tc>
        <w:tc>
          <w:tcPr>
            <w:tcW w:type="pct" w:w="94%"/>
            <w:tcMar>
              <w:top w:type="dxa" w:w="90"/>
              <w:left w:type="dxa" w:w="80"/>
              <w:bottom w:type="dxa" w:w="90"/>
              <w:right w:type="dxa" w:w="120"/>
            </w:tcMar>
            <w:vAlign w:val="top"/>
          </w:tcPr>
          <w:p>
            <w:pPr>
              <w:spacing w:after="15"/>
            </w:pPr>
            <w:r>
              <w:rPr>
                <w:rFonts w:ascii="Calibri" w:cs="Calibri" w:eastAsia="Calibri" w:hAnsi="Calibri"/>
                <w:b/>
                <w:bCs/>
                <w:color w:val="1F2937"/>
                <w:sz w:val="18"/>
                <w:szCs w:val="18"/>
              </w:rPr>
              <w:t xml:space="preserve">Build senior-focused retention offers</w:t>
            </w:r>
          </w:p>
          <w:p>
            <w:r>
              <w:rPr>
                <w:rFonts w:ascii="Calibri" w:cs="Calibri" w:eastAsia="Calibri" w:hAnsi="Calibri"/>
                <w:color w:val="374151"/>
                <w:sz w:val="17"/>
                <w:szCs w:val="17"/>
              </w:rPr>
              <w:t xml:space="preserve">Design tailored support or pricing plans for the Senior Citizen segment.</w:t>
            </w:r>
          </w:p>
        </w:tc>
      </w:tr>
    </w:tbl>
    <w:p>
      <w:pPr>
        <w:pBdr>
          <w:top w:val="single" w:color="D1D5DB" w:sz="4" w:space="4"/>
        </w:pBdr>
        <w:spacing w:before="260"/>
      </w:pPr>
      <w:r>
        <w:rPr>
          <w:rFonts w:ascii="Calibri" w:cs="Calibri" w:eastAsia="Calibri" w:hAnsi="Calibri"/>
          <w:i/>
          <w:iCs/>
          <w:color w:val="6B7280"/>
          <w:sz w:val="14"/>
          <w:szCs w:val="14"/>
        </w:rPr>
        <w:t xml:space="preserve">Source: Customer Churn EDA  ·  Prepared for retention strategy planning</w:t>
      </w:r>
    </w:p>
    <w:sectPr>
      <w:pgSz w:w="12240" w:h="15840" w:orient="portrait"/>
      <w:pgMar w:top="620" w:right="700" w:bottom="62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2026-08-18T13:43:57.097Z</dcterms:created>
  <dcterms:modified xsi:type="dcterms:W3CDTF">2026-08-18T13:43:57.112Z</dcterms:modified>
</cp:coreProperties>
</file>

<file path=docProps/custom.xml><?xml version="1.0" encoding="utf-8"?>
<Properties xmlns="http://schemas.openxmlformats.org/officeDocument/2006/custom-properties" xmlns:vt="http://schemas.openxmlformats.org/officeDocument/2006/docPropsVTypes"/>
</file>