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Application of CLT: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One of the most common applications of CLT is in election polls. To calculate the percentage of persons supporting a candidate which are seen on news as confidence intervals.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It is also used to measure the mean or average family income of a family in a particular region.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