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E8873A"/>
          <w:sz w:val="20"/>
          <w:szCs w:val="20"/>
        </w:rPr>
        <w:t xml:space="preserve">DAY 5 · POST-LUNCH LAB H1 · BANKING</w:t>
      </w:r>
    </w:p>
    <w:p>
      <w:pPr>
        <w:spacing w:after="200"/>
      </w:pPr>
      <w:r>
        <w:rPr>
          <w:rFonts w:ascii="Cambria" w:cs="Cambria" w:eastAsia="Cambria" w:hAnsi="Cambria"/>
          <w:b/>
          <w:bCs/>
          <w:color w:val="16233F"/>
          <w:sz w:val="40"/>
          <w:szCs w:val="40"/>
        </w:rPr>
        <w:t xml:space="preserve">Governance Pack</w:t>
      </w:r>
    </w:p>
    <w:p>
      <w:pPr>
        <w:spacing w:after="140" w:line="276"/>
      </w:pPr>
      <w:r>
        <w:rPr>
          <w:i/>
          <w:iCs/>
          <w:color w:val="5B6B82"/>
          <w:sz w:val="21"/>
          <w:szCs w:val="21"/>
        </w:rPr>
        <w:t xml:space="preserve">Assemble the agent card, audit-trail schema and disclosure/consent records that let compliance say yes.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c>
          <w:tcPr>
            <w:tcW w:type="dxa" w:w="2000"/>
            <w:shd w:fill="16233F" w:val="clear"/>
            <w:tcMar>
              <w:top w:type="dxa" w:w="90"/>
              <w:left w:type="dxa" w:w="110"/>
              <w:bottom w:type="dxa" w:w="90"/>
              <w:right w:type="dxa" w:w="110"/>
            </w:tcMar>
          </w:tcPr>
          <w:p>
            <w:r>
              <w:rPr>
                <w:b/>
                <w:bCs/>
                <w:i w:val="false"/>
                <w:iCs w:val="false"/>
                <w:color w:val="FFFFFF"/>
                <w:sz w:val="20"/>
                <w:szCs w:val="20"/>
              </w:rPr>
              <w:t xml:space="preserve">Time allotted</w:t>
            </w:r>
          </w:p>
        </w:tc>
        <w:tc>
          <w:tcPr>
            <w:tcW w:type="dxa" w:w="7600"/>
            <w:tcMar>
              <w:top w:type="dxa" w:w="90"/>
              <w:left w:type="dxa" w:w="110"/>
              <w:bottom w:type="dxa" w:w="90"/>
              <w:right w:type="dxa" w:w="110"/>
            </w:tcMar>
          </w:tcPr>
          <w:p>
            <w:r>
              <w:rPr>
                <w:b w:val="false"/>
                <w:bCs w:val="false"/>
                <w:i w:val="false"/>
                <w:iCs w:val="false"/>
                <w:color w:val="222222"/>
                <w:sz w:val="20"/>
                <w:szCs w:val="20"/>
              </w:rPr>
              <w:t xml:space="preserve">35–45 minutes</w:t>
            </w:r>
          </w:p>
        </w:tc>
      </w:tr>
      <w:tr>
        <w:tc>
          <w:tcPr>
            <w:tcW w:type="dxa" w:w="2000"/>
            <w:shd w:fill="16233F" w:val="clear"/>
            <w:tcMar>
              <w:top w:type="dxa" w:w="90"/>
              <w:left w:type="dxa" w:w="110"/>
              <w:bottom w:type="dxa" w:w="90"/>
              <w:right w:type="dxa" w:w="110"/>
            </w:tcMar>
          </w:tcPr>
          <w:p>
            <w:r>
              <w:rPr>
                <w:b/>
                <w:bCs/>
                <w:i w:val="false"/>
                <w:iCs w:val="false"/>
                <w:color w:val="FFFFFF"/>
                <w:sz w:val="20"/>
                <w:szCs w:val="20"/>
              </w:rPr>
              <w:t xml:space="preserve">Files provided</w:t>
            </w:r>
          </w:p>
        </w:tc>
        <w:tc>
          <w:tcPr>
            <w:tcW w:type="dxa" w:w="7600"/>
            <w:tcMar>
              <w:top w:type="dxa" w:w="90"/>
              <w:left w:type="dxa" w:w="110"/>
              <w:bottom w:type="dxa" w:w="90"/>
              <w:right w:type="dxa" w:w="110"/>
            </w:tcMar>
          </w:tcPr>
          <w:p>
            <w:r>
              <w:rPr>
                <w:b w:val="false"/>
                <w:bCs w:val="false"/>
                <w:i w:val="false"/>
                <w:iCs w:val="false"/>
                <w:color w:val="222222"/>
                <w:sz w:val="20"/>
                <w:szCs w:val="20"/>
              </w:rPr>
              <w:t xml:space="preserve">Governance_Pack_Template.docx</w:t>
            </w:r>
          </w:p>
        </w:tc>
      </w:tr>
      <w:tr>
        <w:tc>
          <w:tcPr>
            <w:tcW w:type="dxa" w:w="2000"/>
            <w:shd w:fill="16233F" w:val="clear"/>
            <w:tcMar>
              <w:top w:type="dxa" w:w="90"/>
              <w:left w:type="dxa" w:w="110"/>
              <w:bottom w:type="dxa" w:w="90"/>
              <w:right w:type="dxa" w:w="110"/>
            </w:tcMar>
          </w:tcPr>
          <w:p>
            <w:r>
              <w:rPr>
                <w:b/>
                <w:bCs/>
                <w:i w:val="false"/>
                <w:iCs w:val="false"/>
                <w:color w:val="FFFFFF"/>
                <w:sz w:val="20"/>
                <w:szCs w:val="20"/>
              </w:rPr>
              <w:t xml:space="preserve">Works alone or in pairs</w:t>
            </w:r>
          </w:p>
        </w:tc>
        <w:tc>
          <w:tcPr>
            <w:tcW w:type="dxa" w:w="7600"/>
            <w:tcMar>
              <w:top w:type="dxa" w:w="90"/>
              <w:left w:type="dxa" w:w="110"/>
              <w:bottom w:type="dxa" w:w="90"/>
              <w:right w:type="dxa" w:w="110"/>
            </w:tcMar>
          </w:tcPr>
          <w:p>
            <w:r>
              <w:rPr>
                <w:b w:val="false"/>
                <w:bCs w:val="false"/>
                <w:i w:val="false"/>
                <w:iCs w:val="false"/>
                <w:color w:val="222222"/>
                <w:sz w:val="20"/>
                <w:szCs w:val="20"/>
              </w:rPr>
              <w:t xml:space="preserve">Either — pairs are encouraged for discussion</w:t>
            </w:r>
          </w:p>
        </w:tc>
      </w:tr>
    </w:tbl>
    <w:p>
      <w:pPr>
        <w:spacing w:after="120"/>
      </w:pPr>
    </w:p>
    <w:p>
      <w:pPr>
        <w:pStyle w:val="Heading2"/>
      </w:pPr>
      <w:r>
        <w:t xml:space="preserve">Objective</w:t>
      </w:r>
    </w:p>
    <w:p>
      <w:pPr>
        <w:spacing w:after="140" w:line="276"/>
      </w:pPr>
      <w:r>
        <w:rPr>
          <w:color w:val="222222"/>
          <w:sz w:val="21"/>
          <w:szCs w:val="21"/>
        </w:rPr>
        <w:t xml:space="preserve">Using the banking agent from this morning's H2 Online QA lab (or your own capstone agent idea, if further along) as the subject, complete all four sections of the governance pack template: Agent Card, Audit Trail Schema, Disclosure Statement, and Consent Record.</w:t>
      </w:r>
    </w:p>
    <w:p>
      <w:pPr>
        <w:pStyle w:val="Heading2"/>
      </w:pPr>
      <w:r>
        <w:t xml:space="preserve">Steps</w:t>
      </w:r>
    </w:p>
    <w:p>
      <w:pPr>
        <w:spacing w:after="90" w:line="270"/>
        <w:ind w:left="450" w:hanging="270"/>
      </w:pPr>
      <w:r>
        <w:rPr>
          <w:b/>
          <w:bCs/>
          <w:color w:val="16233F"/>
          <w:sz w:val="21"/>
          <w:szCs w:val="21"/>
        </w:rPr>
        <w:t xml:space="preserve">1.	</w:t>
      </w:r>
      <w:r>
        <w:rPr>
          <w:color w:val="222222"/>
          <w:sz w:val="21"/>
          <w:szCs w:val="21"/>
        </w:rPr>
        <w:t xml:space="preserve">Open Governance_Pack_Template.docx and read the worked example in the Appendix first — it shows the level of specificity expected (it is a DIFFERENT agent, not the one you're documenting, so don't copy it directly).</w:t>
      </w:r>
    </w:p>
    <w:p>
      <w:pPr>
        <w:spacing w:after="90" w:line="270"/>
        <w:ind w:left="450" w:hanging="270"/>
      </w:pPr>
      <w:r>
        <w:rPr>
          <w:b/>
          <w:bCs/>
          <w:color w:val="16233F"/>
          <w:sz w:val="21"/>
          <w:szCs w:val="21"/>
        </w:rPr>
        <w:t xml:space="preserve">2.	</w:t>
      </w:r>
      <w:r>
        <w:rPr>
          <w:color w:val="222222"/>
          <w:sz w:val="21"/>
          <w:szCs w:val="21"/>
        </w:rPr>
        <w:t xml:space="preserve">Complete the Agent Card: purpose, scope, autonomy level (use the L0–L3 scale from the morning's Governance topic), data touched, and known limitations.</w:t>
      </w:r>
    </w:p>
    <w:p>
      <w:pPr>
        <w:spacing w:after="90" w:line="270"/>
        <w:ind w:left="450" w:hanging="270"/>
      </w:pPr>
      <w:r>
        <w:rPr>
          <w:b/>
          <w:bCs/>
          <w:color w:val="16233F"/>
          <w:sz w:val="21"/>
          <w:szCs w:val="21"/>
        </w:rPr>
        <w:t xml:space="preserve">3.	</w:t>
      </w:r>
      <w:r>
        <w:rPr>
          <w:color w:val="222222"/>
          <w:sz w:val="21"/>
          <w:szCs w:val="21"/>
        </w:rPr>
        <w:t xml:space="preserve">Design the Audit Trail Schema: list the fields your system would log for every action the agent takes (at minimum: timestamp, action, inputs, outcome, autonomy level at time of action).</w:t>
      </w:r>
    </w:p>
    <w:p>
      <w:pPr>
        <w:spacing w:after="90" w:line="270"/>
        <w:ind w:left="450" w:hanging="270"/>
      </w:pPr>
      <w:r>
        <w:rPr>
          <w:b/>
          <w:bCs/>
          <w:color w:val="16233F"/>
          <w:sz w:val="21"/>
          <w:szCs w:val="21"/>
        </w:rPr>
        <w:t xml:space="preserve">4.	</w:t>
      </w:r>
      <w:r>
        <w:rPr>
          <w:color w:val="222222"/>
          <w:sz w:val="21"/>
          <w:szCs w:val="21"/>
        </w:rPr>
        <w:t xml:space="preserve">Draft the Disclosure Statement: the exact wording a customer would see or hear at the start of a conversation, satisfying the EU AI Act's transparency expectation.</w:t>
      </w:r>
    </w:p>
    <w:p>
      <w:pPr>
        <w:spacing w:after="90" w:line="270"/>
        <w:ind w:left="450" w:hanging="270"/>
      </w:pPr>
      <w:r>
        <w:rPr>
          <w:b/>
          <w:bCs/>
          <w:color w:val="16233F"/>
          <w:sz w:val="21"/>
          <w:szCs w:val="21"/>
        </w:rPr>
        <w:t xml:space="preserve">5.	</w:t>
      </w:r>
      <w:r>
        <w:rPr>
          <w:color w:val="222222"/>
          <w:sz w:val="21"/>
          <w:szCs w:val="21"/>
        </w:rPr>
        <w:t xml:space="preserve">Draft the Consent Record structure: what data use are you asking consent for, and how is that consent captured and stored (DPDP-aligned)?</w:t>
      </w:r>
    </w:p>
    <w:p>
      <w:pPr>
        <w:spacing w:after="90" w:line="270"/>
        <w:ind w:left="450" w:hanging="270"/>
      </w:pPr>
      <w:r>
        <w:rPr>
          <w:b/>
          <w:bCs/>
          <w:color w:val="16233F"/>
          <w:sz w:val="21"/>
          <w:szCs w:val="21"/>
        </w:rPr>
        <w:t xml:space="preserve">6.	</w:t>
      </w:r>
      <w:r>
        <w:rPr>
          <w:color w:val="222222"/>
          <w:sz w:val="21"/>
          <w:szCs w:val="21"/>
        </w:rPr>
        <w:t xml:space="preserve">Swap your draft with another pair. Would their governance pack be enough for you, as a reviewer, to sign off on a release?</w:t>
      </w:r>
    </w:p>
    <w:p>
      <w:pPr>
        <w:pStyle w:val="Heading2"/>
      </w:pPr>
      <w:r>
        <w:t xml:space="preserve">Deliverable</w:t>
      </w:r>
    </w:p>
    <w:p>
      <w:pPr>
        <w:spacing w:after="140" w:line="276"/>
      </w:pPr>
      <w:r>
        <w:rPr>
          <w:color w:val="222222"/>
          <w:sz w:val="21"/>
          <w:szCs w:val="21"/>
        </w:rPr>
        <w:t xml:space="preserve">A completed Governance_Pack_Template.docx — all four sections filled in for your chosen agent, specific enough that a compliance reviewer unfamiliar with the project could understand what the agent does and doesn't do.</w:t>
      </w:r>
    </w:p>
    <w:p>
      <w:pPr>
        <w:pStyle w:val="Heading2"/>
      </w:pPr>
      <w:r>
        <w:t xml:space="preserve">Facilitator Tips</w:t>
      </w:r>
    </w:p>
    <w:p>
      <w:pPr>
        <w:pStyle w:val="ListParagraph"/>
        <w:numPr>
          <w:ilvl w:val="0"/>
          <w:numId w:val="2"/>
        </w:numPr>
        <w:spacing w:after="70" w:line="270"/>
      </w:pPr>
      <w:r>
        <w:rPr>
          <w:color w:val="222222"/>
          <w:sz w:val="21"/>
          <w:szCs w:val="21"/>
        </w:rPr>
        <w:t xml:space="preserve">This lab is intentionally the most 'paperwork-heavy' of the day. Frame it early as what actually unlocks a production release, not a bureaucratic add-on — that framing changes how seriously participants take the wording.</w:t>
      </w:r>
    </w:p>
    <w:p>
      <w:pPr>
        <w:pStyle w:val="ListParagraph"/>
        <w:numPr>
          <w:ilvl w:val="0"/>
          <w:numId w:val="2"/>
        </w:numPr>
        <w:spacing w:after="70" w:line="270"/>
      </w:pPr>
      <w:r>
        <w:rPr>
          <w:color w:val="222222"/>
          <w:sz w:val="21"/>
          <w:szCs w:val="21"/>
        </w:rPr>
        <w:t xml:space="preserve">Watch for autonomy levels that don't match the actions described — e.g. an 'L1: human approves every action' agent card paired with an audit trail that has no approval-timestamp field.</w:t>
      </w:r>
    </w:p>
    <w:p>
      <w:pPr>
        <w:pBdr>
          <w:top w:val="single" w:color="DCE3EA" w:sz="4"/>
          <w:bottom w:val="single" w:color="DCE3EA" w:sz="4"/>
          <w:left w:val="single" w:color="E8873A" w:sz="24"/>
          <w:right w:val="single" w:color="DCE3EA" w:sz="4"/>
        </w:pBdr>
        <w:shd w:fill="F4F6F8" w:val="clear"/>
        <w:spacing w:after="200" w:before="160"/>
      </w:pPr>
      <w:r>
        <w:rPr>
          <w:b/>
          <w:bCs/>
          <w:color w:val="16233F"/>
          <w:sz w:val="21"/>
          <w:szCs w:val="21"/>
        </w:rPr>
        <w:t xml:space="preserve">  Reflect:  </w:t>
      </w:r>
      <w:r>
        <w:rPr>
          <w:i/>
          <w:iCs/>
          <w:color w:val="333333"/>
          <w:sz w:val="21"/>
          <w:szCs w:val="21"/>
        </w:rPr>
        <w:t xml:space="preserve">If your agent's autonomy level were raised from L1 to L2 tomorrow, which single field in your audit trail schema would matter most, and why?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pPr>
    <w:rPr>
      <w:rFonts w:ascii="Cambria" w:cs="Cambria" w:eastAsia="Cambria" w:hAnsi="Cambria"/>
      <w:b/>
      <w:bCs/>
      <w:color w:val="16233F"/>
      <w:sz w:val="32"/>
      <w:szCs w:val="32"/>
    </w:rPr>
  </w:style>
  <w:style w:type="paragraph" w:styleId="Heading2">
    <w:name w:val="Heading 2"/>
    <w:basedOn w:val="Normal"/>
    <w:next w:val="Normal"/>
    <w:qFormat/>
    <w:pPr>
      <w:spacing w:after="120" w:before="260"/>
    </w:pPr>
    <w:rPr>
      <w:rFonts w:ascii="Cambria" w:cs="Cambria" w:eastAsia="Cambria" w:hAnsi="Cambria"/>
      <w:b/>
      <w:bCs/>
      <w:color w:val="1C7293"/>
      <w:sz w:val="24"/>
      <w:szCs w:val="24"/>
    </w:rPr>
  </w:style>
  <w:style w:type="paragraph" w:styleId="Heading3">
    <w:name w:val="Heading 3"/>
    <w:basedOn w:val="Normal"/>
    <w:next w:val="Normal"/>
    <w:qFormat/>
    <w:pPr>
      <w:spacing w:after="90" w:before="180"/>
    </w:pPr>
    <w:rPr>
      <w:rFonts w:ascii="Calibri" w:cs="Calibri" w:eastAsia="Calibri" w:hAnsi="Calibri"/>
      <w:b/>
      <w:bCs/>
      <w:color w:val="16233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2026-07-18T12:32:55.678Z</dcterms:created>
  <dcterms:modified xsi:type="dcterms:W3CDTF">2026-07-18T12:32:55.678Z</dcterms:modified>
</cp:coreProperties>
</file>

<file path=docProps/custom.xml><?xml version="1.0" encoding="utf-8"?>
<Properties xmlns="http://schemas.openxmlformats.org/officeDocument/2006/custom-properties" xmlns:vt="http://schemas.openxmlformats.org/officeDocument/2006/docPropsVTypes"/>
</file>