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8873A"/>
          <w:sz w:val="20"/>
          <w:szCs w:val="20"/>
        </w:rPr>
        <w:t xml:space="preserve">DAY 5 · POST-LUNCH LAB H3 · TEAM EXERCISE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6233F"/>
          <w:sz w:val="40"/>
          <w:szCs w:val="40"/>
        </w:rPr>
        <w:t xml:space="preserve">Capstone Brief Template</w:t>
      </w:r>
    </w:p>
    <w:p>
      <w:pPr>
        <w:spacing w:after="140" w:line="276"/>
      </w:pPr>
      <w:r>
        <w:rPr>
          <w:i/>
          <w:iCs/>
          <w:color w:val="5B6B82"/>
          <w:sz w:val="21"/>
          <w:szCs w:val="21"/>
        </w:rPr>
        <w:t xml:space="preserve">One page. Specific enough that your team could start building tomorrow.</w:t>
      </w:r>
    </w:p>
    <w:p>
      <w:pPr>
        <w:pStyle w:val="Heading2"/>
      </w:pPr>
      <w:r>
        <w:t xml:space="preserve">1. Problem</w:t>
      </w:r>
    </w:p>
    <w:p>
      <w:pPr>
        <w:spacing w:after="40"/>
      </w:pPr>
      <w:r>
        <w:rPr>
          <w:b/>
          <w:bCs/>
          <w:color w:val="16233F"/>
          <w:sz w:val="21"/>
          <w:szCs w:val="21"/>
        </w:rPr>
        <w:t xml:space="preserve">Who is the customer, and what are they trying to do?:  </w:t>
      </w:r>
    </w:p>
    <w:p>
      <w:pPr>
        <w:pBdr>
          <w:top w:val="single" w:color="E8D48A" w:sz="4"/>
          <w:bottom w:val="single" w:color="E8D48A" w:sz="4"/>
          <w:left w:val="single" w:color="E8D48A" w:sz="4"/>
          <w:right w:val="single" w:color="E8D48A" w:sz="4"/>
        </w:pBdr>
        <w:shd w:fill="FFF2CC" w:val="clear"/>
        <w:spacing w:after="200"/>
      </w:pPr>
      <w:r>
        <w:rPr>
          <w:i/>
          <w:iCs/>
          <w:color w:val="8A7433"/>
          <w:sz w:val="20"/>
          <w:szCs w:val="20"/>
        </w:rPr>
        <w:t xml:space="preserve">  </w:t>
      </w:r>
    </w:p>
    <w:p>
      <w:pPr>
        <w:spacing w:after="40"/>
      </w:pPr>
      <w:r>
        <w:rPr>
          <w:b/>
          <w:bCs/>
          <w:color w:val="16233F"/>
          <w:sz w:val="21"/>
          <w:szCs w:val="21"/>
        </w:rPr>
        <w:t xml:space="preserve">Why does this currently need a human?:  </w:t>
      </w:r>
    </w:p>
    <w:p>
      <w:pPr>
        <w:pBdr>
          <w:top w:val="single" w:color="E8D48A" w:sz="4"/>
          <w:bottom w:val="single" w:color="E8D48A" w:sz="4"/>
          <w:left w:val="single" w:color="E8D48A" w:sz="4"/>
          <w:right w:val="single" w:color="E8D48A" w:sz="4"/>
        </w:pBdr>
        <w:shd w:fill="FFF2CC" w:val="clear"/>
        <w:spacing w:after="200"/>
      </w:pPr>
      <w:r>
        <w:rPr>
          <w:i/>
          <w:iCs/>
          <w:color w:val="8A7433"/>
          <w:sz w:val="20"/>
          <w:szCs w:val="20"/>
        </w:rPr>
        <w:t xml:space="preserve">  </w:t>
      </w:r>
    </w:p>
    <w:p>
      <w:pPr>
        <w:pStyle w:val="Heading2"/>
      </w:pPr>
      <w:r>
        <w:t xml:space="preserve">2. Channels</w:t>
      </w:r>
    </w:p>
    <w:p>
      <w:pPr>
        <w:spacing w:after="40"/>
      </w:pPr>
      <w:r>
        <w:rPr>
          <w:b/>
          <w:bCs/>
          <w:color w:val="16233F"/>
          <w:sz w:val="21"/>
          <w:szCs w:val="21"/>
        </w:rPr>
        <w:t xml:space="preserve">Which single channel are you starting with?:  </w:t>
      </w:r>
    </w:p>
    <w:p>
      <w:pPr>
        <w:pBdr>
          <w:top w:val="single" w:color="E8D48A" w:sz="4"/>
          <w:bottom w:val="single" w:color="E8D48A" w:sz="4"/>
          <w:left w:val="single" w:color="E8D48A" w:sz="4"/>
          <w:right w:val="single" w:color="E8D48A" w:sz="4"/>
        </w:pBdr>
        <w:shd w:fill="FFF2CC" w:val="clear"/>
        <w:spacing w:after="200"/>
      </w:pPr>
      <w:r>
        <w:rPr>
          <w:i/>
          <w:iCs/>
          <w:color w:val="8A7433"/>
          <w:sz w:val="20"/>
          <w:szCs w:val="20"/>
        </w:rPr>
        <w:t xml:space="preserve">  e.g. chat only, to start — resist the urge to include voice AND chat on day one.</w:t>
      </w:r>
    </w:p>
    <w:p>
      <w:pPr>
        <w:pStyle w:val="Heading2"/>
      </w:pPr>
      <w:r>
        <w:t xml:space="preserve">3. Success Metrics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Numbers, not ranges. A metric you can't gate on isn't finished.</w:t>
      </w:r>
    </w:p>
    <w:p>
      <w:pPr>
        <w:spacing w:after="40"/>
      </w:pPr>
      <w:r>
        <w:rPr>
          <w:b/>
          <w:bCs/>
          <w:color w:val="16233F"/>
          <w:sz w:val="21"/>
          <w:szCs w:val="21"/>
        </w:rPr>
        <w:t xml:space="preserve">Target resolution rate:  </w:t>
      </w:r>
    </w:p>
    <w:p>
      <w:pPr>
        <w:pBdr>
          <w:top w:val="single" w:color="E8D48A" w:sz="4"/>
          <w:bottom w:val="single" w:color="E8D48A" w:sz="4"/>
          <w:left w:val="single" w:color="E8D48A" w:sz="4"/>
          <w:right w:val="single" w:color="E8D48A" w:sz="4"/>
        </w:pBdr>
        <w:shd w:fill="FFF2CC" w:val="clear"/>
        <w:spacing w:after="200"/>
      </w:pPr>
      <w:r>
        <w:rPr>
          <w:i/>
          <w:iCs/>
          <w:color w:val="8A7433"/>
          <w:sz w:val="20"/>
          <w:szCs w:val="20"/>
        </w:rPr>
        <w:t xml:space="preserve">  </w:t>
      </w:r>
    </w:p>
    <w:p>
      <w:pPr>
        <w:spacing w:after="40"/>
      </w:pPr>
      <w:r>
        <w:rPr>
          <w:b/>
          <w:bCs/>
          <w:color w:val="16233F"/>
          <w:sz w:val="21"/>
          <w:szCs w:val="21"/>
        </w:rPr>
        <w:t xml:space="preserve">Target CSAT:  </w:t>
      </w:r>
    </w:p>
    <w:p>
      <w:pPr>
        <w:pBdr>
          <w:top w:val="single" w:color="E8D48A" w:sz="4"/>
          <w:bottom w:val="single" w:color="E8D48A" w:sz="4"/>
          <w:left w:val="single" w:color="E8D48A" w:sz="4"/>
          <w:right w:val="single" w:color="E8D48A" w:sz="4"/>
        </w:pBdr>
        <w:shd w:fill="FFF2CC" w:val="clear"/>
        <w:spacing w:after="200"/>
      </w:pPr>
      <w:r>
        <w:rPr>
          <w:i/>
          <w:iCs/>
          <w:color w:val="8A7433"/>
          <w:sz w:val="20"/>
          <w:szCs w:val="20"/>
        </w:rPr>
        <w:t xml:space="preserve">  </w:t>
      </w:r>
    </w:p>
    <w:p>
      <w:pPr>
        <w:spacing w:after="40"/>
      </w:pPr>
      <w:r>
        <w:rPr>
          <w:b/>
          <w:bCs/>
          <w:color w:val="16233F"/>
          <w:sz w:val="21"/>
          <w:szCs w:val="21"/>
        </w:rPr>
        <w:t xml:space="preserve">Target cost per contact:  </w:t>
      </w:r>
    </w:p>
    <w:p>
      <w:pPr>
        <w:pBdr>
          <w:top w:val="single" w:color="E8D48A" w:sz="4"/>
          <w:bottom w:val="single" w:color="E8D48A" w:sz="4"/>
          <w:left w:val="single" w:color="E8D48A" w:sz="4"/>
          <w:right w:val="single" w:color="E8D48A" w:sz="4"/>
        </w:pBdr>
        <w:shd w:fill="FFF2CC" w:val="clear"/>
        <w:spacing w:after="200"/>
      </w:pPr>
      <w:r>
        <w:rPr>
          <w:i/>
          <w:iCs/>
          <w:color w:val="8A7433"/>
          <w:sz w:val="20"/>
          <w:szCs w:val="20"/>
        </w:rPr>
        <w:t xml:space="preserve">  </w:t>
      </w:r>
    </w:p>
    <w:p>
      <w:pPr>
        <w:pStyle w:val="Heading2"/>
      </w:pPr>
      <w:r>
        <w:t xml:space="preserve">4. Eval Plan</w:t>
      </w:r>
    </w:p>
    <w:p>
      <w:pPr>
        <w:spacing w:after="40"/>
      </w:pPr>
      <w:r>
        <w:rPr>
          <w:b/>
          <w:bCs/>
          <w:color w:val="16233F"/>
          <w:sz w:val="21"/>
          <w:szCs w:val="21"/>
        </w:rPr>
        <w:t xml:space="preserve">How many golden conversations, covering which intents?:  </w:t>
      </w:r>
    </w:p>
    <w:p>
      <w:pPr>
        <w:pBdr>
          <w:top w:val="single" w:color="E8D48A" w:sz="4"/>
          <w:bottom w:val="single" w:color="E8D48A" w:sz="4"/>
          <w:left w:val="single" w:color="E8D48A" w:sz="4"/>
          <w:right w:val="single" w:color="E8D48A" w:sz="4"/>
        </w:pBdr>
        <w:shd w:fill="FFF2CC" w:val="clear"/>
        <w:spacing w:after="200"/>
      </w:pPr>
      <w:r>
        <w:rPr>
          <w:i/>
          <w:iCs/>
          <w:color w:val="8A7433"/>
          <w:sz w:val="20"/>
          <w:szCs w:val="20"/>
        </w:rPr>
        <w:t xml:space="preserve">  </w:t>
      </w:r>
    </w:p>
    <w:p>
      <w:pPr>
        <w:spacing w:after="40"/>
      </w:pPr>
      <w:r>
        <w:rPr>
          <w:b/>
          <w:bCs/>
          <w:color w:val="16233F"/>
          <w:sz w:val="21"/>
          <w:szCs w:val="21"/>
        </w:rPr>
        <w:t xml:space="preserve">What will your LLM-as-judge rubric check?:  </w:t>
      </w:r>
    </w:p>
    <w:p>
      <w:pPr>
        <w:pBdr>
          <w:top w:val="single" w:color="E8D48A" w:sz="4"/>
          <w:bottom w:val="single" w:color="E8D48A" w:sz="4"/>
          <w:left w:val="single" w:color="E8D48A" w:sz="4"/>
          <w:right w:val="single" w:color="E8D48A" w:sz="4"/>
        </w:pBdr>
        <w:shd w:fill="FFF2CC" w:val="clear"/>
        <w:spacing w:after="200"/>
      </w:pPr>
      <w:r>
        <w:rPr>
          <w:i/>
          <w:iCs/>
          <w:color w:val="8A7433"/>
          <w:sz w:val="20"/>
          <w:szCs w:val="20"/>
        </w:rPr>
        <w:t xml:space="preserve">  </w:t>
      </w:r>
    </w:p>
    <w:p>
      <w:pPr>
        <w:spacing w:after="40"/>
      </w:pPr>
      <w:r>
        <w:rPr>
          <w:b/>
          <w:bCs/>
          <w:color w:val="16233F"/>
          <w:sz w:val="21"/>
          <w:szCs w:val="21"/>
        </w:rPr>
        <w:t xml:space="preserve">What are your eval-gate thresholds (reuse this afternoon's gate logic)?:  </w:t>
      </w:r>
    </w:p>
    <w:p>
      <w:pPr>
        <w:pBdr>
          <w:top w:val="single" w:color="E8D48A" w:sz="4"/>
          <w:bottom w:val="single" w:color="E8D48A" w:sz="4"/>
          <w:left w:val="single" w:color="E8D48A" w:sz="4"/>
          <w:right w:val="single" w:color="E8D48A" w:sz="4"/>
        </w:pBdr>
        <w:shd w:fill="FFF2CC" w:val="clear"/>
        <w:spacing w:after="200"/>
      </w:pPr>
      <w:r>
        <w:rPr>
          <w:i/>
          <w:iCs/>
          <w:color w:val="8A7433"/>
          <w:sz w:val="20"/>
          <w:szCs w:val="20"/>
        </w:rPr>
        <w:t xml:space="preserve">  </w:t>
      </w:r>
    </w:p>
    <w:p>
      <w:r>
        <w:br w:type="page"/>
      </w:r>
    </w:p>
    <w:p>
      <w:pPr>
        <w:pStyle w:val="Heading2"/>
      </w:pPr>
      <w:r>
        <w:t xml:space="preserve">Appendix — Worked Example (Reference Only)</w:t>
      </w:r>
    </w:p>
    <w:p>
      <w:pPr>
        <w:spacing w:after="140" w:line="276"/>
      </w:pPr>
      <w:r>
        <w:rPr>
          <w:i/>
          <w:iCs/>
          <w:color w:val="5B6B82"/>
          <w:sz w:val="21"/>
          <w:szCs w:val="21"/>
        </w:rPr>
        <w:t xml:space="preserve">A filled-in example for a telecom billing-dispute agent, to show the level of specificity expected — not the topic to copy.</w:t>
      </w:r>
    </w:p>
    <w:p>
      <w:pPr>
        <w:pStyle w:val="Heading3"/>
      </w:pPr>
      <w:r>
        <w:t xml:space="preserve">1. Problem (example)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Postpaid mobile customers who see an unexpected charge on their bill currently have to call support and wait an average of 14 minutes to get an explanation, even though 60% of these charges are one of three well-understood reasons (roaming, a plan change mid-cycle, or a one-time add-on).</w:t>
      </w:r>
    </w:p>
    <w:p>
      <w:pPr>
        <w:pStyle w:val="Heading3"/>
      </w:pPr>
      <w:r>
        <w:t xml:space="preserve">2. Channels (example)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Chat only, embedded in the billing section of the mobile app.</w:t>
      </w:r>
    </w:p>
    <w:p>
      <w:pPr>
        <w:pStyle w:val="Heading3"/>
      </w:pPr>
      <w:r>
        <w:t xml:space="preserve">3. Success Metrics (example)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Resolution rate ≥ 70% (of the three known charge types); CSAT ≥ 4.2/5; cost per contact ≤ $0.90 blended.</w:t>
      </w:r>
    </w:p>
    <w:p>
      <w:pPr>
        <w:pStyle w:val="Heading3"/>
      </w:pPr>
      <w:r>
        <w:t xml:space="preserve">4. Eval Plan (example)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15 golden conversations covering the 3 known charge types plus 5 out-of-scope edge cases. LLM-as-judge rubric checks: correct charge explanation, no policy overreach (no promises of a refund without human approval), and a clear next step for the customer. Eval gate: block release if resolution &lt; 70% on goldens, or if the judge finds any unauthorised refund promise.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mbria" w:cs="Cambria" w:eastAsia="Cambria" w:hAnsi="Cambria"/>
      <w:b/>
      <w:bCs/>
      <w:color w:val="1623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mbria" w:cs="Cambria" w:eastAsia="Cambria" w:hAnsi="Cambria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16233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2026-07-18T12:32:55.789Z</dcterms:created>
  <dcterms:modified xsi:type="dcterms:W3CDTF">2026-07-18T12:32:55.789Z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