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000"/>
        </w:tabs>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 </w:t>
      </w:r>
      <w:r w:rsidDel="00000000" w:rsidR="00000000" w:rsidRPr="00000000">
        <w:rPr>
          <w:i w:val="0"/>
          <w:iCs w:val="0"/>
          <w:smallCaps w:val="0"/>
          <w:strike w:val="0"/>
          <w:color w:val="000000"/>
          <w:sz w:val="22"/>
          <w:szCs w:val="22"/>
          <w:u w:val="none"/>
          <w:shd w:fill="auto" w:val="clear"/>
          <w:vertAlign w:val="baseline"/>
        </w:rPr>
        <w:drawing>
          <wp:inline distB="0" distT="0" distL="0" distR="0">
            <wp:extent cx="1231038" cy="661567"/>
            <wp:effectExtent b="0" l="0" r="0" t="0"/>
            <wp:docPr id="57292188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231038" cy="66156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000"/>
        </w:tabs>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jc w:val="right"/>
        <w:rPr>
          <w:sz w:val="22"/>
          <w:szCs w:val="22"/>
        </w:rPr>
        <w:sectPr>
          <w:footerReference r:id="rId8" w:type="default"/>
          <w:pgSz w:h="16838" w:w="11906" w:orient="portrait"/>
          <w:pgMar w:bottom="1440" w:top="709" w:left="1734" w:right="1274" w:header="340" w:footer="1048"/>
          <w:pgNumType w:start="1"/>
          <w:cols w:equalWidth="0" w:num="2">
            <w:col w:space="318" w:w="4290"/>
            <w:col w:space="0" w:w="4290"/>
          </w:cols>
        </w:sectPr>
      </w:pPr>
      <w:r w:rsidDel="00000000" w:rsidR="00000000" w:rsidRPr="00000000">
        <w:rPr>
          <w:rtl w:val="0"/>
        </w:rPr>
      </w:r>
    </w:p>
    <w:p w:rsidR="00000000" w:rsidDel="00000000" w:rsidP="00000000" w:rsidRDefault="00000000" w:rsidRPr="00000000" w14:paraId="00000006">
      <w:pPr>
        <w:ind w:right="-34"/>
        <w:jc w:val="right"/>
        <w:rPr>
          <w:sz w:val="22"/>
          <w:szCs w:val="22"/>
        </w:rPr>
        <w:sectPr>
          <w:headerReference r:id="rId9" w:type="default"/>
          <w:footerReference r:id="rId10" w:type="default"/>
          <w:type w:val="continuous"/>
          <w:pgSz w:h="16838" w:w="11906" w:orient="portrait"/>
          <w:pgMar w:bottom="1440" w:top="1135" w:left="1701" w:right="1826" w:header="708" w:footer="544"/>
          <w:cols w:equalWidth="0" w:num="2">
            <w:col w:space="720" w:w="3829.499999999999"/>
            <w:col w:space="0" w:w="3829.499999999999"/>
          </w:cols>
        </w:sectPr>
      </w:pPr>
      <w:r w:rsidDel="00000000" w:rsidR="00000000" w:rsidRPr="00000000">
        <w:rPr>
          <w:rtl w:val="0"/>
        </w:rPr>
      </w:r>
    </w:p>
    <w:p w:rsidR="00000000" w:rsidDel="00000000" w:rsidP="00000000" w:rsidRDefault="00000000" w:rsidRPr="00000000" w14:paraId="00000007">
      <w:pPr>
        <w:ind w:right="-552"/>
        <w:jc w:val="both"/>
        <w:rPr>
          <w:sz w:val="18"/>
          <w:szCs w:val="18"/>
        </w:rPr>
      </w:pPr>
      <w:r w:rsidDel="00000000" w:rsidR="00000000" w:rsidRPr="00000000">
        <w:rPr>
          <w:rtl w:val="0"/>
        </w:rPr>
      </w:r>
    </w:p>
    <w:p w:rsidR="00000000" w:rsidDel="00000000" w:rsidP="00000000" w:rsidRDefault="00000000" w:rsidRPr="00000000" w14:paraId="00000008">
      <w:pPr>
        <w:ind w:right="-552"/>
        <w:rPr>
          <w:b w:val="1"/>
          <w:bCs w:val="1"/>
          <w:sz w:val="18"/>
          <w:szCs w:val="18"/>
        </w:rPr>
      </w:pPr>
      <w:r w:rsidDel="00000000" w:rsidR="00000000" w:rsidRPr="00000000">
        <w:rPr>
          <w:rtl w:val="0"/>
        </w:rPr>
        <w:tab/>
        <w:tab/>
        <w:tab/>
        <w:tab/>
        <w:tab/>
        <w:tab/>
        <w:tab/>
        <w:tab/>
        <w:tab/>
      </w:r>
      <w:r w:rsidDel="00000000" w:rsidR="00000000" w:rsidRPr="00000000">
        <w:rPr>
          <w:rtl w:val="0"/>
        </w:rPr>
      </w:r>
    </w:p>
    <w:p w:rsidR="00000000" w:rsidDel="00000000" w:rsidP="00000000" w:rsidRDefault="00000000" w:rsidRPr="00000000" w14:paraId="00000009">
      <w:pPr>
        <w:pStyle w:val="Heading1"/>
        <w:jc w:val="center"/>
        <w:rPr>
          <w:rFonts w:ascii="Times New Roman" w:cs="Times New Roman" w:eastAsia="Times New Roman" w:hAnsi="Times New Roman"/>
          <w:sz w:val="40"/>
          <w:szCs w:val="40"/>
        </w:rPr>
      </w:pPr>
      <w:bookmarkStart w:colFirst="0" w:colLast="0" w:name="_heading=h.ov9gg7e9f0u" w:id="0"/>
      <w:bookmarkEnd w:id="0"/>
      <w:r w:rsidDel="00000000" w:rsidR="00000000" w:rsidRPr="00000000">
        <w:rPr>
          <w:rFonts w:ascii="Times New Roman" w:cs="Times New Roman" w:eastAsia="Times New Roman" w:hAnsi="Times New Roman"/>
          <w:sz w:val="40"/>
          <w:szCs w:val="40"/>
          <w:rtl w:val="0"/>
        </w:rPr>
        <w:t xml:space="preserve">Idobro Impact Solutions</w:t>
      </w:r>
    </w:p>
    <w:p w:rsidR="00000000" w:rsidDel="00000000" w:rsidP="00000000" w:rsidRDefault="00000000" w:rsidRPr="00000000" w14:paraId="0000000A">
      <w:pPr>
        <w:pStyle w:val="Heading3"/>
        <w:keepNext w:val="0"/>
        <w:spacing w:after="80" w:before="280" w:line="276" w:lineRule="auto"/>
        <w:jc w:val="left"/>
        <w:rPr>
          <w:rFonts w:ascii="Times New Roman" w:cs="Times New Roman" w:eastAsia="Times New Roman" w:hAnsi="Times New Roman"/>
          <w:sz w:val="26"/>
          <w:szCs w:val="26"/>
        </w:rPr>
      </w:pPr>
      <w:bookmarkStart w:colFirst="0" w:colLast="0" w:name="_heading=h.3tleuhkv261d" w:id="1"/>
      <w:bookmarkEnd w:id="1"/>
      <w:r w:rsidDel="00000000" w:rsidR="00000000" w:rsidRPr="00000000">
        <w:rPr>
          <w:rtl w:val="0"/>
        </w:rPr>
      </w:r>
    </w:p>
    <w:p w:rsidR="00000000" w:rsidDel="00000000" w:rsidP="00000000" w:rsidRDefault="00000000" w:rsidRPr="00000000" w14:paraId="0000000B">
      <w:pPr>
        <w:pStyle w:val="Heading3"/>
        <w:rPr/>
      </w:pPr>
      <w:bookmarkStart w:colFirst="0" w:colLast="0" w:name="_heading=h.uxd9fn78weq7" w:id="2"/>
      <w:bookmarkEnd w:id="2"/>
      <w:r w:rsidDel="00000000" w:rsidR="00000000" w:rsidRPr="00000000">
        <w:rPr>
          <w:rtl w:val="0"/>
        </w:rPr>
        <w:t xml:space="preserve">Overview</w:t>
      </w:r>
    </w:p>
    <w:p w:rsidR="00000000" w:rsidDel="00000000" w:rsidP="00000000" w:rsidRDefault="00000000" w:rsidRPr="00000000" w14:paraId="0000000C">
      <w:pPr>
        <w:shd w:fill="ffffff" w:val="clear"/>
        <w:spacing w:line="276" w:lineRule="auto"/>
        <w:rPr>
          <w:sz w:val="22"/>
          <w:szCs w:val="22"/>
        </w:rPr>
      </w:pPr>
      <w:r w:rsidDel="00000000" w:rsidR="00000000" w:rsidRPr="00000000">
        <w:rPr>
          <w:sz w:val="22"/>
          <w:szCs w:val="22"/>
          <w:rtl w:val="0"/>
        </w:rPr>
        <w:t xml:space="preserve">Idobro Impact Solutions is a social enterprise established in 2009, with a proven track record of executing projects in 7 countries and 24 states of India, impacting over 2.3 million individuals. </w:t>
      </w:r>
    </w:p>
    <w:p w:rsidR="00000000" w:rsidDel="00000000" w:rsidP="00000000" w:rsidRDefault="00000000" w:rsidRPr="00000000" w14:paraId="0000000D">
      <w:pPr>
        <w:shd w:fill="ffffff" w:val="clear"/>
        <w:spacing w:line="276" w:lineRule="auto"/>
        <w:rPr>
          <w:sz w:val="22"/>
          <w:szCs w:val="22"/>
        </w:rPr>
      </w:pPr>
      <w:r w:rsidDel="00000000" w:rsidR="00000000" w:rsidRPr="00000000">
        <w:rPr>
          <w:sz w:val="22"/>
          <w:szCs w:val="22"/>
          <w:rtl w:val="0"/>
        </w:rPr>
        <w:t xml:space="preserve">We've partnered with esteemed organizations like Glenmark Foundation, Tata Trent, and Godrej Group, and have received recognition for our work, including the "Most Inspiring Social Enterprise" award.</w:t>
      </w:r>
    </w:p>
    <w:p w:rsidR="00000000" w:rsidDel="00000000" w:rsidP="00000000" w:rsidRDefault="00000000" w:rsidRPr="00000000" w14:paraId="0000000E">
      <w:pPr>
        <w:spacing w:after="240" w:before="240" w:line="276" w:lineRule="auto"/>
        <w:rPr>
          <w:sz w:val="22"/>
          <w:szCs w:val="22"/>
        </w:rPr>
      </w:pPr>
      <w:r w:rsidDel="00000000" w:rsidR="00000000" w:rsidRPr="00000000">
        <w:rPr>
          <w:sz w:val="22"/>
          <w:szCs w:val="22"/>
          <w:rtl w:val="0"/>
        </w:rPr>
        <w:t xml:space="preserve">For the last</w:t>
      </w:r>
      <w:r w:rsidDel="00000000" w:rsidR="00000000" w:rsidRPr="00000000">
        <w:rPr>
          <w:sz w:val="22"/>
          <w:szCs w:val="22"/>
          <w:rtl w:val="0"/>
        </w:rPr>
        <w:t xml:space="preserve"> 16 years, we have worked at the intersection of the public, private, and social sectors to </w:t>
      </w:r>
      <w:r w:rsidDel="00000000" w:rsidR="00000000" w:rsidRPr="00000000">
        <w:rPr>
          <w:b w:val="1"/>
          <w:bCs w:val="1"/>
          <w:sz w:val="22"/>
          <w:szCs w:val="22"/>
          <w:rtl w:val="0"/>
        </w:rPr>
        <w:t xml:space="preserve">Measure and Multiply</w:t>
      </w:r>
      <w:r w:rsidDel="00000000" w:rsidR="00000000" w:rsidRPr="00000000">
        <w:rPr>
          <w:sz w:val="22"/>
          <w:szCs w:val="22"/>
          <w:rtl w:val="0"/>
        </w:rPr>
        <w:t xml:space="preserve"> impact. Our approach is designed to foster shared value and build resilient ecosystems.</w:t>
      </w:r>
    </w:p>
    <w:p w:rsidR="00000000" w:rsidDel="00000000" w:rsidP="00000000" w:rsidRDefault="00000000" w:rsidRPr="00000000" w14:paraId="0000000F">
      <w:pPr>
        <w:pStyle w:val="Heading3"/>
        <w:rPr/>
      </w:pPr>
      <w:bookmarkStart w:colFirst="0" w:colLast="0" w:name="_heading=h.aepaktec95rm" w:id="3"/>
      <w:bookmarkEnd w:id="3"/>
      <w:r w:rsidDel="00000000" w:rsidR="00000000" w:rsidRPr="00000000">
        <w:rPr>
          <w:rtl w:val="0"/>
        </w:rPr>
        <w:t xml:space="preserve">The RISE Framework</w:t>
      </w:r>
    </w:p>
    <w:p w:rsidR="00000000" w:rsidDel="00000000" w:rsidP="00000000" w:rsidRDefault="00000000" w:rsidRPr="00000000" w14:paraId="00000010">
      <w:pPr>
        <w:spacing w:after="240" w:before="240" w:line="276" w:lineRule="auto"/>
        <w:rPr>
          <w:sz w:val="22"/>
          <w:szCs w:val="22"/>
        </w:rPr>
      </w:pPr>
      <w:r w:rsidDel="00000000" w:rsidR="00000000" w:rsidRPr="00000000">
        <w:rPr>
          <w:sz w:val="22"/>
          <w:szCs w:val="22"/>
          <w:rtl w:val="0"/>
        </w:rPr>
        <w:t xml:space="preserve">At the core of everything we do is the </w:t>
      </w:r>
      <w:r w:rsidDel="00000000" w:rsidR="00000000" w:rsidRPr="00000000">
        <w:rPr>
          <w:b w:val="1"/>
          <w:bCs w:val="1"/>
          <w:sz w:val="22"/>
          <w:szCs w:val="22"/>
          <w:rtl w:val="0"/>
        </w:rPr>
        <w:t xml:space="preserve">RISE</w:t>
      </w:r>
      <w:r w:rsidDel="00000000" w:rsidR="00000000" w:rsidRPr="00000000">
        <w:rPr>
          <w:sz w:val="22"/>
          <w:szCs w:val="22"/>
          <w:rtl w:val="0"/>
        </w:rPr>
        <w:t xml:space="preserve"> framework. We evaluate and implement initiatives based on four critical pillars:</w:t>
      </w:r>
    </w:p>
    <w:p w:rsidR="00000000" w:rsidDel="00000000" w:rsidP="00000000" w:rsidRDefault="00000000" w:rsidRPr="00000000" w14:paraId="00000011">
      <w:pPr>
        <w:numPr>
          <w:ilvl w:val="0"/>
          <w:numId w:val="1"/>
        </w:numPr>
        <w:spacing w:after="0" w:afterAutospacing="0" w:before="240"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R</w:t>
      </w:r>
      <w:r w:rsidDel="00000000" w:rsidR="00000000" w:rsidRPr="00000000">
        <w:rPr>
          <w:sz w:val="22"/>
          <w:szCs w:val="22"/>
          <w:rtl w:val="0"/>
        </w:rPr>
        <w:t xml:space="preserve">esponsible (Ethical and Accountable)</w:t>
      </w:r>
    </w:p>
    <w:p w:rsidR="00000000" w:rsidDel="00000000" w:rsidP="00000000" w:rsidRDefault="00000000" w:rsidRPr="00000000" w14:paraId="00000012">
      <w:pPr>
        <w:numPr>
          <w:ilvl w:val="0"/>
          <w:numId w:val="1"/>
        </w:numPr>
        <w:spacing w:after="0" w:afterAutospacing="0" w:before="0" w:beforeAutospacing="0"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I</w:t>
      </w:r>
      <w:r w:rsidDel="00000000" w:rsidR="00000000" w:rsidRPr="00000000">
        <w:rPr>
          <w:sz w:val="22"/>
          <w:szCs w:val="22"/>
          <w:rtl w:val="0"/>
        </w:rPr>
        <w:t xml:space="preserve">nclusive (Diversity and Equity)</w:t>
      </w:r>
    </w:p>
    <w:p w:rsidR="00000000" w:rsidDel="00000000" w:rsidP="00000000" w:rsidRDefault="00000000" w:rsidRPr="00000000" w14:paraId="00000013">
      <w:pPr>
        <w:numPr>
          <w:ilvl w:val="0"/>
          <w:numId w:val="1"/>
        </w:numPr>
        <w:spacing w:after="0" w:afterAutospacing="0" w:before="0" w:beforeAutospacing="0"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S</w:t>
      </w:r>
      <w:r w:rsidDel="00000000" w:rsidR="00000000" w:rsidRPr="00000000">
        <w:rPr>
          <w:sz w:val="22"/>
          <w:szCs w:val="22"/>
          <w:rtl w:val="0"/>
        </w:rPr>
        <w:t xml:space="preserve">ustainable (Long-term Viability)</w:t>
      </w:r>
    </w:p>
    <w:p w:rsidR="00000000" w:rsidDel="00000000" w:rsidP="00000000" w:rsidRDefault="00000000" w:rsidRPr="00000000" w14:paraId="00000014">
      <w:pPr>
        <w:numPr>
          <w:ilvl w:val="0"/>
          <w:numId w:val="1"/>
        </w:numPr>
        <w:spacing w:after="240" w:before="0" w:beforeAutospacing="0"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E</w:t>
      </w:r>
      <w:r w:rsidDel="00000000" w:rsidR="00000000" w:rsidRPr="00000000">
        <w:rPr>
          <w:sz w:val="22"/>
          <w:szCs w:val="22"/>
          <w:rtl w:val="0"/>
        </w:rPr>
        <w:t xml:space="preserve">co-friendly (Environmental Consciousness)</w:t>
      </w:r>
    </w:p>
    <w:p w:rsidR="00000000" w:rsidDel="00000000" w:rsidP="00000000" w:rsidRDefault="00000000" w:rsidRPr="00000000" w14:paraId="00000015">
      <w:pPr>
        <w:pStyle w:val="Heading3"/>
        <w:rPr/>
      </w:pPr>
      <w:bookmarkStart w:colFirst="0" w:colLast="0" w:name="_heading=h.iuoexyoy9jxw" w:id="4"/>
      <w:bookmarkEnd w:id="4"/>
      <w:r w:rsidDel="00000000" w:rsidR="00000000" w:rsidRPr="00000000">
        <w:rPr>
          <w:rtl w:val="0"/>
        </w:rPr>
        <w:t xml:space="preserve">Core Capabilities</w:t>
      </w:r>
    </w:p>
    <w:p w:rsidR="00000000" w:rsidDel="00000000" w:rsidP="00000000" w:rsidRDefault="00000000" w:rsidRPr="00000000" w14:paraId="00000016">
      <w:pPr>
        <w:spacing w:after="240" w:before="240" w:line="276" w:lineRule="auto"/>
        <w:rPr>
          <w:sz w:val="22"/>
          <w:szCs w:val="22"/>
        </w:rPr>
      </w:pPr>
      <w:r w:rsidDel="00000000" w:rsidR="00000000" w:rsidRPr="00000000">
        <w:rPr>
          <w:b w:val="1"/>
          <w:bCs w:val="1"/>
          <w:sz w:val="22"/>
          <w:szCs w:val="22"/>
          <w:rtl w:val="0"/>
        </w:rPr>
        <w:t xml:space="preserve">1. Impact Assessment &amp; Monitoring</w:t>
      </w:r>
      <w:r w:rsidDel="00000000" w:rsidR="00000000" w:rsidRPr="00000000">
        <w:rPr>
          <w:sz w:val="22"/>
          <w:szCs w:val="22"/>
          <w:rtl w:val="0"/>
        </w:rPr>
        <w:t xml:space="preserve"> We provide comprehensive third-party assessments, baselines, and end-line evaluations. Our methodology combines quantitative data with deep qualitative insights to map behavioral change and long-term socio-economic shifts.</w:t>
      </w:r>
    </w:p>
    <w:p w:rsidR="00000000" w:rsidDel="00000000" w:rsidP="00000000" w:rsidRDefault="00000000" w:rsidRPr="00000000" w14:paraId="00000017">
      <w:pPr>
        <w:spacing w:after="240" w:before="240" w:line="276" w:lineRule="auto"/>
        <w:rPr>
          <w:sz w:val="22"/>
          <w:szCs w:val="22"/>
        </w:rPr>
      </w:pPr>
      <w:r w:rsidDel="00000000" w:rsidR="00000000" w:rsidRPr="00000000">
        <w:rPr>
          <w:b w:val="1"/>
          <w:bCs w:val="1"/>
          <w:sz w:val="22"/>
          <w:szCs w:val="22"/>
          <w:rtl w:val="0"/>
        </w:rPr>
        <w:t xml:space="preserve">2. The GIFT Lens</w:t>
      </w:r>
      <w:r w:rsidDel="00000000" w:rsidR="00000000" w:rsidRPr="00000000">
        <w:rPr>
          <w:sz w:val="22"/>
          <w:szCs w:val="22"/>
          <w:rtl w:val="0"/>
        </w:rPr>
        <w:t xml:space="preserve"> We apply the </w:t>
      </w:r>
      <w:r w:rsidDel="00000000" w:rsidR="00000000" w:rsidRPr="00000000">
        <w:rPr>
          <w:b w:val="1"/>
          <w:bCs w:val="1"/>
          <w:sz w:val="22"/>
          <w:szCs w:val="22"/>
          <w:rtl w:val="0"/>
        </w:rPr>
        <w:t xml:space="preserve">GIFT</w:t>
      </w:r>
      <w:r w:rsidDel="00000000" w:rsidR="00000000" w:rsidRPr="00000000">
        <w:rPr>
          <w:sz w:val="22"/>
          <w:szCs w:val="22"/>
          <w:rtl w:val="0"/>
        </w:rPr>
        <w:t xml:space="preserve"> lens (</w:t>
      </w:r>
      <w:r w:rsidDel="00000000" w:rsidR="00000000" w:rsidRPr="00000000">
        <w:rPr>
          <w:b w:val="1"/>
          <w:bCs w:val="1"/>
          <w:sz w:val="22"/>
          <w:szCs w:val="22"/>
          <w:rtl w:val="0"/>
        </w:rPr>
        <w:t xml:space="preserve">G</w:t>
      </w:r>
      <w:r w:rsidDel="00000000" w:rsidR="00000000" w:rsidRPr="00000000">
        <w:rPr>
          <w:sz w:val="22"/>
          <w:szCs w:val="22"/>
          <w:rtl w:val="0"/>
        </w:rPr>
        <w:t xml:space="preserve">ender, </w:t>
      </w:r>
      <w:r w:rsidDel="00000000" w:rsidR="00000000" w:rsidRPr="00000000">
        <w:rPr>
          <w:b w:val="1"/>
          <w:bCs w:val="1"/>
          <w:sz w:val="22"/>
          <w:szCs w:val="22"/>
          <w:rtl w:val="0"/>
        </w:rPr>
        <w:t xml:space="preserve">I</w:t>
      </w:r>
      <w:r w:rsidDel="00000000" w:rsidR="00000000" w:rsidRPr="00000000">
        <w:rPr>
          <w:sz w:val="22"/>
          <w:szCs w:val="22"/>
          <w:rtl w:val="0"/>
        </w:rPr>
        <w:t xml:space="preserve">nnovation, </w:t>
      </w:r>
      <w:r w:rsidDel="00000000" w:rsidR="00000000" w:rsidRPr="00000000">
        <w:rPr>
          <w:b w:val="1"/>
          <w:bCs w:val="1"/>
          <w:sz w:val="22"/>
          <w:szCs w:val="22"/>
          <w:rtl w:val="0"/>
        </w:rPr>
        <w:t xml:space="preserve">F</w:t>
      </w:r>
      <w:r w:rsidDel="00000000" w:rsidR="00000000" w:rsidRPr="00000000">
        <w:rPr>
          <w:sz w:val="22"/>
          <w:szCs w:val="22"/>
          <w:rtl w:val="0"/>
        </w:rPr>
        <w:t xml:space="preserve">inance, and </w:t>
      </w:r>
      <w:r w:rsidDel="00000000" w:rsidR="00000000" w:rsidRPr="00000000">
        <w:rPr>
          <w:b w:val="1"/>
          <w:bCs w:val="1"/>
          <w:sz w:val="22"/>
          <w:szCs w:val="22"/>
          <w:rtl w:val="0"/>
        </w:rPr>
        <w:t xml:space="preserve">T</w:t>
      </w:r>
      <w:r w:rsidDel="00000000" w:rsidR="00000000" w:rsidRPr="00000000">
        <w:rPr>
          <w:sz w:val="22"/>
          <w:szCs w:val="22"/>
          <w:rtl w:val="0"/>
        </w:rPr>
        <w:t xml:space="preserve">echnology) to ensure that interventions are holistic and address the specific needs of diverse beneficiary groups, particularly women and underserved communities.</w:t>
      </w:r>
    </w:p>
    <w:p w:rsidR="00000000" w:rsidDel="00000000" w:rsidP="00000000" w:rsidRDefault="00000000" w:rsidRPr="00000000" w14:paraId="00000018">
      <w:pPr>
        <w:spacing w:after="240" w:before="240" w:line="276" w:lineRule="auto"/>
        <w:rPr>
          <w:sz w:val="22"/>
          <w:szCs w:val="22"/>
        </w:rPr>
      </w:pPr>
      <w:r w:rsidDel="00000000" w:rsidR="00000000" w:rsidRPr="00000000">
        <w:rPr>
          <w:b w:val="1"/>
          <w:bCs w:val="1"/>
          <w:sz w:val="22"/>
          <w:szCs w:val="22"/>
          <w:rtl w:val="0"/>
        </w:rPr>
        <w:t xml:space="preserve">3. Program Design &amp; Implementation</w:t>
      </w:r>
      <w:r w:rsidDel="00000000" w:rsidR="00000000" w:rsidRPr="00000000">
        <w:rPr>
          <w:sz w:val="22"/>
          <w:szCs w:val="22"/>
          <w:rtl w:val="0"/>
        </w:rPr>
        <w:t xml:space="preserve"> Idobro assists organizations in designing scalable models for citizenship, entrepreneurship, and community development, ensuring they align with global standards like the SDGs.</w:t>
      </w:r>
    </w:p>
    <w:p w:rsidR="00000000" w:rsidDel="00000000" w:rsidP="00000000" w:rsidRDefault="00000000" w:rsidRPr="00000000" w14:paraId="00000019">
      <w:pPr>
        <w:spacing w:after="240" w:before="240" w:line="276" w:lineRule="auto"/>
        <w:rPr>
          <w:sz w:val="22"/>
          <w:szCs w:val="22"/>
        </w:rPr>
      </w:pPr>
      <w:r w:rsidDel="00000000" w:rsidR="00000000" w:rsidRPr="00000000">
        <w:rPr>
          <w:b w:val="1"/>
          <w:bCs w:val="1"/>
          <w:sz w:val="22"/>
          <w:szCs w:val="22"/>
          <w:rtl w:val="0"/>
        </w:rPr>
        <w:t xml:space="preserve">4. Ecosystem Building</w:t>
      </w:r>
      <w:r w:rsidDel="00000000" w:rsidR="00000000" w:rsidRPr="00000000">
        <w:rPr>
          <w:sz w:val="22"/>
          <w:szCs w:val="22"/>
          <w:rtl w:val="0"/>
        </w:rPr>
        <w:t xml:space="preserve"> Through our global network and the annual </w:t>
      </w:r>
      <w:r w:rsidDel="00000000" w:rsidR="00000000" w:rsidRPr="00000000">
        <w:rPr>
          <w:b w:val="1"/>
          <w:bCs w:val="1"/>
          <w:sz w:val="22"/>
          <w:szCs w:val="22"/>
          <w:rtl w:val="0"/>
        </w:rPr>
        <w:t xml:space="preserve">RISE World Summit</w:t>
      </w:r>
      <w:r w:rsidDel="00000000" w:rsidR="00000000" w:rsidRPr="00000000">
        <w:rPr>
          <w:sz w:val="22"/>
          <w:szCs w:val="22"/>
          <w:rtl w:val="0"/>
        </w:rPr>
        <w:t xml:space="preserve">, we connect stakeholders to share knowledge, access markets, and foster cross-sector collaborations.</w:t>
      </w:r>
    </w:p>
    <w:p w:rsidR="00000000" w:rsidDel="00000000" w:rsidP="00000000" w:rsidRDefault="00000000" w:rsidRPr="00000000" w14:paraId="0000001A">
      <w:pPr>
        <w:pStyle w:val="Heading3"/>
        <w:rPr/>
      </w:pPr>
      <w:bookmarkStart w:colFirst="0" w:colLast="0" w:name="_heading=h.ci9vk2wca6wg" w:id="5"/>
      <w:bookmarkEnd w:id="5"/>
      <w:r w:rsidDel="00000000" w:rsidR="00000000" w:rsidRPr="00000000">
        <w:rPr>
          <w:rtl w:val="0"/>
        </w:rPr>
        <w:t xml:space="preserve">Key Credentials</w:t>
      </w:r>
    </w:p>
    <w:p w:rsidR="00000000" w:rsidDel="00000000" w:rsidP="00000000" w:rsidRDefault="00000000" w:rsidRPr="00000000" w14:paraId="0000001B">
      <w:pPr>
        <w:numPr>
          <w:ilvl w:val="0"/>
          <w:numId w:val="2"/>
        </w:numPr>
        <w:spacing w:after="0" w:afterAutospacing="0" w:before="240"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Experience:</w:t>
      </w:r>
      <w:r w:rsidDel="00000000" w:rsidR="00000000" w:rsidRPr="00000000">
        <w:rPr>
          <w:sz w:val="22"/>
          <w:szCs w:val="22"/>
          <w:rtl w:val="0"/>
        </w:rPr>
        <w:t xml:space="preserve"> 16 years in the development and corporate social responsibility (CSR) space.</w:t>
      </w:r>
    </w:p>
    <w:p w:rsidR="00000000" w:rsidDel="00000000" w:rsidP="00000000" w:rsidRDefault="00000000" w:rsidRPr="00000000" w14:paraId="0000001C">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Reach:</w:t>
      </w:r>
      <w:r w:rsidDel="00000000" w:rsidR="00000000" w:rsidRPr="00000000">
        <w:rPr>
          <w:sz w:val="22"/>
          <w:szCs w:val="22"/>
          <w:rtl w:val="0"/>
        </w:rPr>
        <w:t xml:space="preserve"> Successfully delivered projects across 24 Indian states and 7 countries.</w:t>
      </w:r>
    </w:p>
    <w:p w:rsidR="00000000" w:rsidDel="00000000" w:rsidP="00000000" w:rsidRDefault="00000000" w:rsidRPr="00000000" w14:paraId="0000001D">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Network:</w:t>
      </w:r>
      <w:r w:rsidDel="00000000" w:rsidR="00000000" w:rsidRPr="00000000">
        <w:rPr>
          <w:sz w:val="22"/>
          <w:szCs w:val="22"/>
          <w:rtl w:val="0"/>
        </w:rPr>
        <w:t xml:space="preserve"> A vast ecosystem of 10,000+ partners including NGOs, Corporates, Government bodies, and Entrepreneurs.</w:t>
      </w:r>
    </w:p>
    <w:p w:rsidR="00000000" w:rsidDel="00000000" w:rsidP="00000000" w:rsidRDefault="00000000" w:rsidRPr="00000000" w14:paraId="0000001E">
      <w:pPr>
        <w:numPr>
          <w:ilvl w:val="0"/>
          <w:numId w:val="2"/>
        </w:numPr>
        <w:spacing w:after="240" w:before="0" w:beforeAutospacing="0"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Approach:</w:t>
      </w:r>
      <w:r w:rsidDel="00000000" w:rsidR="00000000" w:rsidRPr="00000000">
        <w:rPr>
          <w:sz w:val="22"/>
          <w:szCs w:val="22"/>
          <w:rtl w:val="0"/>
        </w:rPr>
        <w:t xml:space="preserve"> A hybrid model that leverages digital tools for data and grassroots techniques for community engagement.</w:t>
      </w:r>
    </w:p>
    <w:p w:rsidR="00000000" w:rsidDel="00000000" w:rsidP="00000000" w:rsidRDefault="00000000" w:rsidRPr="00000000" w14:paraId="0000001F">
      <w:pPr>
        <w:pStyle w:val="Heading3"/>
        <w:rPr/>
      </w:pPr>
      <w:bookmarkStart w:colFirst="0" w:colLast="0" w:name="_heading=h.7fzk9jjogx6y" w:id="6"/>
      <w:bookmarkEnd w:id="6"/>
      <w:r w:rsidDel="00000000" w:rsidR="00000000" w:rsidRPr="00000000">
        <w:rPr>
          <w:rtl w:val="0"/>
        </w:rPr>
        <w:t xml:space="preserve">Our Value Proposition</w:t>
      </w:r>
    </w:p>
    <w:p w:rsidR="00000000" w:rsidDel="00000000" w:rsidP="00000000" w:rsidRDefault="00000000" w:rsidRPr="00000000" w14:paraId="00000020">
      <w:pPr>
        <w:spacing w:after="240" w:before="240" w:line="276" w:lineRule="auto"/>
        <w:rPr>
          <w:sz w:val="22"/>
          <w:szCs w:val="22"/>
        </w:rPr>
      </w:pPr>
      <w:r w:rsidDel="00000000" w:rsidR="00000000" w:rsidRPr="00000000">
        <w:rPr>
          <w:sz w:val="22"/>
          <w:szCs w:val="22"/>
          <w:rtl w:val="0"/>
        </w:rPr>
        <w:t xml:space="preserve">Idobro moves beyond traditional consultancy by acting as a </w:t>
      </w:r>
      <w:r w:rsidDel="00000000" w:rsidR="00000000" w:rsidRPr="00000000">
        <w:rPr>
          <w:b w:val="1"/>
          <w:bCs w:val="1"/>
          <w:sz w:val="22"/>
          <w:szCs w:val="22"/>
          <w:rtl w:val="0"/>
        </w:rPr>
        <w:t xml:space="preserve">Strategic Impact Partner</w:t>
      </w:r>
      <w:r w:rsidDel="00000000" w:rsidR="00000000" w:rsidRPr="00000000">
        <w:rPr>
          <w:sz w:val="22"/>
          <w:szCs w:val="22"/>
          <w:rtl w:val="0"/>
        </w:rPr>
        <w:t xml:space="preserve">. We provide the data-driven evidence needed for transparency and the strategic insights required to scale social interventions effectively.</w:t>
      </w:r>
    </w:p>
    <w:p w:rsidR="00000000" w:rsidDel="00000000" w:rsidP="00000000" w:rsidRDefault="00000000" w:rsidRPr="00000000" w14:paraId="00000021">
      <w:pPr>
        <w:spacing w:line="276" w:lineRule="auto"/>
        <w:rPr>
          <w:sz w:val="22"/>
          <w:szCs w:val="22"/>
        </w:rPr>
      </w:pPr>
      <w:r w:rsidDel="00000000" w:rsidR="00000000" w:rsidRPr="00000000">
        <w:rPr>
          <w:rtl w:val="0"/>
        </w:rPr>
      </w:r>
    </w:p>
    <w:p w:rsidR="00000000" w:rsidDel="00000000" w:rsidP="00000000" w:rsidRDefault="00000000" w:rsidRPr="00000000" w14:paraId="00000022">
      <w:pPr>
        <w:pStyle w:val="Heading3"/>
        <w:keepNext w:val="0"/>
        <w:rPr/>
      </w:pPr>
      <w:bookmarkStart w:colFirst="0" w:colLast="0" w:name="_heading=h.x1gmk5gu8h8n" w:id="7"/>
      <w:bookmarkEnd w:id="7"/>
      <w:r w:rsidDel="00000000" w:rsidR="00000000" w:rsidRPr="00000000">
        <w:rPr>
          <w:rtl w:val="0"/>
        </w:rPr>
        <w:t xml:space="preserve">Past Projects</w:t>
      </w:r>
    </w:p>
    <w:tbl>
      <w:tblPr>
        <w:tblStyle w:val="Table1"/>
        <w:tblW w:w="8378.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93.776898714372"/>
        <w:gridCol w:w="1984.7349123092526"/>
        <w:tblGridChange w:id="0">
          <w:tblGrid>
            <w:gridCol w:w="6393.776898714372"/>
            <w:gridCol w:w="1984.7349123092526"/>
          </w:tblGrid>
        </w:tblGridChange>
      </w:tblGrid>
      <w:tr>
        <w:trPr>
          <w:cantSplit w:val="0"/>
          <w:trHeight w:val="570" w:hRule="atLeast"/>
          <w:tblHeader w:val="0"/>
        </w:trPr>
        <w:tc>
          <w:tcPr>
            <w:tcBorders>
              <w:top w:color="000000" w:space="0" w:sz="0" w:val="nil"/>
              <w:left w:color="000000" w:space="0" w:sz="0" w:val="nil"/>
              <w:bottom w:color="92cddc"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23">
            <w:pPr>
              <w:spacing w:after="240" w:before="240" w:line="360" w:lineRule="auto"/>
              <w:jc w:val="center"/>
              <w:rPr>
                <w:b w:val="1"/>
                <w:bCs w:val="1"/>
                <w:i w:val="1"/>
                <w:iCs w:val="1"/>
                <w:color w:val="31849b"/>
              </w:rPr>
            </w:pPr>
            <w:r w:rsidDel="00000000" w:rsidR="00000000" w:rsidRPr="00000000">
              <w:rPr>
                <w:b w:val="1"/>
                <w:bCs w:val="1"/>
                <w:i w:val="1"/>
                <w:iCs w:val="1"/>
                <w:color w:val="31849b"/>
                <w:rtl w:val="0"/>
              </w:rPr>
              <w:t xml:space="preserve">Project Description</w:t>
            </w:r>
          </w:p>
        </w:tc>
        <w:tc>
          <w:tcPr>
            <w:tcBorders>
              <w:top w:color="000000" w:space="0" w:sz="0" w:val="nil"/>
              <w:left w:color="000000" w:space="0" w:sz="0" w:val="nil"/>
              <w:bottom w:color="92cddc"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24">
            <w:pPr>
              <w:spacing w:after="240" w:before="240" w:line="360" w:lineRule="auto"/>
              <w:jc w:val="center"/>
              <w:rPr>
                <w:b w:val="1"/>
                <w:bCs w:val="1"/>
                <w:color w:val="31849b"/>
              </w:rPr>
            </w:pPr>
            <w:r w:rsidDel="00000000" w:rsidR="00000000" w:rsidRPr="00000000">
              <w:rPr>
                <w:b w:val="1"/>
                <w:bCs w:val="1"/>
                <w:color w:val="31849b"/>
                <w:rtl w:val="0"/>
              </w:rPr>
              <w:t xml:space="preserve">Organization</w:t>
            </w:r>
          </w:p>
        </w:tc>
      </w:tr>
      <w:tr>
        <w:trPr>
          <w:cantSplit w:val="0"/>
          <w:trHeight w:val="1335" w:hRule="atLeast"/>
          <w:tblHeader w:val="0"/>
        </w:trPr>
        <w:tc>
          <w:tcPr>
            <w:tcBorders>
              <w:top w:color="000000" w:space="0" w:sz="0" w:val="nil"/>
              <w:left w:color="000000" w:space="0" w:sz="0" w:val="nil"/>
              <w:bottom w:color="4f81bd" w:space="0" w:sz="5" w:val="single"/>
              <w:right w:color="92cdd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25">
            <w:pPr>
              <w:spacing w:after="240" w:before="240" w:line="360" w:lineRule="auto"/>
              <w:rPr>
                <w:i w:val="1"/>
                <w:iCs w:val="1"/>
                <w:color w:val="31849b"/>
                <w:sz w:val="22"/>
                <w:szCs w:val="22"/>
              </w:rPr>
            </w:pPr>
            <w:r w:rsidDel="00000000" w:rsidR="00000000" w:rsidRPr="00000000">
              <w:rPr>
                <w:i w:val="1"/>
                <w:iCs w:val="1"/>
                <w:color w:val="31849b"/>
                <w:sz w:val="22"/>
                <w:szCs w:val="22"/>
                <w:rtl w:val="0"/>
              </w:rPr>
              <w:t xml:space="preserve">Situational assessment in 24 villages of Dahanu, to understand the impact the program was having on the beneficiaries and identify gap areas and innovative initiatives to further strengthen existing programs for long term impact </w:t>
            </w:r>
          </w:p>
        </w:tc>
        <w:tc>
          <w:tcPr>
            <w:tcBorders>
              <w:top w:color="000000" w:space="0" w:sz="0" w:val="nil"/>
              <w:left w:color="000000" w:space="0" w:sz="0" w:val="nil"/>
              <w:bottom w:color="92cddc" w:space="0" w:sz="5" w:val="single"/>
              <w:right w:color="92cddc" w:space="0" w:sz="5" w:val="single"/>
            </w:tcBorders>
            <w:shd w:fill="daeef3" w:val="clear"/>
            <w:tcMar>
              <w:top w:w="0.0" w:type="dxa"/>
              <w:left w:w="100.0" w:type="dxa"/>
              <w:bottom w:w="0.0" w:type="dxa"/>
              <w:right w:w="100.0" w:type="dxa"/>
            </w:tcMar>
            <w:vAlign w:val="top"/>
          </w:tcPr>
          <w:p w:rsidR="00000000" w:rsidDel="00000000" w:rsidP="00000000" w:rsidRDefault="00000000" w:rsidRPr="00000000" w14:paraId="00000026">
            <w:pPr>
              <w:spacing w:after="240" w:before="240" w:line="360" w:lineRule="auto"/>
              <w:jc w:val="center"/>
              <w:rPr>
                <w:color w:val="31849b"/>
                <w:sz w:val="22"/>
                <w:szCs w:val="22"/>
              </w:rPr>
            </w:pPr>
            <w:r w:rsidDel="00000000" w:rsidR="00000000" w:rsidRPr="00000000">
              <w:rPr>
                <w:color w:val="31849b"/>
                <w:sz w:val="22"/>
                <w:szCs w:val="22"/>
                <w:rtl w:val="0"/>
              </w:rPr>
              <w:t xml:space="preserve">Sir Ness Wadia Foundation</w:t>
            </w:r>
          </w:p>
        </w:tc>
      </w:tr>
      <w:tr>
        <w:trPr>
          <w:cantSplit w:val="0"/>
          <w:trHeight w:val="675" w:hRule="atLeast"/>
          <w:tblHeader w:val="0"/>
        </w:trPr>
        <w:tc>
          <w:tcPr>
            <w:tcBorders>
              <w:top w:color="000000" w:space="0" w:sz="0" w:val="nil"/>
              <w:left w:color="000000" w:space="0" w:sz="0" w:val="nil"/>
              <w:bottom w:color="4f81bd" w:space="0" w:sz="5" w:val="single"/>
              <w:right w:color="92cdd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27">
            <w:pPr>
              <w:spacing w:after="240" w:before="240" w:line="360" w:lineRule="auto"/>
              <w:rPr>
                <w:i w:val="1"/>
                <w:iCs w:val="1"/>
                <w:color w:val="31849b"/>
                <w:sz w:val="22"/>
                <w:szCs w:val="22"/>
              </w:rPr>
            </w:pPr>
            <w:r w:rsidDel="00000000" w:rsidR="00000000" w:rsidRPr="00000000">
              <w:rPr>
                <w:i w:val="1"/>
                <w:iCs w:val="1"/>
                <w:color w:val="31849b"/>
                <w:sz w:val="22"/>
                <w:szCs w:val="22"/>
                <w:rtl w:val="0"/>
              </w:rPr>
              <w:t xml:space="preserve">Impact Assessment to understand the impact the Life Skills program was having on the lives of the school students in Delhi &amp; Maharashtra</w:t>
            </w:r>
          </w:p>
        </w:tc>
        <w:tc>
          <w:tcPr>
            <w:tcBorders>
              <w:top w:color="000000" w:space="0" w:sz="0" w:val="nil"/>
              <w:left w:color="000000" w:space="0" w:sz="0" w:val="nil"/>
              <w:bottom w:color="92cddc" w:space="0" w:sz="5" w:val="single"/>
              <w:right w:color="92cddc"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240" w:before="240" w:line="360" w:lineRule="auto"/>
              <w:jc w:val="center"/>
              <w:rPr>
                <w:color w:val="31849b"/>
                <w:sz w:val="22"/>
                <w:szCs w:val="22"/>
              </w:rPr>
            </w:pPr>
            <w:r w:rsidDel="00000000" w:rsidR="00000000" w:rsidRPr="00000000">
              <w:rPr>
                <w:color w:val="31849b"/>
                <w:sz w:val="22"/>
                <w:szCs w:val="22"/>
                <w:rtl w:val="0"/>
              </w:rPr>
              <w:t xml:space="preserve">Magic Bus</w:t>
            </w:r>
          </w:p>
        </w:tc>
      </w:tr>
      <w:tr>
        <w:trPr>
          <w:cantSplit w:val="0"/>
          <w:trHeight w:val="1905" w:hRule="atLeast"/>
          <w:tblHeader w:val="0"/>
        </w:trPr>
        <w:tc>
          <w:tcPr>
            <w:tcBorders>
              <w:top w:color="000000" w:space="0" w:sz="0" w:val="nil"/>
              <w:left w:color="000000" w:space="0" w:sz="0" w:val="nil"/>
              <w:bottom w:color="4f81bd" w:space="0" w:sz="5" w:val="single"/>
              <w:right w:color="92cdd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29">
            <w:pPr>
              <w:spacing w:after="240" w:before="240" w:line="360" w:lineRule="auto"/>
              <w:rPr>
                <w:i w:val="1"/>
                <w:iCs w:val="1"/>
                <w:color w:val="31849b"/>
                <w:sz w:val="22"/>
                <w:szCs w:val="22"/>
              </w:rPr>
            </w:pPr>
            <w:r w:rsidDel="00000000" w:rsidR="00000000" w:rsidRPr="00000000">
              <w:rPr>
                <w:i w:val="1"/>
                <w:iCs w:val="1"/>
                <w:color w:val="31849b"/>
                <w:sz w:val="22"/>
                <w:szCs w:val="22"/>
                <w:rtl w:val="0"/>
              </w:rPr>
              <w:t xml:space="preserve">Impact assessment of Partner NGO’s spread across India and in Kenya over 4 consecutive years</w:t>
            </w:r>
          </w:p>
          <w:p w:rsidR="00000000" w:rsidDel="00000000" w:rsidP="00000000" w:rsidRDefault="00000000" w:rsidRPr="00000000" w14:paraId="0000002A">
            <w:pPr>
              <w:spacing w:after="240" w:before="240" w:line="360" w:lineRule="auto"/>
              <w:rPr>
                <w:i w:val="1"/>
                <w:iCs w:val="1"/>
                <w:color w:val="31849b"/>
                <w:sz w:val="22"/>
                <w:szCs w:val="22"/>
              </w:rPr>
            </w:pPr>
            <w:r w:rsidDel="00000000" w:rsidR="00000000" w:rsidRPr="00000000">
              <w:rPr>
                <w:i w:val="1"/>
                <w:iCs w:val="1"/>
                <w:color w:val="31849b"/>
                <w:sz w:val="22"/>
                <w:szCs w:val="22"/>
                <w:rtl w:val="0"/>
              </w:rPr>
              <w:t xml:space="preserve">Behavior Change Communication Competition with  MBA colleges for 5 consecutive years reaching 22 cities of India and over 400+ colleges and 5000+ students</w:t>
            </w:r>
          </w:p>
        </w:tc>
        <w:tc>
          <w:tcPr>
            <w:tcBorders>
              <w:top w:color="000000" w:space="0" w:sz="0" w:val="nil"/>
              <w:left w:color="000000" w:space="0" w:sz="0" w:val="nil"/>
              <w:bottom w:color="92cddc" w:space="0" w:sz="5" w:val="single"/>
              <w:right w:color="92cddc" w:space="0" w:sz="5" w:val="single"/>
            </w:tcBorders>
            <w:shd w:fill="daeef3" w:val="clear"/>
            <w:tcMar>
              <w:top w:w="0.0" w:type="dxa"/>
              <w:left w:w="100.0" w:type="dxa"/>
              <w:bottom w:w="0.0" w:type="dxa"/>
              <w:right w:w="100.0" w:type="dxa"/>
            </w:tcMar>
            <w:vAlign w:val="top"/>
          </w:tcPr>
          <w:p w:rsidR="00000000" w:rsidDel="00000000" w:rsidP="00000000" w:rsidRDefault="00000000" w:rsidRPr="00000000" w14:paraId="0000002B">
            <w:pPr>
              <w:spacing w:after="240" w:before="240" w:line="360" w:lineRule="auto"/>
              <w:jc w:val="center"/>
              <w:rPr>
                <w:color w:val="31849b"/>
                <w:sz w:val="22"/>
                <w:szCs w:val="22"/>
              </w:rPr>
            </w:pPr>
            <w:r w:rsidDel="00000000" w:rsidR="00000000" w:rsidRPr="00000000">
              <w:rPr>
                <w:color w:val="31849b"/>
                <w:sz w:val="22"/>
                <w:szCs w:val="22"/>
                <w:rtl w:val="0"/>
              </w:rPr>
              <w:t xml:space="preserve">Glenmark Foundation</w:t>
            </w:r>
          </w:p>
        </w:tc>
      </w:tr>
      <w:tr>
        <w:trPr>
          <w:cantSplit w:val="0"/>
          <w:trHeight w:val="1005" w:hRule="atLeast"/>
          <w:tblHeader w:val="0"/>
        </w:trPr>
        <w:tc>
          <w:tcPr>
            <w:tcBorders>
              <w:top w:color="000000" w:space="0" w:sz="0" w:val="nil"/>
              <w:left w:color="000000" w:space="0" w:sz="0" w:val="nil"/>
              <w:bottom w:color="4f81bd" w:space="0" w:sz="5" w:val="single"/>
              <w:right w:color="92cdd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2C">
            <w:pPr>
              <w:spacing w:after="240" w:before="240" w:line="360" w:lineRule="auto"/>
              <w:rPr>
                <w:i w:val="1"/>
                <w:iCs w:val="1"/>
                <w:color w:val="31849b"/>
                <w:sz w:val="22"/>
                <w:szCs w:val="22"/>
              </w:rPr>
            </w:pPr>
            <w:r w:rsidDel="00000000" w:rsidR="00000000" w:rsidRPr="00000000">
              <w:rPr>
                <w:i w:val="1"/>
                <w:iCs w:val="1"/>
                <w:color w:val="31849b"/>
                <w:sz w:val="22"/>
                <w:szCs w:val="22"/>
                <w:rtl w:val="0"/>
              </w:rPr>
              <w:t xml:space="preserve">Design and development of a theory of change along with a detailed monitoring and evaluation framework for the foundations core educational school programs</w:t>
            </w:r>
          </w:p>
        </w:tc>
        <w:tc>
          <w:tcPr>
            <w:tcBorders>
              <w:top w:color="000000" w:space="0" w:sz="0" w:val="nil"/>
              <w:left w:color="000000" w:space="0" w:sz="0" w:val="nil"/>
              <w:bottom w:color="92cddc" w:space="0" w:sz="5" w:val="single"/>
              <w:right w:color="92cddc"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360" w:lineRule="auto"/>
              <w:jc w:val="center"/>
              <w:rPr>
                <w:color w:val="31849b"/>
                <w:sz w:val="22"/>
                <w:szCs w:val="22"/>
              </w:rPr>
            </w:pPr>
            <w:r w:rsidDel="00000000" w:rsidR="00000000" w:rsidRPr="00000000">
              <w:rPr>
                <w:color w:val="31849b"/>
                <w:sz w:val="22"/>
                <w:szCs w:val="22"/>
                <w:rtl w:val="0"/>
              </w:rPr>
              <w:t xml:space="preserve">Hope Foundation</w:t>
            </w:r>
          </w:p>
        </w:tc>
      </w:tr>
      <w:tr>
        <w:trPr>
          <w:cantSplit w:val="0"/>
          <w:trHeight w:val="1335" w:hRule="atLeast"/>
          <w:tblHeader w:val="0"/>
        </w:trPr>
        <w:tc>
          <w:tcPr>
            <w:tcBorders>
              <w:top w:color="000000" w:space="0" w:sz="0" w:val="nil"/>
              <w:left w:color="000000" w:space="0" w:sz="0" w:val="nil"/>
              <w:bottom w:color="4f81bd" w:space="0" w:sz="5" w:val="single"/>
              <w:right w:color="92cdd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2E">
            <w:pPr>
              <w:spacing w:after="240" w:before="240" w:line="360" w:lineRule="auto"/>
              <w:rPr>
                <w:i w:val="1"/>
                <w:iCs w:val="1"/>
                <w:color w:val="31849b"/>
                <w:sz w:val="22"/>
                <w:szCs w:val="22"/>
              </w:rPr>
            </w:pPr>
            <w:r w:rsidDel="00000000" w:rsidR="00000000" w:rsidRPr="00000000">
              <w:rPr>
                <w:i w:val="1"/>
                <w:iCs w:val="1"/>
                <w:color w:val="31849b"/>
                <w:sz w:val="22"/>
                <w:szCs w:val="22"/>
                <w:rtl w:val="0"/>
              </w:rPr>
              <w:t xml:space="preserve">Setup and running of a virtual call center having 3 shifts, with 15 hours and 16 executives for migrants requiring assistance related to travel, food, medicine and shelter. Operating both outbound and inbound calls with an real time system for documentation of cases and resolutions</w:t>
            </w:r>
          </w:p>
        </w:tc>
        <w:tc>
          <w:tcPr>
            <w:tcBorders>
              <w:top w:color="000000" w:space="0" w:sz="0" w:val="nil"/>
              <w:left w:color="000000" w:space="0" w:sz="0" w:val="nil"/>
              <w:bottom w:color="92cddc" w:space="0" w:sz="5" w:val="single"/>
              <w:right w:color="92cddc" w:space="0" w:sz="5" w:val="single"/>
            </w:tcBorders>
            <w:shd w:fill="daeef3" w:val="clear"/>
            <w:tcMar>
              <w:top w:w="0.0" w:type="dxa"/>
              <w:left w:w="100.0" w:type="dxa"/>
              <w:bottom w:w="0.0" w:type="dxa"/>
              <w:right w:w="100.0" w:type="dxa"/>
            </w:tcMar>
            <w:vAlign w:val="top"/>
          </w:tcPr>
          <w:p w:rsidR="00000000" w:rsidDel="00000000" w:rsidP="00000000" w:rsidRDefault="00000000" w:rsidRPr="00000000" w14:paraId="0000002F">
            <w:pPr>
              <w:spacing w:after="240" w:before="240" w:line="360" w:lineRule="auto"/>
              <w:jc w:val="center"/>
              <w:rPr>
                <w:color w:val="31849b"/>
                <w:sz w:val="22"/>
                <w:szCs w:val="22"/>
              </w:rPr>
            </w:pPr>
            <w:r w:rsidDel="00000000" w:rsidR="00000000" w:rsidRPr="00000000">
              <w:rPr>
                <w:color w:val="31849b"/>
                <w:sz w:val="22"/>
                <w:szCs w:val="22"/>
                <w:rtl w:val="0"/>
              </w:rPr>
              <w:t xml:space="preserve">UNICEF India, under the Jeevan Rath Initiative</w:t>
            </w:r>
          </w:p>
        </w:tc>
      </w:tr>
      <w:tr>
        <w:trPr>
          <w:cantSplit w:val="0"/>
          <w:trHeight w:val="675" w:hRule="atLeast"/>
          <w:tblHeader w:val="0"/>
        </w:trPr>
        <w:tc>
          <w:tcPr>
            <w:tcBorders>
              <w:top w:color="000000" w:space="0" w:sz="0" w:val="nil"/>
              <w:left w:color="000000" w:space="0" w:sz="0" w:val="nil"/>
              <w:bottom w:color="4f81bd" w:space="0" w:sz="5" w:val="single"/>
              <w:right w:color="92cdd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30">
            <w:pPr>
              <w:spacing w:after="240" w:before="240" w:line="360" w:lineRule="auto"/>
              <w:rPr>
                <w:i w:val="1"/>
                <w:iCs w:val="1"/>
                <w:color w:val="31849b"/>
                <w:sz w:val="22"/>
                <w:szCs w:val="22"/>
              </w:rPr>
            </w:pPr>
            <w:r w:rsidDel="00000000" w:rsidR="00000000" w:rsidRPr="00000000">
              <w:rPr>
                <w:i w:val="1"/>
                <w:iCs w:val="1"/>
                <w:color w:val="31849b"/>
                <w:sz w:val="22"/>
                <w:szCs w:val="22"/>
                <w:rtl w:val="0"/>
              </w:rPr>
              <w:t xml:space="preserve">Impact Evaluation for Behavioral Change Program on Open Defecation Free Villages in Chandrapur Dist. Of Maharashtra</w:t>
            </w:r>
          </w:p>
        </w:tc>
        <w:tc>
          <w:tcPr>
            <w:tcBorders>
              <w:top w:color="000000" w:space="0" w:sz="0" w:val="nil"/>
              <w:left w:color="000000" w:space="0" w:sz="0" w:val="nil"/>
              <w:bottom w:color="92cddc" w:space="0" w:sz="5" w:val="single"/>
              <w:right w:color="92cddc"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after="240" w:before="240" w:line="360" w:lineRule="auto"/>
              <w:jc w:val="center"/>
              <w:rPr>
                <w:color w:val="31849b"/>
                <w:sz w:val="22"/>
                <w:szCs w:val="22"/>
              </w:rPr>
            </w:pPr>
            <w:r w:rsidDel="00000000" w:rsidR="00000000" w:rsidRPr="00000000">
              <w:rPr>
                <w:color w:val="31849b"/>
                <w:sz w:val="22"/>
                <w:szCs w:val="22"/>
                <w:rtl w:val="0"/>
              </w:rPr>
              <w:t xml:space="preserve">Ambuja Cement Foundation</w:t>
            </w:r>
          </w:p>
        </w:tc>
      </w:tr>
      <w:tr>
        <w:trPr>
          <w:cantSplit w:val="0"/>
          <w:trHeight w:val="1005" w:hRule="atLeast"/>
          <w:tblHeader w:val="0"/>
        </w:trPr>
        <w:tc>
          <w:tcPr>
            <w:tcBorders>
              <w:top w:color="000000" w:space="0" w:sz="0" w:val="nil"/>
              <w:left w:color="000000" w:space="0" w:sz="0" w:val="nil"/>
              <w:bottom w:color="4f81bd" w:space="0" w:sz="5" w:val="single"/>
              <w:right w:color="92cdd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32">
            <w:pPr>
              <w:spacing w:after="240" w:before="240" w:line="360" w:lineRule="auto"/>
              <w:rPr>
                <w:i w:val="1"/>
                <w:iCs w:val="1"/>
                <w:color w:val="31849b"/>
                <w:sz w:val="22"/>
                <w:szCs w:val="22"/>
              </w:rPr>
            </w:pPr>
            <w:r w:rsidDel="00000000" w:rsidR="00000000" w:rsidRPr="00000000">
              <w:rPr>
                <w:i w:val="1"/>
                <w:iCs w:val="1"/>
                <w:color w:val="31849b"/>
                <w:sz w:val="22"/>
                <w:szCs w:val="22"/>
                <w:rtl w:val="0"/>
              </w:rPr>
              <w:t xml:space="preserve">3 year CSR planning along with Impact Assessment study and Situation Analysis of projects across five states namely Karnataka, Maharashtra, Gujarat and Uttar Pradesh</w:t>
            </w:r>
          </w:p>
        </w:tc>
        <w:tc>
          <w:tcPr>
            <w:tcBorders>
              <w:top w:color="000000" w:space="0" w:sz="0" w:val="nil"/>
              <w:left w:color="000000" w:space="0" w:sz="0" w:val="nil"/>
              <w:bottom w:color="92cddc" w:space="0" w:sz="5" w:val="single"/>
              <w:right w:color="92cddc" w:space="0" w:sz="5" w:val="single"/>
            </w:tcBorders>
            <w:shd w:fill="daeef3" w:val="clear"/>
            <w:tcMar>
              <w:top w:w="0.0" w:type="dxa"/>
              <w:left w:w="100.0" w:type="dxa"/>
              <w:bottom w:w="0.0" w:type="dxa"/>
              <w:right w:w="100.0" w:type="dxa"/>
            </w:tcMar>
            <w:vAlign w:val="top"/>
          </w:tcPr>
          <w:p w:rsidR="00000000" w:rsidDel="00000000" w:rsidP="00000000" w:rsidRDefault="00000000" w:rsidRPr="00000000" w14:paraId="00000033">
            <w:pPr>
              <w:spacing w:after="240" w:before="240" w:line="360" w:lineRule="auto"/>
              <w:jc w:val="center"/>
              <w:rPr>
                <w:color w:val="31849b"/>
                <w:sz w:val="22"/>
                <w:szCs w:val="22"/>
              </w:rPr>
            </w:pPr>
            <w:r w:rsidDel="00000000" w:rsidR="00000000" w:rsidRPr="00000000">
              <w:rPr>
                <w:color w:val="31849b"/>
                <w:sz w:val="22"/>
                <w:szCs w:val="22"/>
                <w:rtl w:val="0"/>
              </w:rPr>
              <w:t xml:space="preserve">Multi Commodity Exchange  (MCX)</w:t>
            </w:r>
          </w:p>
        </w:tc>
      </w:tr>
      <w:tr>
        <w:trPr>
          <w:cantSplit w:val="0"/>
          <w:trHeight w:val="1005" w:hRule="atLeast"/>
          <w:tblHeader w:val="0"/>
        </w:trPr>
        <w:tc>
          <w:tcPr>
            <w:tcBorders>
              <w:top w:color="000000" w:space="0" w:sz="0" w:val="nil"/>
              <w:left w:color="000000" w:space="0" w:sz="0" w:val="nil"/>
              <w:bottom w:color="4f81bd" w:space="0" w:sz="5" w:val="single"/>
              <w:right w:color="92cdd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34">
            <w:pPr>
              <w:spacing w:after="240" w:before="240" w:line="360" w:lineRule="auto"/>
              <w:rPr>
                <w:i w:val="1"/>
                <w:iCs w:val="1"/>
                <w:color w:val="31849b"/>
                <w:sz w:val="22"/>
                <w:szCs w:val="22"/>
              </w:rPr>
            </w:pPr>
            <w:r w:rsidDel="00000000" w:rsidR="00000000" w:rsidRPr="00000000">
              <w:rPr>
                <w:i w:val="1"/>
                <w:iCs w:val="1"/>
                <w:color w:val="31849b"/>
                <w:sz w:val="22"/>
                <w:szCs w:val="22"/>
                <w:rtl w:val="0"/>
              </w:rPr>
              <w:t xml:space="preserve">5 Country Needs Assessment Survey for VOPEs – Bangladesh, Bhutan, India, Nepal and Sri Lanka</w:t>
            </w:r>
          </w:p>
        </w:tc>
        <w:tc>
          <w:tcPr>
            <w:tcBorders>
              <w:top w:color="000000" w:space="0" w:sz="0" w:val="nil"/>
              <w:left w:color="000000" w:space="0" w:sz="0" w:val="nil"/>
              <w:bottom w:color="92cddc" w:space="0" w:sz="5" w:val="single"/>
              <w:right w:color="92cddc"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after="240" w:before="240" w:line="360" w:lineRule="auto"/>
              <w:jc w:val="center"/>
              <w:rPr>
                <w:color w:val="31849b"/>
                <w:sz w:val="22"/>
                <w:szCs w:val="22"/>
              </w:rPr>
            </w:pPr>
            <w:r w:rsidDel="00000000" w:rsidR="00000000" w:rsidRPr="00000000">
              <w:rPr>
                <w:color w:val="31849b"/>
                <w:sz w:val="22"/>
                <w:szCs w:val="22"/>
                <w:rtl w:val="0"/>
              </w:rPr>
              <w:t xml:space="preserve">CoE South Asia &amp; Eval Partners (UN Chaired)</w:t>
            </w:r>
          </w:p>
        </w:tc>
      </w:tr>
      <w:tr>
        <w:trPr>
          <w:cantSplit w:val="0"/>
          <w:trHeight w:val="1005" w:hRule="atLeast"/>
          <w:tblHeader w:val="0"/>
        </w:trPr>
        <w:tc>
          <w:tcPr>
            <w:tcBorders>
              <w:top w:color="000000" w:space="0" w:sz="0" w:val="nil"/>
              <w:left w:color="000000" w:space="0" w:sz="0" w:val="nil"/>
              <w:bottom w:color="4f81bd" w:space="0" w:sz="5" w:val="single"/>
              <w:right w:color="92cdd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36">
            <w:pPr>
              <w:spacing w:after="240" w:before="240" w:line="360" w:lineRule="auto"/>
              <w:rPr>
                <w:i w:val="1"/>
                <w:iCs w:val="1"/>
                <w:color w:val="31849b"/>
                <w:sz w:val="22"/>
                <w:szCs w:val="22"/>
              </w:rPr>
            </w:pPr>
            <w:r w:rsidDel="00000000" w:rsidR="00000000" w:rsidRPr="00000000">
              <w:rPr>
                <w:i w:val="1"/>
                <w:iCs w:val="1"/>
                <w:color w:val="31849b"/>
                <w:sz w:val="22"/>
                <w:szCs w:val="22"/>
                <w:rtl w:val="0"/>
              </w:rPr>
              <w:t xml:space="preserve">Due Diligence &amp; annual review for three consecutive years of partner NGO’s for the “Star &amp; Diya” Program which financially supports NGO’s across India remotely for Educational and Health programs</w:t>
            </w:r>
          </w:p>
        </w:tc>
        <w:tc>
          <w:tcPr>
            <w:tcBorders>
              <w:top w:color="000000" w:space="0" w:sz="0" w:val="nil"/>
              <w:left w:color="000000" w:space="0" w:sz="0" w:val="nil"/>
              <w:bottom w:color="92cddc" w:space="0" w:sz="5" w:val="single"/>
              <w:right w:color="92cddc" w:space="0" w:sz="5" w:val="single"/>
            </w:tcBorders>
            <w:shd w:fill="daeef3" w:val="clear"/>
            <w:tcMar>
              <w:top w:w="0.0" w:type="dxa"/>
              <w:left w:w="100.0" w:type="dxa"/>
              <w:bottom w:w="0.0" w:type="dxa"/>
              <w:right w:w="100.0" w:type="dxa"/>
            </w:tcMar>
            <w:vAlign w:val="top"/>
          </w:tcPr>
          <w:p w:rsidR="00000000" w:rsidDel="00000000" w:rsidP="00000000" w:rsidRDefault="00000000" w:rsidRPr="00000000" w14:paraId="00000037">
            <w:pPr>
              <w:spacing w:after="240" w:before="240" w:line="360" w:lineRule="auto"/>
              <w:jc w:val="center"/>
              <w:rPr>
                <w:color w:val="31849b"/>
                <w:sz w:val="22"/>
                <w:szCs w:val="22"/>
              </w:rPr>
            </w:pPr>
            <w:r w:rsidDel="00000000" w:rsidR="00000000" w:rsidRPr="00000000">
              <w:rPr>
                <w:color w:val="31849b"/>
                <w:sz w:val="22"/>
                <w:szCs w:val="22"/>
                <w:rtl w:val="0"/>
              </w:rPr>
              <w:t xml:space="preserve">Tata Trent Limited</w:t>
            </w:r>
          </w:p>
        </w:tc>
      </w:tr>
      <w:tr>
        <w:trPr>
          <w:cantSplit w:val="0"/>
          <w:trHeight w:val="1335" w:hRule="atLeast"/>
          <w:tblHeader w:val="0"/>
        </w:trPr>
        <w:tc>
          <w:tcPr>
            <w:tcBorders>
              <w:top w:color="000000" w:space="0" w:sz="0" w:val="nil"/>
              <w:left w:color="000000" w:space="0" w:sz="0" w:val="nil"/>
              <w:bottom w:color="4f81bd" w:space="0" w:sz="5" w:val="single"/>
              <w:right w:color="92cdd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38">
            <w:pPr>
              <w:spacing w:after="240" w:before="240" w:line="360" w:lineRule="auto"/>
              <w:rPr>
                <w:i w:val="1"/>
                <w:iCs w:val="1"/>
                <w:color w:val="31849b"/>
                <w:sz w:val="22"/>
                <w:szCs w:val="22"/>
              </w:rPr>
            </w:pPr>
            <w:r w:rsidDel="00000000" w:rsidR="00000000" w:rsidRPr="00000000">
              <w:rPr>
                <w:i w:val="1"/>
                <w:iCs w:val="1"/>
                <w:color w:val="31849b"/>
                <w:sz w:val="22"/>
                <w:szCs w:val="22"/>
                <w:rtl w:val="0"/>
              </w:rPr>
              <w:t xml:space="preserve">Implementation of a Environmental Social Impact Assessment (ESIA) for Project funding of a Solar park in Gujarat (Charanka) which is spread over an area of 286 acres and a capacity of 65MW in line with World Bank regulations and the IFC standards along with community perception analysis.</w:t>
            </w:r>
          </w:p>
        </w:tc>
        <w:tc>
          <w:tcPr>
            <w:tcBorders>
              <w:top w:color="000000" w:space="0" w:sz="0" w:val="nil"/>
              <w:left w:color="000000" w:space="0" w:sz="0" w:val="nil"/>
              <w:bottom w:color="92cddc" w:space="0" w:sz="5" w:val="single"/>
              <w:right w:color="92cddc"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240" w:before="240" w:line="360" w:lineRule="auto"/>
              <w:jc w:val="center"/>
              <w:rPr>
                <w:color w:val="31849b"/>
                <w:sz w:val="22"/>
                <w:szCs w:val="22"/>
              </w:rPr>
            </w:pPr>
            <w:r w:rsidDel="00000000" w:rsidR="00000000" w:rsidRPr="00000000">
              <w:rPr>
                <w:color w:val="31849b"/>
                <w:sz w:val="22"/>
                <w:szCs w:val="22"/>
                <w:rtl w:val="0"/>
              </w:rPr>
              <w:t xml:space="preserve">Mahindra Susten – ESIA of a Solar Park in Patan, Gujarat</w:t>
            </w:r>
          </w:p>
        </w:tc>
      </w:tr>
    </w:tbl>
    <w:p w:rsidR="00000000" w:rsidDel="00000000" w:rsidP="00000000" w:rsidRDefault="00000000" w:rsidRPr="00000000" w14:paraId="0000003A">
      <w:pPr>
        <w:spacing w:after="240" w:before="240" w:lineRule="auto"/>
        <w:rPr/>
      </w:pPr>
      <w:r w:rsidDel="00000000" w:rsidR="00000000" w:rsidRPr="00000000">
        <w:rPr>
          <w:rtl w:val="0"/>
        </w:rPr>
      </w:r>
    </w:p>
    <w:sectPr>
      <w:type w:val="continuous"/>
      <w:pgSz w:h="16838" w:w="11906" w:orient="portrait"/>
      <w:pgMar w:bottom="1440" w:top="1135" w:left="1701" w:right="1826" w:header="708" w:footer="5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987680" cy="57989"/>
          <wp:effectExtent b="0" l="0" r="0" t="0"/>
          <wp:docPr descr="C:\Users\karon\Dropbox\RISE - 2013\MARCOM\Others\Four Colors.png" id="572921887" name="image2.png"/>
          <a:graphic>
            <a:graphicData uri="http://schemas.openxmlformats.org/drawingml/2006/picture">
              <pic:pic>
                <pic:nvPicPr>
                  <pic:cNvPr descr="C:\Users\karon\Dropbox\RISE - 2013\MARCOM\Others\Four Colors.png" id="0" name="image2.png"/>
                  <pic:cNvPicPr preferRelativeResize="0"/>
                </pic:nvPicPr>
                <pic:blipFill>
                  <a:blip r:embed="rId1"/>
                  <a:srcRect b="0" l="0" r="0" t="0"/>
                  <a:stretch>
                    <a:fillRect/>
                  </a:stretch>
                </pic:blipFill>
                <pic:spPr>
                  <a:xfrm>
                    <a:off x="0" y="0"/>
                    <a:ext cx="6987680" cy="5798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1"/>
        <w:szCs w:val="21"/>
        <w:u w:val="none"/>
        <w:shd w:fill="auto" w:val="clear"/>
        <w:vertAlign w:val="baseline"/>
        <w:rtl w:val="0"/>
      </w:rPr>
      <w:t xml:space="preserve">Partnerships * Entrepreneurship * Citizenship</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drawing>
        <wp:inline distB="0" distT="0" distL="0" distR="0">
          <wp:extent cx="5320665" cy="45085"/>
          <wp:effectExtent b="0" l="0" r="0" t="0"/>
          <wp:docPr id="5729218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320665" cy="450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Partnership * Entrepreneurship * Citizenship * Ownership</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line="360" w:lineRule="auto"/>
      <w:jc w:val="both"/>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rsid w:val="00726698"/>
    <w:rPr>
      <w:rFonts w:ascii="Arial" w:cs="Times New Roman" w:eastAsia="Times New Roman" w:hAnsi="Arial"/>
      <w:b w:val="1"/>
      <w:sz w:val="24"/>
      <w:szCs w:val="20"/>
      <w:lang w:val="en-US"/>
    </w:rPr>
  </w:style>
  <w:style w:type="character" w:styleId="Hyperlink">
    <w:name w:val="Hyperlink"/>
    <w:basedOn w:val="DefaultParagraphFont"/>
    <w:uiPriority w:val="99"/>
    <w:rsid w:val="00726698"/>
    <w:rPr>
      <w:color w:val="0000ff"/>
      <w:u w:val="single"/>
    </w:rPr>
  </w:style>
  <w:style w:type="paragraph" w:styleId="Header">
    <w:name w:val="header"/>
    <w:basedOn w:val="Normal"/>
    <w:link w:val="HeaderChar"/>
    <w:uiPriority w:val="99"/>
    <w:rsid w:val="00726698"/>
    <w:pPr>
      <w:tabs>
        <w:tab w:val="center" w:pos="4320"/>
        <w:tab w:val="right" w:pos="8640"/>
      </w:tabs>
    </w:pPr>
  </w:style>
  <w:style w:type="character" w:styleId="HeaderChar" w:customStyle="1">
    <w:name w:val="Header Char"/>
    <w:basedOn w:val="DefaultParagraphFont"/>
    <w:link w:val="Header"/>
    <w:uiPriority w:val="99"/>
    <w:rsid w:val="00726698"/>
    <w:rPr>
      <w:rFonts w:ascii="Times New Roman" w:cs="Times New Roman" w:eastAsia="Times New Roman" w:hAnsi="Times New Roman"/>
      <w:sz w:val="24"/>
      <w:szCs w:val="24"/>
      <w:lang w:val="en-US"/>
    </w:rPr>
  </w:style>
  <w:style w:type="paragraph" w:styleId="Footer">
    <w:name w:val="footer"/>
    <w:basedOn w:val="Normal"/>
    <w:link w:val="FooterChar"/>
    <w:uiPriority w:val="99"/>
    <w:rsid w:val="00726698"/>
    <w:pPr>
      <w:tabs>
        <w:tab w:val="center" w:pos="4320"/>
        <w:tab w:val="right" w:pos="8640"/>
      </w:tabs>
    </w:pPr>
  </w:style>
  <w:style w:type="character" w:styleId="FooterChar" w:customStyle="1">
    <w:name w:val="Footer Char"/>
    <w:basedOn w:val="DefaultParagraphFont"/>
    <w:link w:val="Footer"/>
    <w:uiPriority w:val="99"/>
    <w:rsid w:val="00726698"/>
    <w:rPr>
      <w:rFonts w:ascii="Times New Roman" w:cs="Times New Roman" w:eastAsia="Times New Roman" w:hAnsi="Times New Roman"/>
      <w:sz w:val="24"/>
      <w:szCs w:val="24"/>
      <w:lang w:val="en-US"/>
    </w:rPr>
  </w:style>
  <w:style w:type="paragraph" w:styleId="ListParagraph">
    <w:name w:val="List Paragraph"/>
    <w:basedOn w:val="Normal"/>
    <w:uiPriority w:val="34"/>
    <w:qFormat w:val="1"/>
    <w:rsid w:val="00726698"/>
    <w:pPr>
      <w:ind w:left="720"/>
      <w:contextualSpacing w:val="1"/>
    </w:pPr>
  </w:style>
  <w:style w:type="paragraph" w:styleId="BalloonText">
    <w:name w:val="Balloon Text"/>
    <w:basedOn w:val="Normal"/>
    <w:link w:val="BalloonTextChar"/>
    <w:uiPriority w:val="99"/>
    <w:semiHidden w:val="1"/>
    <w:unhideWhenUsed w:val="1"/>
    <w:rsid w:val="00726698"/>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26698"/>
    <w:rPr>
      <w:rFonts w:ascii="Tahoma" w:cs="Tahoma" w:eastAsia="Times New Roman" w:hAnsi="Tahoma"/>
      <w:sz w:val="16"/>
      <w:szCs w:val="16"/>
      <w:lang w:val="en-US"/>
    </w:rPr>
  </w:style>
  <w:style w:type="character" w:styleId="Heading1Char" w:customStyle="1">
    <w:name w:val="Heading 1 Char"/>
    <w:basedOn w:val="DefaultParagraphFont"/>
    <w:link w:val="Heading1"/>
    <w:uiPriority w:val="9"/>
    <w:rsid w:val="00726698"/>
    <w:rPr>
      <w:rFonts w:asciiTheme="majorHAnsi" w:cstheme="majorBidi" w:eastAsiaTheme="majorEastAsia" w:hAnsiTheme="majorHAnsi"/>
      <w:b w:val="1"/>
      <w:bCs w:val="1"/>
      <w:color w:val="365f91" w:themeColor="accent1" w:themeShade="0000BF"/>
      <w:sz w:val="28"/>
      <w:szCs w:val="28"/>
      <w:lang w:val="en-US"/>
    </w:rPr>
  </w:style>
  <w:style w:type="paragraph" w:styleId="NoSpacing">
    <w:name w:val="No Spacing"/>
    <w:uiPriority w:val="1"/>
    <w:qFormat w:val="1"/>
    <w:rsid w:val="00DE28C6"/>
    <w:pPr>
      <w:spacing w:after="0" w:line="240" w:lineRule="auto"/>
    </w:pPr>
    <w:rPr>
      <w:lang w:val="en-US"/>
    </w:rPr>
  </w:style>
  <w:style w:type="character" w:styleId="apple-converted-space" w:customStyle="1">
    <w:name w:val="apple-converted-space"/>
    <w:basedOn w:val="DefaultParagraphFont"/>
    <w:rsid w:val="00E81361"/>
  </w:style>
  <w:style w:type="character" w:styleId="Emphasis">
    <w:name w:val="Emphasis"/>
    <w:basedOn w:val="DefaultParagraphFont"/>
    <w:uiPriority w:val="20"/>
    <w:qFormat w:val="1"/>
    <w:rsid w:val="00E81361"/>
    <w:rPr>
      <w:i w:val="1"/>
      <w:iCs w:val="1"/>
    </w:rPr>
  </w:style>
  <w:style w:type="character" w:styleId="FollowedHyperlink">
    <w:name w:val="FollowedHyperlink"/>
    <w:basedOn w:val="DefaultParagraphFont"/>
    <w:uiPriority w:val="99"/>
    <w:semiHidden w:val="1"/>
    <w:unhideWhenUsed w:val="1"/>
    <w:rsid w:val="00E54B5F"/>
    <w:rPr>
      <w:color w:val="800080" w:themeColor="followedHyperlink"/>
      <w:u w:val="single"/>
    </w:rPr>
  </w:style>
  <w:style w:type="paragraph" w:styleId="PlainText">
    <w:name w:val="Plain Text"/>
    <w:basedOn w:val="Normal"/>
    <w:link w:val="PlainTextChar"/>
    <w:rsid w:val="000047CC"/>
    <w:pPr>
      <w:spacing w:line="312" w:lineRule="auto"/>
      <w:jc w:val="both"/>
    </w:pPr>
    <w:rPr>
      <w:rFonts w:ascii="Verdana" w:hAnsi="Verdana"/>
      <w:sz w:val="20"/>
      <w:szCs w:val="20"/>
    </w:rPr>
  </w:style>
  <w:style w:type="character" w:styleId="PlainTextChar" w:customStyle="1">
    <w:name w:val="Plain Text Char"/>
    <w:basedOn w:val="DefaultParagraphFont"/>
    <w:link w:val="PlainText"/>
    <w:rsid w:val="000047CC"/>
    <w:rPr>
      <w:rFonts w:ascii="Verdana" w:cs="Times New Roman" w:eastAsia="Times New Roman" w:hAnsi="Verdana"/>
      <w:sz w:val="20"/>
      <w:szCs w:val="20"/>
      <w:lang w:val="en-US"/>
    </w:rPr>
  </w:style>
  <w:style w:type="character" w:styleId="UnresolvedMention">
    <w:name w:val="Unresolved Mention"/>
    <w:basedOn w:val="DefaultParagraphFont"/>
    <w:uiPriority w:val="99"/>
    <w:rsid w:val="0030010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Gb074JZ9MBDlAq/43W42d19rA==">CgMxLjAyDWgub3Y5Z2c3ZTlmMHUyDmguM3RsZXVoa3YyNjFkMg5oLnV4ZDlmbjc4d2VxNzIOaC5hZXBha3RlYzk1cm0yDmguaXVvZXh5b3k5anh3Mg5oLmNpOXZrMndjYTZ3ZzIOaC43ZnprOWpqb2d4NnkyDmgueDFnbWs1Z3U4aDhuOAByITFVTFlJMWxUMTZPMWVNYnBRckxMa1VlQzkxMUV1SzFWNw==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2025-07-20T11:24:00Z</dcterms:created>
  <dc:creator>Devashish</dc:creator>
</cp:coreProperties>
</file>