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r>
    </w:p>
    <w:tbl>
      <w:tblPr>
        <w:tblStyle w:val="Table1"/>
        <w:tblW w:w="9264.0" w:type="dxa"/>
        <w:jc w:val="center"/>
        <w:tblLayout w:type="fixed"/>
        <w:tblLook w:val="0000"/>
      </w:tblPr>
      <w:tblGrid>
        <w:gridCol w:w="9264"/>
        <w:tblGridChange w:id="0">
          <w:tblGrid>
            <w:gridCol w:w="9264"/>
          </w:tblGrid>
        </w:tblGridChange>
      </w:tblGrid>
      <w:tr>
        <w:trPr>
          <w:cantSplit w:val="0"/>
          <w:trHeight w:val="1440" w:hRule="atLeast"/>
          <w:tblHeader w:val="0"/>
        </w:trPr>
        <w:tc>
          <w:tcPr>
            <w:tcBorders>
              <w:bottom w:color="4472c4" w:space="0" w:sz="4" w:val="single"/>
            </w:tcBorders>
            <w:tcMar>
              <w:top w:w="0.0" w:type="dxa"/>
              <w:left w:w="108.0" w:type="dxa"/>
              <w:bottom w:w="0.0" w:type="dxa"/>
              <w:right w:w="108.0" w:type="dxa"/>
            </w:tcMar>
            <w:vAlign w:val="center"/>
          </w:tcPr>
          <w:p w:rsidR="00000000" w:rsidDel="00000000" w:rsidP="00000000" w:rsidRDefault="00000000" w:rsidRPr="00000000" w14:paraId="0000000B">
            <w:pPr>
              <w:jc w:val="center"/>
              <w:rPr>
                <w:i w:val="1"/>
                <w:iCs w:val="1"/>
                <w:sz w:val="80"/>
                <w:szCs w:val="80"/>
              </w:rPr>
            </w:pPr>
            <w:bookmarkStart w:colFirst="0" w:colLast="0" w:name="_heading=h.sjoox9nkb1f0" w:id="0"/>
            <w:bookmarkEnd w:id="0"/>
            <w:r w:rsidDel="00000000" w:rsidR="00000000" w:rsidRPr="00000000">
              <w:rPr>
                <w:rFonts w:ascii="Calibri" w:cs="Calibri" w:eastAsia="Calibri" w:hAnsi="Calibri"/>
                <w:b w:val="1"/>
                <w:bCs w:val="1"/>
                <w:i w:val="1"/>
                <w:iCs w:val="1"/>
                <w:color w:val="333f50"/>
                <w:sz w:val="48"/>
                <w:szCs w:val="48"/>
                <w:rtl w:val="0"/>
              </w:rPr>
              <w:t xml:space="preserve">Impact Assessment of </w:t>
            </w:r>
            <w:r w:rsidDel="00000000" w:rsidR="00000000" w:rsidRPr="00000000">
              <w:rPr>
                <w:rFonts w:ascii="Calibri" w:cs="Calibri" w:eastAsia="Calibri" w:hAnsi="Calibri"/>
                <w:b w:val="1"/>
                <w:bCs w:val="1"/>
                <w:color w:val="333f50"/>
                <w:sz w:val="48"/>
                <w:szCs w:val="48"/>
                <w:rtl w:val="0"/>
              </w:rPr>
              <w:t xml:space="preserve">Britannia Nutrition Foundation’s </w:t>
            </w:r>
            <w:r w:rsidDel="00000000" w:rsidR="00000000" w:rsidRPr="00000000">
              <w:rPr>
                <w:rFonts w:ascii="Calibri" w:cs="Calibri" w:eastAsia="Calibri" w:hAnsi="Calibri"/>
                <w:b w:val="1"/>
                <w:bCs w:val="1"/>
                <w:i w:val="1"/>
                <w:iCs w:val="1"/>
                <w:color w:val="333f50"/>
                <w:sz w:val="48"/>
                <w:szCs w:val="48"/>
                <w:rtl w:val="0"/>
              </w:rPr>
              <w:t xml:space="preserve">CSR Programs</w:t>
            </w:r>
            <w:r w:rsidDel="00000000" w:rsidR="00000000" w:rsidRPr="00000000">
              <w:rPr>
                <w:rtl w:val="0"/>
              </w:rPr>
            </w:r>
          </w:p>
        </w:tc>
      </w:tr>
      <w:tr>
        <w:trPr>
          <w:cantSplit w:val="0"/>
          <w:trHeight w:val="720" w:hRule="atLeast"/>
          <w:tblHeader w:val="0"/>
        </w:trPr>
        <w:tc>
          <w:tcPr>
            <w:tcBorders>
              <w:top w:color="4472c4" w:space="0" w:sz="4" w:val="single"/>
            </w:tcBorders>
            <w:tcMar>
              <w:top w:w="0.0" w:type="dxa"/>
              <w:left w:w="108.0" w:type="dxa"/>
              <w:bottom w:w="0.0" w:type="dxa"/>
              <w:right w:w="108.0" w:type="dxa"/>
            </w:tcMar>
            <w:vAlign w:val="center"/>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44"/>
                <w:szCs w:val="44"/>
                <w:u w:val="none"/>
                <w:shd w:fill="auto" w:val="clear"/>
                <w:vertAlign w:val="baseline"/>
                <w:rtl w:val="0"/>
              </w:rPr>
              <w:t xml:space="preserve">[Type the document subtitle]</w:t>
            </w:r>
          </w:p>
        </w:tc>
      </w:tr>
      <w:tr>
        <w:trPr>
          <w:cantSplit w:val="0"/>
          <w:trHeight w:val="360" w:hRule="atLeast"/>
          <w:tblHeader w:val="0"/>
        </w:trPr>
        <w:tc>
          <w:tcPr>
            <w:tcMar>
              <w:top w:w="0.0" w:type="dxa"/>
              <w:left w:w="108.0" w:type="dxa"/>
              <w:bottom w:w="0.0" w:type="dxa"/>
              <w:right w:w="108.0" w:type="dxa"/>
            </w:tcMar>
            <w:vAlign w:val="center"/>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60" w:hRule="atLeast"/>
          <w:tblHeader w:val="0"/>
        </w:trPr>
        <w:tc>
          <w:tcPr>
            <w:tcMar>
              <w:top w:w="0.0" w:type="dxa"/>
              <w:left w:w="108.0" w:type="dxa"/>
              <w:bottom w:w="0.0" w:type="dxa"/>
              <w:right w:w="108.0" w:type="dxa"/>
            </w:tcM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Ankush Singh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Chief Development Officer</w:t>
            </w:r>
          </w:p>
        </w:tc>
      </w:tr>
      <w:tr>
        <w:trPr>
          <w:cantSplit w:val="0"/>
          <w:trHeight w:val="360" w:hRule="atLeast"/>
          <w:tblHeader w:val="0"/>
        </w:trPr>
        <w:tc>
          <w:tcPr>
            <w:tcMar>
              <w:top w:w="0.0" w:type="dxa"/>
              <w:left w:w="108.0" w:type="dxa"/>
              <w:bottom w:w="0.0" w:type="dxa"/>
              <w:right w:w="108.0" w:type="dxa"/>
            </w:tcMar>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[Pick the date]</w:t>
            </w:r>
          </w:p>
        </w:tc>
      </w:tr>
    </w:tbl>
    <w:p w:rsidR="00000000" w:rsidDel="00000000" w:rsidP="00000000" w:rsidRDefault="00000000" w:rsidRPr="00000000" w14:paraId="00000011">
      <w:pPr>
        <w:jc w:val="center"/>
        <w:rPr/>
      </w:pPr>
      <w:r w:rsidDel="00000000" w:rsidR="00000000" w:rsidRPr="00000000">
        <w:rPr>
          <w:rtl w:val="0"/>
        </w:rPr>
      </w:r>
    </w:p>
    <w:p w:rsidR="00000000" w:rsidDel="00000000" w:rsidP="00000000" w:rsidRDefault="00000000" w:rsidRPr="00000000" w14:paraId="00000012">
      <w:pPr>
        <w:jc w:val="cente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2255520</wp:posOffset>
            </wp:positionH>
            <wp:positionV relativeFrom="paragraph">
              <wp:posOffset>14604</wp:posOffset>
            </wp:positionV>
            <wp:extent cx="1234440" cy="645795"/>
            <wp:effectExtent b="0" l="0" r="0" t="0"/>
            <wp:wrapSquare wrapText="bothSides" distB="0" distT="0" distL="114300" distR="114300"/>
            <wp:docPr id="13" name="image3.png"/>
            <a:graphic>
              <a:graphicData uri="http://schemas.openxmlformats.org/drawingml/2006/picture">
                <pic:pic>
                  <pic:nvPicPr>
                    <pic:cNvPr id="0" name="image3.png"/>
                    <pic:cNvPicPr preferRelativeResize="0"/>
                  </pic:nvPicPr>
                  <pic:blipFill>
                    <a:blip r:embed="rId8"/>
                    <a:srcRect b="24160" l="0" r="0" t="23520"/>
                    <a:stretch>
                      <a:fillRect/>
                    </a:stretch>
                  </pic:blipFill>
                  <pic:spPr>
                    <a:xfrm>
                      <a:off x="0" y="0"/>
                      <a:ext cx="1234440" cy="645795"/>
                    </a:xfrm>
                    <a:prstGeom prst="rect"/>
                    <a:ln/>
                  </pic:spPr>
                </pic:pic>
              </a:graphicData>
            </a:graphic>
          </wp:anchor>
        </w:drawing>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jc w:val="cente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jc w:val="center"/>
        <w:rPr/>
      </w:pPr>
      <w:r w:rsidDel="00000000" w:rsidR="00000000" w:rsidRPr="00000000">
        <w:rPr>
          <w:rtl w:val="0"/>
        </w:rPr>
      </w:r>
    </w:p>
    <w:tbl>
      <w:tblPr>
        <w:tblStyle w:val="Table2"/>
        <w:tblpPr w:leftFromText="187" w:rightFromText="187" w:topFromText="0" w:bottomFromText="0" w:vertAnchor="page" w:horzAnchor="margin" w:tblpXSpec="center" w:tblpYSpec="bottom"/>
        <w:tblW w:w="9264.0" w:type="dxa"/>
        <w:jc w:val="left"/>
        <w:tblLayout w:type="fixed"/>
        <w:tblLook w:val="0000"/>
      </w:tblPr>
      <w:tblGrid>
        <w:gridCol w:w="9264"/>
        <w:tblGridChange w:id="0">
          <w:tblGrid>
            <w:gridCol w:w="9264"/>
          </w:tblGrid>
        </w:tblGridChange>
      </w:tblGrid>
      <w:tr>
        <w:trPr>
          <w:cantSplit w:val="0"/>
          <w:tblHeader w:val="0"/>
        </w:trPr>
        <w:tc>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Idobro Impact Solutions</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Ally Member – World Benchmarking Alliance (WBA)</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Institutional Member of Community of Evaluators, South Asia (CoE-SA)</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Member of Evaluation Community of India (ECOI)</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Founder Member – ECOI Maharashtra Chapter</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Member – South Asia Network of Impact Masters (SANIM) </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Member – Society for Entrepreneurship Education (SEE)</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Certified Women Owned Business – WEConnect International</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Awardee – UN Women Women Empowerment Principles (WEP)</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9">
            <w:pPr>
              <w:jc w:val="center"/>
              <w:rPr>
                <w:color w:val="000000"/>
                <w:sz w:val="20"/>
                <w:szCs w:val="20"/>
              </w:rPr>
            </w:pPr>
            <w:r w:rsidDel="00000000" w:rsidR="00000000" w:rsidRPr="00000000">
              <w:rPr>
                <w:color w:val="000000"/>
                <w:sz w:val="20"/>
                <w:szCs w:val="20"/>
                <w:rtl w:val="0"/>
              </w:rPr>
              <w:t xml:space="preserve">Registered Office: 121, East West Industrial Estate, Andheri-Kurla Road, Safed Pool, Mumbai – 400072</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+91 22 6573 0776 | </w:t>
            </w:r>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info@idobro.com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www.idobro.com</w:t>
            </w:r>
            <w:r w:rsidDel="00000000" w:rsidR="00000000" w:rsidRPr="00000000">
              <w:rPr>
                <w:rtl w:val="0"/>
              </w:rPr>
            </w:r>
          </w:p>
        </w:tc>
      </w:tr>
    </w:tbl>
    <w:p w:rsidR="00000000" w:rsidDel="00000000" w:rsidP="00000000" w:rsidRDefault="00000000" w:rsidRPr="00000000" w14:paraId="0000002B">
      <w:pPr>
        <w:rPr>
          <w:b w:val="0"/>
          <w:bCs w:val="0"/>
        </w:rPr>
        <w:sectPr>
          <w:headerReference r:id="rId9" w:type="default"/>
          <w:headerReference r:id="rId10" w:type="first"/>
          <w:headerReference r:id="rId11" w:type="even"/>
          <w:footerReference r:id="rId12" w:type="default"/>
          <w:footerReference r:id="rId13" w:type="first"/>
          <w:footerReference r:id="rId14" w:type="even"/>
          <w:pgSz w:h="16838" w:w="11906" w:orient="portrait"/>
          <w:pgMar w:bottom="1440" w:top="1134" w:left="1418" w:right="1440" w:header="709" w:footer="709"/>
          <w:pgNumType w:start="1"/>
          <w:titlePg w:val="1"/>
        </w:sect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pStyle w:val="Heading2"/>
        <w:spacing w:line="276" w:lineRule="auto"/>
        <w:rPr/>
      </w:pPr>
      <w:r w:rsidDel="00000000" w:rsidR="00000000" w:rsidRPr="00000000">
        <w:rPr>
          <w:rtl w:val="0"/>
        </w:rPr>
        <w:t xml:space="preserve">About Britannia Nutrition Foundation</w:t>
      </w:r>
      <w:r w:rsidDel="00000000" w:rsidR="00000000" w:rsidRPr="00000000">
        <w:rPr>
          <w:vertAlign w:val="superscript"/>
        </w:rPr>
        <w:footnoteReference w:customMarkFollows="0" w:id="0"/>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4590415</wp:posOffset>
            </wp:positionH>
            <wp:positionV relativeFrom="paragraph">
              <wp:posOffset>109855</wp:posOffset>
            </wp:positionV>
            <wp:extent cx="1428750" cy="1447800"/>
            <wp:effectExtent b="0" l="0" r="0" t="0"/>
            <wp:wrapSquare wrapText="bothSides" distB="0" distT="0" distL="114300" distR="114300"/>
            <wp:docPr descr="http://britannia.co.in/britannia-nutrition-foundation/img/bnf-logo.png" id="11" name="image1.png"/>
            <a:graphic>
              <a:graphicData uri="http://schemas.openxmlformats.org/drawingml/2006/picture">
                <pic:pic>
                  <pic:nvPicPr>
                    <pic:cNvPr descr="http://britannia.co.in/britannia-nutrition-foundation/img/bnf-logo.png" id="0" name="image1.png"/>
                    <pic:cNvPicPr preferRelativeResize="0"/>
                  </pic:nvPicPr>
                  <pic:blipFill>
                    <a:blip r:embed="rId15"/>
                    <a:srcRect b="0" l="0" r="0" t="0"/>
                    <a:stretch>
                      <a:fillRect/>
                    </a:stretch>
                  </pic:blipFill>
                  <pic:spPr>
                    <a:xfrm>
                      <a:off x="0" y="0"/>
                      <a:ext cx="1428750" cy="1447800"/>
                    </a:xfrm>
                    <a:prstGeom prst="rect"/>
                    <a:ln/>
                  </pic:spPr>
                </pic:pic>
              </a:graphicData>
            </a:graphic>
          </wp:anchor>
        </w:drawing>
      </w:r>
    </w:p>
    <w:p w:rsidR="00000000" w:rsidDel="00000000" w:rsidP="00000000" w:rsidRDefault="00000000" w:rsidRPr="00000000" w14:paraId="0000002E">
      <w:pPr>
        <w:spacing w:before="240" w:line="276" w:lineRule="auto"/>
        <w:jc w:val="both"/>
        <w:rPr>
          <w:sz w:val="22"/>
          <w:szCs w:val="22"/>
        </w:rPr>
      </w:pPr>
      <w:r w:rsidDel="00000000" w:rsidR="00000000" w:rsidRPr="00000000">
        <w:rPr>
          <w:sz w:val="22"/>
          <w:szCs w:val="22"/>
          <w:rtl w:val="0"/>
        </w:rPr>
        <w:t xml:space="preserve">Britannia Nutrition Foundation (BNF) is the social arm of Britannia. Set up in 2010 with the vision to help address malnutrition. Since its inception in 2010, Britannia Nutrition Foundation has focused on improving health and nutritional well-being of children and their communities. The programs are implemented through a multi-pronged approach that works at three levels:</w:t>
      </w:r>
    </w:p>
    <w:p w:rsidR="00000000" w:rsidDel="00000000" w:rsidP="00000000" w:rsidRDefault="00000000" w:rsidRPr="00000000" w14:paraId="0000002F">
      <w:pPr>
        <w:spacing w:before="240" w:line="276" w:lineRule="auto"/>
        <w:jc w:val="both"/>
        <w:rPr>
          <w:sz w:val="22"/>
          <w:szCs w:val="22"/>
        </w:rPr>
      </w:pPr>
      <w:r w:rsidDel="00000000" w:rsidR="00000000" w:rsidRPr="00000000">
        <w:rPr>
          <w:sz w:val="22"/>
          <w:szCs w:val="22"/>
          <w:rtl w:val="0"/>
        </w:rPr>
        <w:t xml:space="preserve">(i) At the Anganwadi Centre level, the Foundation provides capacity building support to the Anganwadi workers, helpers and ASHA workers thereby enabling them to deliver quality nutrition and health services for children, expectant/new mothers, and adolescent girls.</w:t>
      </w:r>
    </w:p>
    <w:p w:rsidR="00000000" w:rsidDel="00000000" w:rsidP="00000000" w:rsidRDefault="00000000" w:rsidRPr="00000000" w14:paraId="00000030">
      <w:pPr>
        <w:spacing w:before="240" w:line="276" w:lineRule="auto"/>
        <w:jc w:val="both"/>
        <w:rPr>
          <w:sz w:val="22"/>
          <w:szCs w:val="22"/>
        </w:rPr>
      </w:pPr>
      <w:r w:rsidDel="00000000" w:rsidR="00000000" w:rsidRPr="00000000">
        <w:rPr>
          <w:sz w:val="22"/>
          <w:szCs w:val="22"/>
          <w:rtl w:val="0"/>
        </w:rPr>
        <w:t xml:space="preserve">(ii) At the Community level, to foster community's participation &amp; ownership and through a behavior change-led intervention, the Foundation facilitates improvements in mothers' and caregivers' knowledge and practice of health, WASH and nutrition. Women are identified and trained to become community change agents</w:t>
      </w:r>
    </w:p>
    <w:p w:rsidR="00000000" w:rsidDel="00000000" w:rsidP="00000000" w:rsidRDefault="00000000" w:rsidRPr="00000000" w14:paraId="00000031">
      <w:pPr>
        <w:spacing w:before="240" w:line="276" w:lineRule="auto"/>
        <w:jc w:val="both"/>
        <w:rPr>
          <w:sz w:val="22"/>
          <w:szCs w:val="22"/>
        </w:rPr>
      </w:pPr>
      <w:r w:rsidDel="00000000" w:rsidR="00000000" w:rsidRPr="00000000">
        <w:rPr>
          <w:sz w:val="22"/>
          <w:szCs w:val="22"/>
          <w:rtl w:val="0"/>
        </w:rPr>
        <w:t xml:space="preserve">(iii) At the School level, by developing positive attitude and knowledge towards health, hygiene and nutrition practices, identifying and training adolescents to be Nutrition Champions.</w:t>
      </w:r>
    </w:p>
    <w:p w:rsidR="00000000" w:rsidDel="00000000" w:rsidP="00000000" w:rsidRDefault="00000000" w:rsidRPr="00000000" w14:paraId="00000032">
      <w:pPr>
        <w:spacing w:before="240" w:line="276" w:lineRule="auto"/>
        <w:jc w:val="both"/>
        <w:rPr>
          <w:sz w:val="22"/>
          <w:szCs w:val="22"/>
        </w:rPr>
      </w:pPr>
      <w:r w:rsidDel="00000000" w:rsidR="00000000" w:rsidRPr="00000000">
        <w:rPr>
          <w:sz w:val="22"/>
          <w:szCs w:val="22"/>
          <w:rtl w:val="0"/>
        </w:rPr>
        <w:t xml:space="preserve">The programmes are implemented in collaboration with the Integrated Child Development Services (ICDS) of the Department of Women &amp; Child Development, Health &amp; Education Department and other partners.</w:t>
      </w:r>
    </w:p>
    <w:p w:rsidR="00000000" w:rsidDel="00000000" w:rsidP="00000000" w:rsidRDefault="00000000" w:rsidRPr="00000000" w14:paraId="00000033">
      <w:pPr>
        <w:spacing w:before="240" w:line="276" w:lineRule="auto"/>
        <w:jc w:val="both"/>
        <w:rPr>
          <w:sz w:val="22"/>
          <w:szCs w:val="22"/>
        </w:rPr>
      </w:pPr>
      <w:r w:rsidDel="00000000" w:rsidR="00000000" w:rsidRPr="00000000">
        <w:rPr>
          <w:rtl w:val="0"/>
        </w:rPr>
      </w:r>
    </w:p>
    <w:p w:rsidR="00000000" w:rsidDel="00000000" w:rsidP="00000000" w:rsidRDefault="00000000" w:rsidRPr="00000000" w14:paraId="00000034">
      <w:pPr>
        <w:pStyle w:val="Heading2"/>
        <w:spacing w:line="276" w:lineRule="auto"/>
        <w:rPr/>
      </w:pPr>
      <w:r w:rsidDel="00000000" w:rsidR="00000000" w:rsidRPr="00000000">
        <w:rPr>
          <w:rtl w:val="0"/>
        </w:rPr>
        <w:t xml:space="preserve">Study Objective </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40" w:line="360" w:lineRule="auto"/>
        <w:ind w:left="720" w:right="0" w:hanging="360"/>
        <w:jc w:val="both"/>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To assess the impact of the BNF’s CSR programs and to identify the intended and unintended impact created and learnings from these programs for replication and/or scaling up</w:t>
      </w:r>
    </w:p>
    <w:p w:rsidR="00000000" w:rsidDel="00000000" w:rsidP="00000000" w:rsidRDefault="00000000" w:rsidRPr="00000000" w14:paraId="00000036">
      <w:pPr>
        <w:spacing w:before="240" w:line="276" w:lineRule="auto"/>
        <w:jc w:val="both"/>
        <w:rPr>
          <w:sz w:val="22"/>
          <w:szCs w:val="22"/>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spacing w:after="200" w:line="276" w:lineRule="auto"/>
        <w:rPr>
          <w:rFonts w:ascii="Calibri" w:cs="Calibri" w:eastAsia="Calibri" w:hAnsi="Calibri"/>
          <w:b w:val="1"/>
          <w:bCs w:val="1"/>
          <w:color w:val="002060"/>
          <w:sz w:val="28"/>
          <w:szCs w:val="28"/>
        </w:rPr>
      </w:pPr>
      <w:r w:rsidDel="00000000" w:rsidR="00000000" w:rsidRPr="00000000">
        <w:rPr>
          <w:rtl w:val="0"/>
        </w:rPr>
      </w:r>
    </w:p>
    <w:p w:rsidR="00000000" w:rsidDel="00000000" w:rsidP="00000000" w:rsidRDefault="00000000" w:rsidRPr="00000000" w14:paraId="0000003A">
      <w:pPr>
        <w:spacing w:after="200" w:line="276" w:lineRule="auto"/>
        <w:rPr>
          <w:rFonts w:ascii="Calibri" w:cs="Calibri" w:eastAsia="Calibri" w:hAnsi="Calibri"/>
          <w:b w:val="1"/>
          <w:bCs w:val="1"/>
          <w:color w:val="002060"/>
          <w:sz w:val="28"/>
          <w:szCs w:val="28"/>
        </w:rPr>
      </w:pPr>
      <w:r w:rsidDel="00000000" w:rsidR="00000000" w:rsidRPr="00000000">
        <w:rPr>
          <w:rtl w:val="0"/>
        </w:rPr>
      </w:r>
    </w:p>
    <w:p w:rsidR="00000000" w:rsidDel="00000000" w:rsidP="00000000" w:rsidRDefault="00000000" w:rsidRPr="00000000" w14:paraId="0000003B">
      <w:pPr>
        <w:spacing w:after="200" w:line="276" w:lineRule="auto"/>
        <w:rPr>
          <w:rFonts w:ascii="Calibri" w:cs="Calibri" w:eastAsia="Calibri" w:hAnsi="Calibri"/>
          <w:b w:val="1"/>
          <w:bCs w:val="1"/>
          <w:color w:val="002060"/>
          <w:sz w:val="28"/>
          <w:szCs w:val="28"/>
        </w:rPr>
      </w:pPr>
      <w:r w:rsidDel="00000000" w:rsidR="00000000" w:rsidRPr="00000000">
        <w:rPr>
          <w:rtl w:val="0"/>
        </w:rPr>
      </w:r>
    </w:p>
    <w:p w:rsidR="00000000" w:rsidDel="00000000" w:rsidP="00000000" w:rsidRDefault="00000000" w:rsidRPr="00000000" w14:paraId="0000003C">
      <w:pPr>
        <w:pStyle w:val="Heading2"/>
        <w:spacing w:after="235" w:lineRule="auto"/>
        <w:rPr/>
      </w:pPr>
      <w:r w:rsidDel="00000000" w:rsidR="00000000" w:rsidRPr="00000000">
        <w:rPr>
          <w:rtl w:val="0"/>
        </w:rPr>
        <w:t xml:space="preserve">Support from BNF </w:t>
      </w:r>
    </w:p>
    <w:p w:rsidR="00000000" w:rsidDel="00000000" w:rsidP="00000000" w:rsidRDefault="00000000" w:rsidRPr="00000000" w14:paraId="0000003D">
      <w:pPr>
        <w:spacing w:after="239" w:line="242" w:lineRule="auto"/>
        <w:ind w:left="17" w:hanging="10"/>
        <w:jc w:val="both"/>
        <w:rPr>
          <w:sz w:val="22"/>
          <w:szCs w:val="22"/>
        </w:rPr>
      </w:pPr>
      <w:r w:rsidDel="00000000" w:rsidR="00000000" w:rsidRPr="00000000">
        <w:rPr>
          <w:sz w:val="22"/>
          <w:szCs w:val="22"/>
          <w:rtl w:val="0"/>
        </w:rPr>
        <w:t xml:space="preserve">The following support would be appreciated from BNF</w:t>
      </w:r>
    </w:p>
    <w:p w:rsidR="00000000" w:rsidDel="00000000" w:rsidP="00000000" w:rsidRDefault="00000000" w:rsidRPr="00000000" w14:paraId="000000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77"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Dedicated SPOC: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Appointing a SPOC for each program and location for smooth data collection and stakeholder engagement</w:t>
      </w:r>
    </w:p>
    <w:p w:rsidR="00000000" w:rsidDel="00000000" w:rsidP="00000000" w:rsidRDefault="00000000" w:rsidRPr="00000000" w14:paraId="000000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77"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Stakeholder Information: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Providing contact details and introductions to relevant stakeholders, including AWC, partners, beneficiaries, and government departments</w:t>
      </w:r>
    </w:p>
    <w:p w:rsidR="00000000" w:rsidDel="00000000" w:rsidP="00000000" w:rsidRDefault="00000000" w:rsidRPr="00000000" w14:paraId="000000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77"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Beneficiary Coordination: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Assisting in connecting with beneficiaries for streamlined data collection and engagement</w:t>
      </w:r>
    </w:p>
    <w:p w:rsidR="00000000" w:rsidDel="00000000" w:rsidP="00000000" w:rsidRDefault="00000000" w:rsidRPr="00000000" w14:paraId="000000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77"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Program Documentation: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Sharing program reports (baseline, midline, others) and beneficiary details in an easy-to-analyze format</w:t>
      </w:r>
    </w:p>
    <w:p w:rsidR="00000000" w:rsidDel="00000000" w:rsidP="00000000" w:rsidRDefault="00000000" w:rsidRPr="00000000" w14:paraId="000000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77"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Health Records: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Providing health records of children from AWC and existing data for comparative analysis</w:t>
      </w:r>
    </w:p>
    <w:p w:rsidR="00000000" w:rsidDel="00000000" w:rsidP="00000000" w:rsidRDefault="00000000" w:rsidRPr="00000000" w14:paraId="000000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77"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Support to Identify resources: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Providing support to identify research investigators to assist with the data collection</w:t>
      </w:r>
    </w:p>
    <w:p w:rsidR="00000000" w:rsidDel="00000000" w:rsidP="00000000" w:rsidRDefault="00000000" w:rsidRPr="00000000" w14:paraId="000000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77"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Local language translation: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Translating all documents into local language as required.</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pStyle w:val="Heading2"/>
        <w:spacing w:after="235" w:lineRule="auto"/>
        <w:rPr/>
      </w:pPr>
      <w:r w:rsidDel="00000000" w:rsidR="00000000" w:rsidRPr="00000000">
        <w:rPr>
          <w:rtl w:val="0"/>
        </w:rPr>
        <w:t xml:space="preserve">Assumptions</w:t>
      </w:r>
    </w:p>
    <w:p w:rsidR="00000000" w:rsidDel="00000000" w:rsidP="00000000" w:rsidRDefault="00000000" w:rsidRPr="00000000" w14:paraId="00000047">
      <w:pPr>
        <w:numPr>
          <w:ilvl w:val="0"/>
          <w:numId w:val="3"/>
        </w:numPr>
        <w:spacing w:line="276" w:lineRule="auto"/>
        <w:ind w:left="377" w:hanging="360"/>
        <w:jc w:val="both"/>
        <w:rPr>
          <w:sz w:val="22"/>
          <w:szCs w:val="22"/>
        </w:rPr>
      </w:pPr>
      <w:r w:rsidDel="00000000" w:rsidR="00000000" w:rsidRPr="00000000">
        <w:rPr>
          <w:b w:val="1"/>
          <w:bCs w:val="1"/>
          <w:sz w:val="22"/>
          <w:szCs w:val="22"/>
          <w:rtl w:val="0"/>
        </w:rPr>
        <w:t xml:space="preserve">Daily Local Travel Support: </w:t>
      </w:r>
      <w:r w:rsidDel="00000000" w:rsidR="00000000" w:rsidRPr="00000000">
        <w:rPr>
          <w:sz w:val="22"/>
          <w:szCs w:val="22"/>
          <w:rtl w:val="0"/>
        </w:rPr>
        <w:t xml:space="preserve">BNF will provide</w:t>
      </w:r>
      <w:r w:rsidDel="00000000" w:rsidR="00000000" w:rsidRPr="00000000">
        <w:rPr>
          <w:b w:val="1"/>
          <w:bCs w:val="1"/>
          <w:sz w:val="22"/>
          <w:szCs w:val="22"/>
          <w:rtl w:val="0"/>
        </w:rPr>
        <w:t xml:space="preserve"> </w:t>
      </w:r>
      <w:r w:rsidDel="00000000" w:rsidR="00000000" w:rsidRPr="00000000">
        <w:rPr>
          <w:sz w:val="22"/>
          <w:szCs w:val="22"/>
          <w:rtl w:val="0"/>
        </w:rPr>
        <w:t xml:space="preserve">local travel support for daily data collection and stakeholder visits at all locations</w:t>
      </w:r>
    </w:p>
    <w:p w:rsidR="00000000" w:rsidDel="00000000" w:rsidP="00000000" w:rsidRDefault="00000000" w:rsidRPr="00000000" w14:paraId="00000048">
      <w:pPr>
        <w:numPr>
          <w:ilvl w:val="0"/>
          <w:numId w:val="3"/>
        </w:numPr>
        <w:spacing w:line="276" w:lineRule="auto"/>
        <w:ind w:left="377" w:hanging="360"/>
        <w:jc w:val="both"/>
        <w:rPr>
          <w:sz w:val="22"/>
          <w:szCs w:val="22"/>
        </w:rPr>
      </w:pPr>
      <w:r w:rsidDel="00000000" w:rsidR="00000000" w:rsidRPr="00000000">
        <w:rPr>
          <w:b w:val="1"/>
          <w:bCs w:val="1"/>
          <w:sz w:val="22"/>
          <w:szCs w:val="22"/>
          <w:rtl w:val="0"/>
        </w:rPr>
        <w:t xml:space="preserve">Comparative Analysis Clarification: </w:t>
      </w:r>
      <w:r w:rsidDel="00000000" w:rsidR="00000000" w:rsidRPr="00000000">
        <w:rPr>
          <w:sz w:val="22"/>
          <w:szCs w:val="22"/>
          <w:rtl w:val="0"/>
        </w:rPr>
        <w:t xml:space="preserve">The analysis will not include a comparative assessment between locations. If such analysis becomes necessary, adjustments to sample size and budget may be considered and revised accordingly.</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pStyle w:val="Heading2"/>
        <w:rPr/>
      </w:pPr>
      <w:r w:rsidDel="00000000" w:rsidR="00000000" w:rsidRPr="00000000">
        <w:rPr>
          <w:rtl w:val="0"/>
        </w:rPr>
        <w:t xml:space="preserve">Program Team Structure</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spacing w:after="200" w:line="276" w:lineRule="auto"/>
        <w:rPr>
          <w:color w:val="000000"/>
          <w:sz w:val="28"/>
          <w:szCs w:val="28"/>
        </w:rPr>
      </w:pPr>
      <w:r w:rsidDel="00000000" w:rsidR="00000000" w:rsidRPr="00000000">
        <w:rPr>
          <w:color w:val="000000"/>
          <w:sz w:val="28"/>
          <w:szCs w:val="28"/>
        </w:rPr>
        <w:drawing>
          <wp:inline distB="0" distT="0" distL="0" distR="0">
            <wp:extent cx="5225584" cy="2868457"/>
            <wp:effectExtent b="0" l="0" r="0" t="0"/>
            <wp:docPr id="12"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225584" cy="2868457"/>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spacing w:after="200" w:line="276" w:lineRule="auto"/>
        <w:rPr>
          <w:sz w:val="28"/>
          <w:szCs w:val="28"/>
        </w:rPr>
      </w:pPr>
      <w:r w:rsidDel="00000000" w:rsidR="00000000" w:rsidRPr="00000000">
        <w:rPr>
          <w:rtl w:val="0"/>
        </w:rPr>
      </w:r>
    </w:p>
    <w:p w:rsidR="00000000" w:rsidDel="00000000" w:rsidP="00000000" w:rsidRDefault="00000000" w:rsidRPr="00000000" w14:paraId="0000004E">
      <w:pPr>
        <w:pStyle w:val="Heading2"/>
        <w:rPr/>
      </w:pPr>
      <w:r w:rsidDel="00000000" w:rsidR="00000000" w:rsidRPr="00000000">
        <w:rPr>
          <w:rtl w:val="0"/>
        </w:rPr>
        <w:t xml:space="preserve">Other Projects</w:t>
      </w:r>
    </w:p>
    <w:tbl>
      <w:tblPr>
        <w:tblStyle w:val="Table3"/>
        <w:tblW w:w="9441.0" w:type="dxa"/>
        <w:jc w:val="left"/>
        <w:tblInd w:w="5.0" w:type="dxa"/>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000"/>
      </w:tblPr>
      <w:tblGrid>
        <w:gridCol w:w="7380"/>
        <w:gridCol w:w="2061"/>
        <w:tblGridChange w:id="0">
          <w:tblGrid>
            <w:gridCol w:w="7380"/>
            <w:gridCol w:w="2061"/>
          </w:tblGrid>
        </w:tblGridChange>
      </w:tblGrid>
      <w:tr>
        <w:trPr>
          <w:cantSplit w:val="0"/>
          <w:trHeight w:val="577"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108.0" w:type="dxa"/>
              <w:bottom w:w="0.0" w:type="dxa"/>
              <w:right w:w="108.0" w:type="dxa"/>
            </w:tcMar>
          </w:tcPr>
          <w:p w:rsidR="00000000" w:rsidDel="00000000" w:rsidP="00000000" w:rsidRDefault="00000000" w:rsidRPr="00000000" w14:paraId="0000004F">
            <w:pPr>
              <w:spacing w:line="360" w:lineRule="auto"/>
              <w:jc w:val="center"/>
              <w:rPr>
                <w:b w:val="1"/>
                <w:bCs w:val="1"/>
                <w:i w:val="1"/>
                <w:iCs w:val="1"/>
                <w:color w:val="2e75b5"/>
                <w:sz w:val="22"/>
                <w:szCs w:val="22"/>
              </w:rPr>
            </w:pPr>
            <w:r w:rsidDel="00000000" w:rsidR="00000000" w:rsidRPr="00000000">
              <w:rPr>
                <w:b w:val="1"/>
                <w:bCs w:val="1"/>
                <w:i w:val="1"/>
                <w:iCs w:val="1"/>
                <w:color w:val="2e75b5"/>
                <w:sz w:val="22"/>
                <w:szCs w:val="22"/>
                <w:rtl w:val="0"/>
              </w:rPr>
              <w:t xml:space="preserve">Project Description</w:t>
            </w:r>
          </w:p>
        </w:tc>
        <w:tc>
          <w:tcPr>
            <w:tcBorders>
              <w:top w:color="000000" w:space="0" w:sz="0" w:val="nil"/>
              <w:left w:color="9cc3e5" w:space="0" w:sz="4" w:val="single"/>
              <w:bottom w:color="9cc3e5" w:space="0" w:sz="4" w:val="single"/>
              <w:right w:color="000000" w:space="0" w:sz="0" w:val="nil"/>
            </w:tcBorders>
            <w:shd w:fill="ffffff" w:val="clear"/>
            <w:tcMar>
              <w:top w:w="0.0" w:type="dxa"/>
              <w:left w:w="108.0" w:type="dxa"/>
              <w:bottom w:w="0.0" w:type="dxa"/>
              <w:right w:w="108.0" w:type="dxa"/>
            </w:tcMar>
          </w:tcPr>
          <w:p w:rsidR="00000000" w:rsidDel="00000000" w:rsidP="00000000" w:rsidRDefault="00000000" w:rsidRPr="00000000" w14:paraId="00000050">
            <w:pPr>
              <w:spacing w:line="360" w:lineRule="auto"/>
              <w:jc w:val="center"/>
              <w:rPr>
                <w:b w:val="1"/>
                <w:bCs w:val="1"/>
                <w:color w:val="2e75b5"/>
                <w:sz w:val="22"/>
                <w:szCs w:val="22"/>
              </w:rPr>
            </w:pPr>
            <w:r w:rsidDel="00000000" w:rsidR="00000000" w:rsidRPr="00000000">
              <w:rPr>
                <w:b w:val="1"/>
                <w:bCs w:val="1"/>
                <w:color w:val="2e75b5"/>
                <w:sz w:val="22"/>
                <w:szCs w:val="22"/>
                <w:rtl w:val="0"/>
              </w:rPr>
              <w:t xml:space="preserve">Organization</w:t>
            </w:r>
          </w:p>
        </w:tc>
      </w:tr>
      <w:tr>
        <w:trPr>
          <w:cantSplit w:val="0"/>
          <w:trHeight w:val="577" w:hRule="atLeast"/>
          <w:tblHeader w:val="0"/>
        </w:trPr>
        <w:tc>
          <w:tcPr>
            <w:tcBorders>
              <w:top w:color="4472c4" w:space="0" w:sz="4" w:val="single"/>
              <w:left w:color="000000" w:space="0" w:sz="0" w:val="nil"/>
              <w:bottom w:color="000000" w:space="0" w:sz="0" w:val="nil"/>
              <w:right w:color="9cc3e5" w:space="0" w:sz="4" w:val="single"/>
            </w:tcBorders>
            <w:shd w:fill="ffffff" w:val="clear"/>
            <w:tcMar>
              <w:top w:w="0.0" w:type="dxa"/>
              <w:left w:w="108.0" w:type="dxa"/>
              <w:bottom w:w="0.0" w:type="dxa"/>
              <w:right w:w="108.0" w:type="dxa"/>
            </w:tcMar>
          </w:tcPr>
          <w:p w:rsidR="00000000" w:rsidDel="00000000" w:rsidP="00000000" w:rsidRDefault="00000000" w:rsidRPr="00000000" w14:paraId="00000051">
            <w:pPr>
              <w:spacing w:line="360" w:lineRule="auto"/>
              <w:jc w:val="left"/>
              <w:rPr>
                <w:i w:val="1"/>
                <w:iCs w:val="1"/>
                <w:color w:val="2e75b5"/>
                <w:sz w:val="22"/>
                <w:szCs w:val="22"/>
              </w:rPr>
            </w:pPr>
            <w:r w:rsidDel="00000000" w:rsidR="00000000" w:rsidRPr="00000000">
              <w:rPr>
                <w:i w:val="1"/>
                <w:iCs w:val="1"/>
                <w:color w:val="2e75b5"/>
                <w:sz w:val="22"/>
                <w:szCs w:val="22"/>
                <w:rtl w:val="0"/>
              </w:rPr>
              <w:t xml:space="preserve">Impact assessment of Partner NGO’s spread across India and in Kenya over 4 consecutive years. NGO Ranking Index designed for Partner Recognition</w:t>
            </w:r>
          </w:p>
          <w:p w:rsidR="00000000" w:rsidDel="00000000" w:rsidP="00000000" w:rsidRDefault="00000000" w:rsidRPr="00000000" w14:paraId="00000052">
            <w:pPr>
              <w:spacing w:line="360" w:lineRule="auto"/>
              <w:jc w:val="left"/>
              <w:rPr>
                <w:i w:val="0"/>
                <w:iCs w:val="0"/>
                <w:color w:val="2e75b5"/>
                <w:sz w:val="22"/>
                <w:szCs w:val="22"/>
              </w:rPr>
            </w:pPr>
            <w:r w:rsidDel="00000000" w:rsidR="00000000" w:rsidRPr="00000000">
              <w:rPr>
                <w:i w:val="1"/>
                <w:iCs w:val="1"/>
                <w:color w:val="2e75b5"/>
                <w:sz w:val="22"/>
                <w:szCs w:val="22"/>
                <w:rtl w:val="0"/>
              </w:rPr>
              <w:t xml:space="preserve">Communication Catalyst (SBCC), Nutrition Awards (3 years), Meri Pustik Rasoi (8 years) initiatives reaching 25 states of India</w:t>
            </w:r>
            <w:r w:rsidDel="00000000" w:rsidR="00000000" w:rsidRPr="00000000">
              <w:rPr>
                <w:rtl w:val="0"/>
              </w:rPr>
            </w:r>
          </w:p>
        </w:tc>
        <w:tc>
          <w:tcPr>
            <w:tcBorders>
              <w:top w:color="9cc3e5" w:space="0" w:sz="4" w:val="single"/>
              <w:left w:color="9cc3e5" w:space="0" w:sz="4" w:val="single"/>
              <w:bottom w:color="9cc3e5" w:space="0" w:sz="4" w:val="single"/>
              <w:right w:color="9cc3e5" w:space="0" w:sz="4" w:val="single"/>
            </w:tcBorders>
            <w:shd w:fill="deebf6" w:val="clear"/>
            <w:tcMar>
              <w:top w:w="0.0" w:type="dxa"/>
              <w:left w:w="108.0" w:type="dxa"/>
              <w:bottom w:w="0.0" w:type="dxa"/>
              <w:right w:w="108.0" w:type="dxa"/>
            </w:tcMar>
            <w:vAlign w:val="center"/>
          </w:tcPr>
          <w:p w:rsidR="00000000" w:rsidDel="00000000" w:rsidP="00000000" w:rsidRDefault="00000000" w:rsidRPr="00000000" w14:paraId="00000053">
            <w:pPr>
              <w:spacing w:line="360" w:lineRule="auto"/>
              <w:jc w:val="center"/>
              <w:rPr>
                <w:color w:val="2e75b5"/>
                <w:sz w:val="22"/>
                <w:szCs w:val="22"/>
              </w:rPr>
            </w:pPr>
            <w:r w:rsidDel="00000000" w:rsidR="00000000" w:rsidRPr="00000000">
              <w:rPr>
                <w:color w:val="2e75b5"/>
                <w:sz w:val="22"/>
                <w:szCs w:val="22"/>
                <w:rtl w:val="0"/>
              </w:rPr>
              <w:t xml:space="preserve">Glenmark Foundation</w:t>
            </w:r>
          </w:p>
          <w:p w:rsidR="00000000" w:rsidDel="00000000" w:rsidP="00000000" w:rsidRDefault="00000000" w:rsidRPr="00000000" w14:paraId="00000054">
            <w:pPr>
              <w:spacing w:line="360" w:lineRule="auto"/>
              <w:jc w:val="center"/>
              <w:rPr>
                <w:color w:val="2e75b5"/>
                <w:sz w:val="22"/>
                <w:szCs w:val="22"/>
              </w:rPr>
            </w:pPr>
            <w:r w:rsidDel="00000000" w:rsidR="00000000" w:rsidRPr="00000000">
              <w:rPr>
                <w:color w:val="2e75b5"/>
                <w:sz w:val="22"/>
                <w:szCs w:val="22"/>
                <w:rtl w:val="0"/>
              </w:rPr>
              <w:t xml:space="preserve">(15 years)</w:t>
            </w:r>
          </w:p>
        </w:tc>
      </w:tr>
      <w:tr>
        <w:trPr>
          <w:cantSplit w:val="0"/>
          <w:trHeight w:val="577" w:hRule="atLeast"/>
          <w:tblHeader w:val="0"/>
        </w:trPr>
        <w:tc>
          <w:tcPr>
            <w:tcBorders>
              <w:top w:color="4472c4" w:space="0" w:sz="4" w:val="single"/>
              <w:left w:color="000000" w:space="0" w:sz="0" w:val="nil"/>
              <w:bottom w:color="000000" w:space="0" w:sz="0" w:val="nil"/>
              <w:right w:color="9cc3e5" w:space="0" w:sz="4" w:val="single"/>
            </w:tcBorders>
            <w:shd w:fill="ffffff" w:val="clear"/>
            <w:tcMar>
              <w:top w:w="0.0" w:type="dxa"/>
              <w:left w:w="108.0" w:type="dxa"/>
              <w:bottom w:w="0.0" w:type="dxa"/>
              <w:right w:w="108.0" w:type="dxa"/>
            </w:tcMar>
          </w:tcPr>
          <w:p w:rsidR="00000000" w:rsidDel="00000000" w:rsidP="00000000" w:rsidRDefault="00000000" w:rsidRPr="00000000" w14:paraId="00000055">
            <w:pPr>
              <w:spacing w:line="360" w:lineRule="auto"/>
              <w:jc w:val="left"/>
              <w:rPr>
                <w:i w:val="1"/>
                <w:iCs w:val="1"/>
                <w:color w:val="2e75b5"/>
                <w:sz w:val="22"/>
                <w:szCs w:val="22"/>
              </w:rPr>
            </w:pPr>
            <w:r w:rsidDel="00000000" w:rsidR="00000000" w:rsidRPr="00000000">
              <w:rPr>
                <w:i w:val="1"/>
                <w:iCs w:val="1"/>
                <w:color w:val="2e75b5"/>
                <w:sz w:val="22"/>
                <w:szCs w:val="22"/>
                <w:rtl w:val="0"/>
              </w:rPr>
              <w:t xml:space="preserve">Design and development of a theory of change along with a detailed monitoring and evaluation framework to understand the impact of </w:t>
            </w:r>
            <w:r w:rsidDel="00000000" w:rsidR="00000000" w:rsidRPr="00000000">
              <w:rPr>
                <w:i w:val="1"/>
                <w:iCs w:val="1"/>
                <w:color w:val="000000"/>
                <w:sz w:val="22"/>
                <w:szCs w:val="22"/>
                <w:rtl w:val="0"/>
              </w:rPr>
              <w:t xml:space="preserve"> </w:t>
            </w:r>
            <w:r w:rsidDel="00000000" w:rsidR="00000000" w:rsidRPr="00000000">
              <w:rPr>
                <w:i w:val="1"/>
                <w:iCs w:val="1"/>
                <w:color w:val="2e75b5"/>
                <w:sz w:val="22"/>
                <w:szCs w:val="22"/>
                <w:rtl w:val="0"/>
              </w:rPr>
              <w:t xml:space="preserve">the Education &amp; Health program on the lives of the school students in 19 tea gardens, Jalpaiguri, West Bengal and recommendations to scale it up. Financial Literacy programs across 21 states of India. Employee engagement initiatives</w:t>
            </w:r>
            <w:r w:rsidDel="00000000" w:rsidR="00000000" w:rsidRPr="00000000">
              <w:rPr>
                <w:i w:val="1"/>
                <w:iCs w:val="1"/>
                <w:color w:val="000000"/>
                <w:sz w:val="22"/>
                <w:szCs w:val="22"/>
                <w:rtl w:val="0"/>
              </w:rPr>
              <w:t xml:space="preserve"> </w:t>
            </w:r>
            <w:r w:rsidDel="00000000" w:rsidR="00000000" w:rsidRPr="00000000">
              <w:rPr>
                <w:rtl w:val="0"/>
              </w:rPr>
            </w:r>
          </w:p>
        </w:tc>
        <w:tc>
          <w:tcPr>
            <w:tcBorders>
              <w:top w:color="9cc3e5" w:space="0" w:sz="4" w:val="single"/>
              <w:left w:color="9cc3e5" w:space="0" w:sz="4" w:val="single"/>
              <w:bottom w:color="9cc3e5" w:space="0" w:sz="4" w:val="single"/>
              <w:right w:color="9cc3e5" w:space="0" w:sz="4" w:val="single"/>
            </w:tcBorders>
            <w:tcMar>
              <w:top w:w="0.0" w:type="dxa"/>
              <w:left w:w="108.0" w:type="dxa"/>
              <w:bottom w:w="0.0" w:type="dxa"/>
              <w:right w:w="108.0" w:type="dxa"/>
            </w:tcMar>
            <w:vAlign w:val="center"/>
          </w:tcPr>
          <w:p w:rsidR="00000000" w:rsidDel="00000000" w:rsidP="00000000" w:rsidRDefault="00000000" w:rsidRPr="00000000" w14:paraId="00000056">
            <w:pPr>
              <w:spacing w:line="360" w:lineRule="auto"/>
              <w:jc w:val="center"/>
              <w:rPr>
                <w:color w:val="4472c4"/>
                <w:sz w:val="22"/>
                <w:szCs w:val="22"/>
              </w:rPr>
            </w:pPr>
            <w:r w:rsidDel="00000000" w:rsidR="00000000" w:rsidRPr="00000000">
              <w:rPr>
                <w:color w:val="4472c4"/>
                <w:sz w:val="22"/>
                <w:szCs w:val="22"/>
                <w:rtl w:val="0"/>
              </w:rPr>
              <w:t xml:space="preserve">Tata Capital Financial Services Ltd. </w:t>
            </w:r>
          </w:p>
          <w:p w:rsidR="00000000" w:rsidDel="00000000" w:rsidP="00000000" w:rsidRDefault="00000000" w:rsidRPr="00000000" w14:paraId="00000057">
            <w:pPr>
              <w:spacing w:line="360" w:lineRule="auto"/>
              <w:jc w:val="center"/>
              <w:rPr>
                <w:color w:val="2e75b5"/>
                <w:sz w:val="22"/>
                <w:szCs w:val="22"/>
              </w:rPr>
            </w:pPr>
            <w:r w:rsidDel="00000000" w:rsidR="00000000" w:rsidRPr="00000000">
              <w:rPr>
                <w:color w:val="4472c4"/>
                <w:sz w:val="22"/>
                <w:szCs w:val="22"/>
                <w:rtl w:val="0"/>
              </w:rPr>
              <w:t xml:space="preserve">(8 years)</w:t>
            </w:r>
            <w:r w:rsidDel="00000000" w:rsidR="00000000" w:rsidRPr="00000000">
              <w:rPr>
                <w:rtl w:val="0"/>
              </w:rPr>
            </w:r>
          </w:p>
        </w:tc>
      </w:tr>
      <w:tr>
        <w:trPr>
          <w:cantSplit w:val="0"/>
          <w:trHeight w:val="577" w:hRule="atLeast"/>
          <w:tblHeader w:val="0"/>
        </w:trPr>
        <w:tc>
          <w:tcPr>
            <w:tcBorders>
              <w:top w:color="4472c4" w:space="0" w:sz="4" w:val="single"/>
              <w:left w:color="000000" w:space="0" w:sz="0" w:val="nil"/>
              <w:bottom w:color="000000" w:space="0" w:sz="0" w:val="nil"/>
              <w:right w:color="9cc3e5" w:space="0" w:sz="4" w:val="single"/>
            </w:tcBorders>
            <w:shd w:fill="ffffff" w:val="clear"/>
            <w:tcMar>
              <w:top w:w="0.0" w:type="dxa"/>
              <w:left w:w="108.0" w:type="dxa"/>
              <w:bottom w:w="0.0" w:type="dxa"/>
              <w:right w:w="108.0" w:type="dxa"/>
            </w:tcMar>
          </w:tcPr>
          <w:p w:rsidR="00000000" w:rsidDel="00000000" w:rsidP="00000000" w:rsidRDefault="00000000" w:rsidRPr="00000000" w14:paraId="00000058">
            <w:pPr>
              <w:spacing w:line="360" w:lineRule="auto"/>
              <w:jc w:val="left"/>
              <w:rPr>
                <w:i w:val="1"/>
                <w:iCs w:val="1"/>
                <w:color w:val="2e75b5"/>
                <w:sz w:val="22"/>
                <w:szCs w:val="22"/>
              </w:rPr>
            </w:pPr>
            <w:r w:rsidDel="00000000" w:rsidR="00000000" w:rsidRPr="00000000">
              <w:rPr>
                <w:i w:val="1"/>
                <w:iCs w:val="1"/>
                <w:color w:val="2e75b5"/>
                <w:sz w:val="22"/>
                <w:szCs w:val="22"/>
                <w:rtl w:val="0"/>
              </w:rPr>
              <w:t xml:space="preserve">Due Diligence of partner NGO’s for the “Star &amp; Diya” Program thats supports NGO’s across India remotely for Educational and Health programs</w:t>
            </w:r>
          </w:p>
        </w:tc>
        <w:tc>
          <w:tcPr>
            <w:tcBorders>
              <w:top w:color="9cc3e5" w:space="0" w:sz="4" w:val="single"/>
              <w:left w:color="9cc3e5" w:space="0" w:sz="4" w:val="single"/>
              <w:bottom w:color="9cc3e5" w:space="0" w:sz="4" w:val="single"/>
              <w:right w:color="9cc3e5" w:space="0" w:sz="4" w:val="single"/>
            </w:tcBorders>
            <w:shd w:fill="deebf6" w:val="clear"/>
            <w:tcMar>
              <w:top w:w="0.0" w:type="dxa"/>
              <w:left w:w="108.0" w:type="dxa"/>
              <w:bottom w:w="0.0" w:type="dxa"/>
              <w:right w:w="108.0" w:type="dxa"/>
            </w:tcMar>
            <w:vAlign w:val="center"/>
          </w:tcPr>
          <w:p w:rsidR="00000000" w:rsidDel="00000000" w:rsidP="00000000" w:rsidRDefault="00000000" w:rsidRPr="00000000" w14:paraId="00000059">
            <w:pPr>
              <w:spacing w:line="360" w:lineRule="auto"/>
              <w:jc w:val="center"/>
              <w:rPr>
                <w:color w:val="2e75b5"/>
                <w:sz w:val="22"/>
                <w:szCs w:val="22"/>
              </w:rPr>
            </w:pPr>
            <w:r w:rsidDel="00000000" w:rsidR="00000000" w:rsidRPr="00000000">
              <w:rPr>
                <w:color w:val="2e75b5"/>
                <w:sz w:val="22"/>
                <w:szCs w:val="22"/>
                <w:rtl w:val="0"/>
              </w:rPr>
              <w:t xml:space="preserve">Tata Trent Limited</w:t>
            </w:r>
          </w:p>
          <w:p w:rsidR="00000000" w:rsidDel="00000000" w:rsidP="00000000" w:rsidRDefault="00000000" w:rsidRPr="00000000" w14:paraId="0000005A">
            <w:pPr>
              <w:spacing w:line="360" w:lineRule="auto"/>
              <w:jc w:val="center"/>
              <w:rPr>
                <w:color w:val="2e75b5"/>
                <w:sz w:val="22"/>
                <w:szCs w:val="22"/>
              </w:rPr>
            </w:pPr>
            <w:r w:rsidDel="00000000" w:rsidR="00000000" w:rsidRPr="00000000">
              <w:rPr>
                <w:color w:val="2e75b5"/>
                <w:sz w:val="22"/>
                <w:szCs w:val="22"/>
                <w:rtl w:val="0"/>
              </w:rPr>
              <w:t xml:space="preserve">(5 years)</w:t>
            </w:r>
          </w:p>
        </w:tc>
      </w:tr>
      <w:tr>
        <w:trPr>
          <w:cantSplit w:val="0"/>
          <w:trHeight w:val="577" w:hRule="atLeast"/>
          <w:tblHeader w:val="0"/>
        </w:trPr>
        <w:tc>
          <w:tcPr>
            <w:tcBorders>
              <w:top w:color="4472c4" w:space="0" w:sz="4" w:val="single"/>
              <w:left w:color="000000" w:space="0" w:sz="0" w:val="nil"/>
              <w:bottom w:color="000000" w:space="0" w:sz="0" w:val="nil"/>
              <w:right w:color="9cc3e5" w:space="0" w:sz="4" w:val="single"/>
            </w:tcBorders>
            <w:shd w:fill="ffffff" w:val="clear"/>
            <w:tcMar>
              <w:top w:w="0.0" w:type="dxa"/>
              <w:left w:w="108.0" w:type="dxa"/>
              <w:bottom w:w="0.0" w:type="dxa"/>
              <w:right w:w="108.0" w:type="dxa"/>
            </w:tcMar>
          </w:tcPr>
          <w:p w:rsidR="00000000" w:rsidDel="00000000" w:rsidP="00000000" w:rsidRDefault="00000000" w:rsidRPr="00000000" w14:paraId="0000005B">
            <w:pPr>
              <w:spacing w:line="360" w:lineRule="auto"/>
              <w:jc w:val="left"/>
              <w:rPr>
                <w:i w:val="1"/>
                <w:iCs w:val="1"/>
                <w:color w:val="2e75b5"/>
                <w:sz w:val="22"/>
                <w:szCs w:val="22"/>
              </w:rPr>
            </w:pPr>
            <w:r w:rsidDel="00000000" w:rsidR="00000000" w:rsidRPr="00000000">
              <w:rPr>
                <w:i w:val="1"/>
                <w:iCs w:val="1"/>
                <w:color w:val="2e75b5"/>
                <w:sz w:val="22"/>
                <w:szCs w:val="22"/>
                <w:rtl w:val="0"/>
              </w:rPr>
              <w:t xml:space="preserve">Baseline and Endline assessments across multiple years and different programs to assess the change brought about by the School Leadership Development Intervention (SLDI) with over 100 school headmasters</w:t>
            </w:r>
          </w:p>
        </w:tc>
        <w:tc>
          <w:tcPr>
            <w:tcBorders>
              <w:top w:color="9cc3e5" w:space="0" w:sz="4" w:val="single"/>
              <w:left w:color="9cc3e5" w:space="0" w:sz="4" w:val="single"/>
              <w:bottom w:color="9cc3e5" w:space="0" w:sz="4" w:val="single"/>
              <w:right w:color="9cc3e5" w:space="0" w:sz="4" w:val="single"/>
            </w:tcBorders>
            <w:tcMar>
              <w:top w:w="0.0" w:type="dxa"/>
              <w:left w:w="108.0" w:type="dxa"/>
              <w:bottom w:w="0.0" w:type="dxa"/>
              <w:right w:w="108.0" w:type="dxa"/>
            </w:tcMar>
            <w:vAlign w:val="center"/>
          </w:tcPr>
          <w:p w:rsidR="00000000" w:rsidDel="00000000" w:rsidP="00000000" w:rsidRDefault="00000000" w:rsidRPr="00000000" w14:paraId="0000005C">
            <w:pPr>
              <w:spacing w:line="360" w:lineRule="auto"/>
              <w:jc w:val="center"/>
              <w:rPr>
                <w:color w:val="2e75b5"/>
                <w:sz w:val="22"/>
                <w:szCs w:val="22"/>
              </w:rPr>
            </w:pPr>
            <w:r w:rsidDel="00000000" w:rsidR="00000000" w:rsidRPr="00000000">
              <w:rPr>
                <w:color w:val="4472c4"/>
                <w:sz w:val="22"/>
                <w:szCs w:val="22"/>
                <w:rtl w:val="0"/>
              </w:rPr>
              <w:t xml:space="preserve">Kotak Education Foundation (4 years)</w:t>
            </w:r>
            <w:r w:rsidDel="00000000" w:rsidR="00000000" w:rsidRPr="00000000">
              <w:rPr>
                <w:rtl w:val="0"/>
              </w:rPr>
            </w:r>
          </w:p>
        </w:tc>
      </w:tr>
      <w:tr>
        <w:trPr>
          <w:cantSplit w:val="0"/>
          <w:trHeight w:val="577" w:hRule="atLeast"/>
          <w:tblHeader w:val="0"/>
        </w:trPr>
        <w:tc>
          <w:tcPr>
            <w:tcBorders>
              <w:top w:color="4472c4" w:space="0" w:sz="4" w:val="single"/>
              <w:left w:color="000000" w:space="0" w:sz="0" w:val="nil"/>
              <w:bottom w:color="000000" w:space="0" w:sz="0" w:val="nil"/>
              <w:right w:color="9cc3e5" w:space="0" w:sz="4" w:val="single"/>
            </w:tcBorders>
            <w:shd w:fill="ffffff" w:val="clear"/>
            <w:tcMar>
              <w:top w:w="0.0" w:type="dxa"/>
              <w:left w:w="108.0" w:type="dxa"/>
              <w:bottom w:w="0.0" w:type="dxa"/>
              <w:right w:w="108.0" w:type="dxa"/>
            </w:tcMar>
          </w:tcPr>
          <w:p w:rsidR="00000000" w:rsidDel="00000000" w:rsidP="00000000" w:rsidRDefault="00000000" w:rsidRPr="00000000" w14:paraId="0000005D">
            <w:pPr>
              <w:spacing w:line="360" w:lineRule="auto"/>
              <w:jc w:val="left"/>
              <w:rPr>
                <w:i w:val="1"/>
                <w:iCs w:val="1"/>
                <w:color w:val="2e75b5"/>
                <w:sz w:val="22"/>
                <w:szCs w:val="22"/>
              </w:rPr>
            </w:pPr>
            <w:r w:rsidDel="00000000" w:rsidR="00000000" w:rsidRPr="00000000">
              <w:rPr>
                <w:i w:val="1"/>
                <w:iCs w:val="1"/>
                <w:color w:val="2e75b5"/>
                <w:sz w:val="22"/>
                <w:szCs w:val="22"/>
                <w:rtl w:val="0"/>
              </w:rPr>
              <w:t xml:space="preserve">CSR planning along with Impact Assessment study and Situation Analysis of projects across five states namely Karnataka, Maharashtra, Gujarat and Uttar Pradesh</w:t>
            </w:r>
          </w:p>
        </w:tc>
        <w:tc>
          <w:tcPr>
            <w:tcBorders>
              <w:top w:color="9cc3e5" w:space="0" w:sz="4" w:val="single"/>
              <w:left w:color="9cc3e5" w:space="0" w:sz="4" w:val="single"/>
              <w:bottom w:color="9cc3e5" w:space="0" w:sz="4" w:val="single"/>
              <w:right w:color="9cc3e5" w:space="0" w:sz="4" w:val="single"/>
            </w:tcBorders>
            <w:shd w:fill="deebf6" w:val="clear"/>
            <w:tcMar>
              <w:top w:w="0.0" w:type="dxa"/>
              <w:left w:w="108.0" w:type="dxa"/>
              <w:bottom w:w="0.0" w:type="dxa"/>
              <w:right w:w="108.0" w:type="dxa"/>
            </w:tcMar>
            <w:vAlign w:val="center"/>
          </w:tcPr>
          <w:p w:rsidR="00000000" w:rsidDel="00000000" w:rsidP="00000000" w:rsidRDefault="00000000" w:rsidRPr="00000000" w14:paraId="0000005E">
            <w:pPr>
              <w:spacing w:line="360" w:lineRule="auto"/>
              <w:jc w:val="center"/>
              <w:rPr>
                <w:color w:val="2e75b5"/>
                <w:sz w:val="22"/>
                <w:szCs w:val="22"/>
              </w:rPr>
            </w:pPr>
            <w:r w:rsidDel="00000000" w:rsidR="00000000" w:rsidRPr="00000000">
              <w:rPr>
                <w:color w:val="2e75b5"/>
                <w:sz w:val="22"/>
                <w:szCs w:val="22"/>
                <w:rtl w:val="0"/>
              </w:rPr>
              <w:t xml:space="preserve">Multi Commodity Exchange (MCX)</w:t>
            </w:r>
          </w:p>
          <w:p w:rsidR="00000000" w:rsidDel="00000000" w:rsidP="00000000" w:rsidRDefault="00000000" w:rsidRPr="00000000" w14:paraId="0000005F">
            <w:pPr>
              <w:spacing w:line="360" w:lineRule="auto"/>
              <w:jc w:val="center"/>
              <w:rPr>
                <w:color w:val="2e75b5"/>
                <w:sz w:val="22"/>
                <w:szCs w:val="22"/>
              </w:rPr>
            </w:pPr>
            <w:r w:rsidDel="00000000" w:rsidR="00000000" w:rsidRPr="00000000">
              <w:rPr>
                <w:color w:val="2e75b5"/>
                <w:sz w:val="22"/>
                <w:szCs w:val="22"/>
                <w:rtl w:val="0"/>
              </w:rPr>
              <w:t xml:space="preserve">3 years</w:t>
            </w:r>
          </w:p>
        </w:tc>
      </w:tr>
      <w:tr>
        <w:trPr>
          <w:cantSplit w:val="0"/>
          <w:trHeight w:val="577" w:hRule="atLeast"/>
          <w:tblHeader w:val="0"/>
        </w:trPr>
        <w:tc>
          <w:tcPr>
            <w:tcBorders>
              <w:top w:color="4472c4" w:space="0" w:sz="4" w:val="single"/>
              <w:left w:color="000000" w:space="0" w:sz="0" w:val="nil"/>
              <w:bottom w:color="000000" w:space="0" w:sz="0" w:val="nil"/>
              <w:right w:color="9cc3e5" w:space="0" w:sz="4" w:val="single"/>
            </w:tcBorders>
            <w:shd w:fill="ffffff" w:val="clear"/>
            <w:tcMar>
              <w:top w:w="0.0" w:type="dxa"/>
              <w:left w:w="108.0" w:type="dxa"/>
              <w:bottom w:w="0.0" w:type="dxa"/>
              <w:right w:w="108.0" w:type="dxa"/>
            </w:tcMar>
          </w:tcPr>
          <w:p w:rsidR="00000000" w:rsidDel="00000000" w:rsidP="00000000" w:rsidRDefault="00000000" w:rsidRPr="00000000" w14:paraId="00000060">
            <w:pPr>
              <w:spacing w:line="360" w:lineRule="auto"/>
              <w:jc w:val="left"/>
              <w:rPr>
                <w:i w:val="1"/>
                <w:iCs w:val="1"/>
                <w:color w:val="2e75b5"/>
                <w:sz w:val="22"/>
                <w:szCs w:val="22"/>
              </w:rPr>
            </w:pPr>
            <w:r w:rsidDel="00000000" w:rsidR="00000000" w:rsidRPr="00000000">
              <w:rPr>
                <w:i w:val="1"/>
                <w:iCs w:val="1"/>
                <w:color w:val="2e75b5"/>
                <w:sz w:val="22"/>
                <w:szCs w:val="22"/>
                <w:rtl w:val="0"/>
              </w:rPr>
              <w:t xml:space="preserve">Developed a Community  Perception Index  in Maharashtra and  Haridwar- Conducted over 3 years, the analysis provided valuable  insights that shaped the company's overall  program strategy and resulted in two regional coalitions</w:t>
            </w:r>
            <w:r w:rsidDel="00000000" w:rsidR="00000000" w:rsidRPr="00000000">
              <w:rPr>
                <w:rFonts w:ascii="Georgia" w:cs="Georgia" w:eastAsia="Georgia" w:hAnsi="Georgia"/>
                <w:i w:val="1"/>
                <w:iCs w:val="1"/>
                <w:color w:val="000000"/>
                <w:sz w:val="21"/>
                <w:szCs w:val="21"/>
                <w:rtl w:val="0"/>
              </w:rPr>
              <w:t xml:space="preserve"> </w:t>
            </w:r>
            <w:r w:rsidDel="00000000" w:rsidR="00000000" w:rsidRPr="00000000">
              <w:rPr>
                <w:i w:val="1"/>
                <w:iCs w:val="1"/>
                <w:color w:val="2e75b5"/>
                <w:sz w:val="22"/>
                <w:szCs w:val="22"/>
                <w:rtl w:val="0"/>
              </w:rPr>
              <w:t xml:space="preserve">and a Model School template for replication across geographies</w:t>
            </w:r>
            <w:r w:rsidDel="00000000" w:rsidR="00000000" w:rsidRPr="00000000">
              <w:rPr>
                <w:rFonts w:ascii="Georgia" w:cs="Georgia" w:eastAsia="Georgia" w:hAnsi="Georgia"/>
                <w:i w:val="1"/>
                <w:iCs w:val="1"/>
                <w:color w:val="000000"/>
                <w:sz w:val="21"/>
                <w:szCs w:val="21"/>
                <w:rtl w:val="0"/>
              </w:rPr>
              <w:t xml:space="preserve"> </w:t>
            </w:r>
            <w:r w:rsidDel="00000000" w:rsidR="00000000" w:rsidRPr="00000000">
              <w:rPr>
                <w:rtl w:val="0"/>
              </w:rPr>
            </w:r>
          </w:p>
        </w:tc>
        <w:tc>
          <w:tcPr>
            <w:tcBorders>
              <w:top w:color="9cc3e5" w:space="0" w:sz="4" w:val="single"/>
              <w:left w:color="9cc3e5" w:space="0" w:sz="4" w:val="single"/>
              <w:bottom w:color="9cc3e5" w:space="0" w:sz="4" w:val="single"/>
              <w:right w:color="9cc3e5" w:space="0" w:sz="4" w:val="single"/>
            </w:tcBorders>
            <w:tcMar>
              <w:top w:w="0.0" w:type="dxa"/>
              <w:left w:w="108.0" w:type="dxa"/>
              <w:bottom w:w="0.0" w:type="dxa"/>
              <w:right w:w="108.0" w:type="dxa"/>
            </w:tcMar>
            <w:vAlign w:val="center"/>
          </w:tcPr>
          <w:p w:rsidR="00000000" w:rsidDel="00000000" w:rsidP="00000000" w:rsidRDefault="00000000" w:rsidRPr="00000000" w14:paraId="00000061">
            <w:pPr>
              <w:spacing w:line="360" w:lineRule="auto"/>
              <w:jc w:val="center"/>
              <w:rPr>
                <w:color w:val="4472c4"/>
                <w:sz w:val="22"/>
                <w:szCs w:val="22"/>
              </w:rPr>
            </w:pPr>
            <w:r w:rsidDel="00000000" w:rsidR="00000000" w:rsidRPr="00000000">
              <w:rPr>
                <w:color w:val="4472c4"/>
                <w:sz w:val="22"/>
                <w:szCs w:val="22"/>
                <w:rtl w:val="0"/>
              </w:rPr>
              <w:t xml:space="preserve">Godrej Group</w:t>
            </w:r>
          </w:p>
          <w:p w:rsidR="00000000" w:rsidDel="00000000" w:rsidP="00000000" w:rsidRDefault="00000000" w:rsidRPr="00000000" w14:paraId="00000062">
            <w:pPr>
              <w:spacing w:line="360" w:lineRule="auto"/>
              <w:jc w:val="center"/>
              <w:rPr>
                <w:color w:val="2e75b5"/>
                <w:sz w:val="22"/>
                <w:szCs w:val="22"/>
              </w:rPr>
            </w:pPr>
            <w:r w:rsidDel="00000000" w:rsidR="00000000" w:rsidRPr="00000000">
              <w:rPr>
                <w:color w:val="4472c4"/>
                <w:sz w:val="22"/>
                <w:szCs w:val="22"/>
                <w:rtl w:val="0"/>
              </w:rPr>
              <w:t xml:space="preserve">(3 years)</w:t>
            </w:r>
            <w:r w:rsidDel="00000000" w:rsidR="00000000" w:rsidRPr="00000000">
              <w:rPr>
                <w:rtl w:val="0"/>
              </w:rPr>
            </w:r>
          </w:p>
        </w:tc>
      </w:tr>
      <w:tr>
        <w:trPr>
          <w:cantSplit w:val="0"/>
          <w:trHeight w:val="577" w:hRule="atLeast"/>
          <w:tblHeader w:val="0"/>
        </w:trPr>
        <w:tc>
          <w:tcPr>
            <w:tcBorders>
              <w:top w:color="4472c4" w:space="0" w:sz="4" w:val="single"/>
              <w:left w:color="000000" w:space="0" w:sz="0" w:val="nil"/>
              <w:bottom w:color="000000" w:space="0" w:sz="0" w:val="nil"/>
              <w:right w:color="9cc3e5" w:space="0" w:sz="4" w:val="single"/>
            </w:tcBorders>
            <w:shd w:fill="ffffff" w:val="clear"/>
            <w:tcMar>
              <w:top w:w="0.0" w:type="dxa"/>
              <w:left w:w="108.0" w:type="dxa"/>
              <w:bottom w:w="0.0" w:type="dxa"/>
              <w:right w:w="108.0" w:type="dxa"/>
            </w:tcMar>
          </w:tcPr>
          <w:p w:rsidR="00000000" w:rsidDel="00000000" w:rsidP="00000000" w:rsidRDefault="00000000" w:rsidRPr="00000000" w14:paraId="00000063">
            <w:pPr>
              <w:spacing w:line="360" w:lineRule="auto"/>
              <w:jc w:val="left"/>
              <w:rPr>
                <w:i w:val="1"/>
                <w:iCs w:val="1"/>
                <w:color w:val="2e75b5"/>
                <w:sz w:val="22"/>
                <w:szCs w:val="22"/>
              </w:rPr>
            </w:pPr>
            <w:r w:rsidDel="00000000" w:rsidR="00000000" w:rsidRPr="00000000">
              <w:rPr>
                <w:i w:val="1"/>
                <w:iCs w:val="1"/>
                <w:color w:val="2e75b5"/>
                <w:sz w:val="22"/>
                <w:szCs w:val="22"/>
                <w:rtl w:val="0"/>
              </w:rPr>
              <w:t xml:space="preserve">5 Country Needs Assessment Survey for VOPEs – Bangladesh, Bhutan, India, Nepal and Sri Lanka</w:t>
            </w:r>
          </w:p>
        </w:tc>
        <w:tc>
          <w:tcPr>
            <w:tcBorders>
              <w:top w:color="9cc3e5" w:space="0" w:sz="4" w:val="single"/>
              <w:left w:color="9cc3e5" w:space="0" w:sz="4" w:val="single"/>
              <w:bottom w:color="9cc3e5" w:space="0" w:sz="4" w:val="single"/>
              <w:right w:color="9cc3e5" w:space="0" w:sz="4" w:val="single"/>
            </w:tcBorders>
            <w:shd w:fill="deebf6" w:val="clear"/>
            <w:tcMar>
              <w:top w:w="0.0" w:type="dxa"/>
              <w:left w:w="108.0" w:type="dxa"/>
              <w:bottom w:w="0.0" w:type="dxa"/>
              <w:right w:w="108.0" w:type="dxa"/>
            </w:tcMar>
            <w:vAlign w:val="center"/>
          </w:tcPr>
          <w:p w:rsidR="00000000" w:rsidDel="00000000" w:rsidP="00000000" w:rsidRDefault="00000000" w:rsidRPr="00000000" w14:paraId="00000064">
            <w:pPr>
              <w:spacing w:line="360" w:lineRule="auto"/>
              <w:jc w:val="center"/>
              <w:rPr>
                <w:color w:val="2e75b5"/>
                <w:sz w:val="22"/>
                <w:szCs w:val="22"/>
              </w:rPr>
            </w:pPr>
            <w:r w:rsidDel="00000000" w:rsidR="00000000" w:rsidRPr="00000000">
              <w:rPr>
                <w:color w:val="2e75b5"/>
                <w:sz w:val="22"/>
                <w:szCs w:val="22"/>
                <w:rtl w:val="0"/>
              </w:rPr>
              <w:t xml:space="preserve">CoE South Asia &amp; Eval Partners (UN Chaired)</w:t>
            </w:r>
          </w:p>
        </w:tc>
      </w:tr>
      <w:tr>
        <w:trPr>
          <w:cantSplit w:val="0"/>
          <w:trHeight w:val="577" w:hRule="atLeast"/>
          <w:tblHeader w:val="0"/>
        </w:trPr>
        <w:tc>
          <w:tcPr>
            <w:tcBorders>
              <w:top w:color="4472c4" w:space="0" w:sz="4" w:val="single"/>
              <w:left w:color="000000" w:space="0" w:sz="0" w:val="nil"/>
              <w:bottom w:color="000000" w:space="0" w:sz="0" w:val="nil"/>
              <w:right w:color="9cc3e5" w:space="0" w:sz="4" w:val="single"/>
            </w:tcBorders>
            <w:shd w:fill="ffffff" w:val="clear"/>
            <w:tcMar>
              <w:top w:w="0.0" w:type="dxa"/>
              <w:left w:w="108.0" w:type="dxa"/>
              <w:bottom w:w="0.0" w:type="dxa"/>
              <w:right w:w="108.0" w:type="dxa"/>
            </w:tcMar>
          </w:tcPr>
          <w:p w:rsidR="00000000" w:rsidDel="00000000" w:rsidP="00000000" w:rsidRDefault="00000000" w:rsidRPr="00000000" w14:paraId="00000065">
            <w:pPr>
              <w:spacing w:line="360" w:lineRule="auto"/>
              <w:jc w:val="left"/>
              <w:rPr>
                <w:i w:val="1"/>
                <w:iCs w:val="1"/>
                <w:color w:val="2e75b5"/>
                <w:sz w:val="22"/>
                <w:szCs w:val="22"/>
              </w:rPr>
            </w:pPr>
            <w:r w:rsidDel="00000000" w:rsidR="00000000" w:rsidRPr="00000000">
              <w:rPr>
                <w:i w:val="1"/>
                <w:iCs w:val="1"/>
                <w:color w:val="2e75b5"/>
                <w:sz w:val="22"/>
                <w:szCs w:val="22"/>
                <w:rtl w:val="0"/>
              </w:rPr>
              <w:t xml:space="preserve">Design and development of a program on health and hygiene for school students followed by the implementation covering over 40,000 students in Ashramshalas</w:t>
            </w:r>
          </w:p>
        </w:tc>
        <w:tc>
          <w:tcPr>
            <w:tcBorders>
              <w:top w:color="9cc3e5" w:space="0" w:sz="4" w:val="single"/>
              <w:left w:color="9cc3e5" w:space="0" w:sz="4" w:val="single"/>
              <w:bottom w:color="9cc3e5" w:space="0" w:sz="4" w:val="single"/>
              <w:right w:color="9cc3e5" w:space="0" w:sz="4" w:val="single"/>
            </w:tcBorders>
            <w:tcMar>
              <w:top w:w="0.0" w:type="dxa"/>
              <w:left w:w="108.0" w:type="dxa"/>
              <w:bottom w:w="0.0" w:type="dxa"/>
              <w:right w:w="108.0" w:type="dxa"/>
            </w:tcMar>
            <w:vAlign w:val="center"/>
          </w:tcPr>
          <w:p w:rsidR="00000000" w:rsidDel="00000000" w:rsidP="00000000" w:rsidRDefault="00000000" w:rsidRPr="00000000" w14:paraId="00000066">
            <w:pPr>
              <w:spacing w:line="360" w:lineRule="auto"/>
              <w:jc w:val="center"/>
              <w:rPr>
                <w:color w:val="2e75b5"/>
                <w:sz w:val="22"/>
                <w:szCs w:val="22"/>
              </w:rPr>
            </w:pPr>
            <w:r w:rsidDel="00000000" w:rsidR="00000000" w:rsidRPr="00000000">
              <w:rPr>
                <w:color w:val="2e75b5"/>
                <w:sz w:val="22"/>
                <w:szCs w:val="22"/>
                <w:rtl w:val="0"/>
              </w:rPr>
              <w:t xml:space="preserve">VVF Limited</w:t>
            </w:r>
          </w:p>
        </w:tc>
      </w:tr>
      <w:tr>
        <w:trPr>
          <w:cantSplit w:val="0"/>
          <w:trHeight w:val="577" w:hRule="atLeast"/>
          <w:tblHeader w:val="0"/>
        </w:trPr>
        <w:tc>
          <w:tcPr>
            <w:tcBorders>
              <w:top w:color="4472c4" w:space="0" w:sz="4" w:val="single"/>
              <w:left w:color="000000" w:space="0" w:sz="0" w:val="nil"/>
              <w:bottom w:color="4472c4" w:space="0" w:sz="4" w:val="single"/>
              <w:right w:color="9cc3e5" w:space="0" w:sz="4" w:val="single"/>
            </w:tcBorders>
            <w:shd w:fill="ffffff" w:val="clear"/>
            <w:tcMar>
              <w:top w:w="0.0" w:type="dxa"/>
              <w:left w:w="108.0" w:type="dxa"/>
              <w:bottom w:w="0.0" w:type="dxa"/>
              <w:right w:w="108.0" w:type="dxa"/>
            </w:tcMar>
          </w:tcPr>
          <w:p w:rsidR="00000000" w:rsidDel="00000000" w:rsidP="00000000" w:rsidRDefault="00000000" w:rsidRPr="00000000" w14:paraId="00000067">
            <w:pPr>
              <w:spacing w:line="360" w:lineRule="auto"/>
              <w:jc w:val="left"/>
              <w:rPr>
                <w:i w:val="1"/>
                <w:iCs w:val="1"/>
                <w:color w:val="2e75b5"/>
                <w:sz w:val="22"/>
                <w:szCs w:val="22"/>
              </w:rPr>
            </w:pPr>
            <w:r w:rsidDel="00000000" w:rsidR="00000000" w:rsidRPr="00000000">
              <w:rPr>
                <w:i w:val="1"/>
                <w:iCs w:val="1"/>
                <w:color w:val="2e75b5"/>
                <w:sz w:val="22"/>
                <w:szCs w:val="22"/>
                <w:rtl w:val="0"/>
              </w:rPr>
              <w:t xml:space="preserve">Implementation of a Environmental Social Impact Assessment (ESIA) for Project funding of a Solar park in Gujarat (Charanka) which is spread over an area of 286 acres and a capacity of 65MW in line with World Bank regulations and the IFC standards along with community perception analysis.</w:t>
            </w:r>
          </w:p>
        </w:tc>
        <w:tc>
          <w:tcPr>
            <w:tcBorders>
              <w:top w:color="9cc3e5" w:space="0" w:sz="4" w:val="single"/>
              <w:left w:color="9cc3e5" w:space="0" w:sz="4" w:val="single"/>
              <w:bottom w:color="9cc3e5" w:space="0" w:sz="4" w:val="single"/>
              <w:right w:color="9cc3e5" w:space="0" w:sz="4" w:val="single"/>
            </w:tcBorders>
            <w:shd w:fill="deebf6" w:val="clear"/>
            <w:tcMar>
              <w:top w:w="0.0" w:type="dxa"/>
              <w:left w:w="108.0" w:type="dxa"/>
              <w:bottom w:w="0.0" w:type="dxa"/>
              <w:right w:w="108.0" w:type="dxa"/>
            </w:tcMar>
            <w:vAlign w:val="center"/>
          </w:tcPr>
          <w:p w:rsidR="00000000" w:rsidDel="00000000" w:rsidP="00000000" w:rsidRDefault="00000000" w:rsidRPr="00000000" w14:paraId="00000068">
            <w:pPr>
              <w:spacing w:line="360" w:lineRule="auto"/>
              <w:jc w:val="center"/>
              <w:rPr>
                <w:color w:val="2e75b5"/>
                <w:sz w:val="22"/>
                <w:szCs w:val="22"/>
              </w:rPr>
            </w:pPr>
            <w:r w:rsidDel="00000000" w:rsidR="00000000" w:rsidRPr="00000000">
              <w:rPr>
                <w:color w:val="2e75b5"/>
                <w:sz w:val="22"/>
                <w:szCs w:val="22"/>
                <w:rtl w:val="0"/>
              </w:rPr>
              <w:t xml:space="preserve">Mahindra Susten</w:t>
            </w:r>
          </w:p>
        </w:tc>
      </w:tr>
    </w:tbl>
    <w:p w:rsidR="00000000" w:rsidDel="00000000" w:rsidP="00000000" w:rsidRDefault="00000000" w:rsidRPr="00000000" w14:paraId="00000069">
      <w:pPr>
        <w:spacing w:after="200" w:line="276" w:lineRule="auto"/>
        <w:rPr>
          <w:rFonts w:ascii="Calibri" w:cs="Calibri" w:eastAsia="Calibri" w:hAnsi="Calibri"/>
          <w:b w:val="1"/>
          <w:bCs w:val="1"/>
          <w:color w:val="002060"/>
          <w:sz w:val="28"/>
          <w:szCs w:val="28"/>
        </w:rPr>
      </w:pPr>
      <w:r w:rsidDel="00000000" w:rsidR="00000000" w:rsidRPr="00000000">
        <w:rPr>
          <w:rtl w:val="0"/>
        </w:rPr>
      </w:r>
    </w:p>
    <w:p w:rsidR="00000000" w:rsidDel="00000000" w:rsidP="00000000" w:rsidRDefault="00000000" w:rsidRPr="00000000" w14:paraId="0000006A">
      <w:pPr>
        <w:spacing w:after="200" w:line="276" w:lineRule="auto"/>
        <w:rPr>
          <w:rFonts w:ascii="Calibri" w:cs="Calibri" w:eastAsia="Calibri" w:hAnsi="Calibri"/>
          <w:b w:val="1"/>
          <w:bCs w:val="1"/>
          <w:color w:val="002060"/>
          <w:sz w:val="28"/>
          <w:szCs w:val="28"/>
        </w:rPr>
      </w:pPr>
      <w:r w:rsidDel="00000000" w:rsidR="00000000" w:rsidRPr="00000000">
        <w:rPr>
          <w:rtl w:val="0"/>
        </w:rPr>
      </w:r>
    </w:p>
    <w:p w:rsidR="00000000" w:rsidDel="00000000" w:rsidP="00000000" w:rsidRDefault="00000000" w:rsidRPr="00000000" w14:paraId="0000006B">
      <w:pPr>
        <w:pStyle w:val="Heading3"/>
        <w:jc w:val="left"/>
        <w:rPr>
          <w:rFonts w:ascii="Times New Roman" w:cs="Times New Roman" w:eastAsia="Times New Roman" w:hAnsi="Times New Roman"/>
          <w:i w:val="0"/>
          <w:iCs w:val="0"/>
          <w:color w:val="000000"/>
          <w:sz w:val="28"/>
          <w:szCs w:val="28"/>
        </w:rPr>
      </w:pPr>
      <w:bookmarkStart w:colFirst="0" w:colLast="0" w:name="_heading=h.9cmismutdep2" w:id="1"/>
      <w:bookmarkEnd w:id="1"/>
      <w:r w:rsidDel="00000000" w:rsidR="00000000" w:rsidRPr="00000000">
        <w:rPr>
          <w:rFonts w:ascii="Times New Roman" w:cs="Times New Roman" w:eastAsia="Times New Roman" w:hAnsi="Times New Roman"/>
          <w:i w:val="0"/>
          <w:iCs w:val="0"/>
          <w:color w:val="000000"/>
          <w:sz w:val="28"/>
          <w:szCs w:val="28"/>
          <w:rtl w:val="0"/>
        </w:rPr>
        <w:t xml:space="preserve">Terms &amp; Conditions</w:t>
      </w:r>
    </w:p>
    <w:p w:rsidR="00000000" w:rsidDel="00000000" w:rsidP="00000000" w:rsidRDefault="00000000" w:rsidRPr="00000000" w14:paraId="0000006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2"/>
          <w:szCs w:val="22"/>
          <w:u w:val="none"/>
          <w:shd w:fill="auto" w:val="clear"/>
          <w:vertAlign w:val="baseline"/>
          <w:rtl w:val="0"/>
        </w:rPr>
        <w:t xml:space="preserve">Fees - Total amount plus GST/taxes as applicable</w:t>
      </w:r>
      <w:r w:rsidDel="00000000" w:rsidR="00000000" w:rsidRPr="00000000">
        <w:rPr>
          <w:rtl w:val="0"/>
        </w:rPr>
      </w:r>
    </w:p>
    <w:p w:rsidR="00000000" w:rsidDel="00000000" w:rsidP="00000000" w:rsidRDefault="00000000" w:rsidRPr="00000000" w14:paraId="0000006D">
      <w:pPr>
        <w:numPr>
          <w:ilvl w:val="0"/>
          <w:numId w:val="4"/>
        </w:numPr>
        <w:tabs>
          <w:tab w:val="left" w:leader="none" w:pos="720"/>
        </w:tabs>
        <w:spacing w:line="360" w:lineRule="auto"/>
        <w:ind w:left="720" w:hanging="360"/>
        <w:jc w:val="both"/>
        <w:rPr>
          <w:sz w:val="22"/>
          <w:szCs w:val="22"/>
        </w:rPr>
      </w:pPr>
      <w:r w:rsidDel="00000000" w:rsidR="00000000" w:rsidRPr="00000000">
        <w:rPr>
          <w:b w:val="1"/>
          <w:bCs w:val="1"/>
          <w:i w:val="1"/>
          <w:iCs w:val="1"/>
          <w:sz w:val="22"/>
          <w:szCs w:val="22"/>
          <w:rtl w:val="0"/>
        </w:rPr>
        <w:t xml:space="preserve">Extension / Scope</w:t>
      </w:r>
      <w:r w:rsidDel="00000000" w:rsidR="00000000" w:rsidRPr="00000000">
        <w:rPr>
          <w:sz w:val="22"/>
          <w:szCs w:val="22"/>
          <w:rtl w:val="0"/>
        </w:rPr>
        <w:t xml:space="preserve">––Change in requirements must be provided in writing. Extra efforts or cancellation of activities for which costs will be incurred to be borne by client. Management fees for any additional requirements over and above the scope at the start subject to approval</w:t>
      </w:r>
    </w:p>
    <w:p w:rsidR="00000000" w:rsidDel="00000000" w:rsidP="00000000" w:rsidRDefault="00000000" w:rsidRPr="00000000" w14:paraId="0000006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2"/>
          <w:szCs w:val="22"/>
          <w:u w:val="none"/>
          <w:shd w:fill="auto" w:val="clear"/>
          <w:vertAlign w:val="baseline"/>
          <w:rtl w:val="0"/>
        </w:rPr>
        <w:t xml:space="preserve">Extras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All extra market research and field surveys, database generation and management, content writing, collateral design and production, event participation or management, vendor fees, PR, social media campaigns, publication inserts and subscription, media and digital fees as per project requirements. Idobro does not provide any databases or contact details of potential organizations. Background information or research information will only be shared as deemed necessary by Idobro</w:t>
      </w:r>
    </w:p>
    <w:p w:rsidR="00000000" w:rsidDel="00000000" w:rsidP="00000000" w:rsidRDefault="00000000" w:rsidRPr="00000000" w14:paraId="0000006F">
      <w:pPr>
        <w:numPr>
          <w:ilvl w:val="0"/>
          <w:numId w:val="4"/>
        </w:numPr>
        <w:tabs>
          <w:tab w:val="left" w:leader="none" w:pos="720"/>
        </w:tabs>
        <w:spacing w:line="360" w:lineRule="auto"/>
        <w:ind w:left="720" w:hanging="360"/>
        <w:jc w:val="both"/>
        <w:rPr>
          <w:sz w:val="22"/>
          <w:szCs w:val="22"/>
        </w:rPr>
      </w:pPr>
      <w:r w:rsidDel="00000000" w:rsidR="00000000" w:rsidRPr="00000000">
        <w:rPr>
          <w:b w:val="1"/>
          <w:bCs w:val="1"/>
          <w:i w:val="1"/>
          <w:iCs w:val="1"/>
          <w:sz w:val="22"/>
          <w:szCs w:val="22"/>
          <w:rtl w:val="0"/>
        </w:rPr>
        <w:t xml:space="preserve">Acknowledgement</w:t>
      </w:r>
      <w:r w:rsidDel="00000000" w:rsidR="00000000" w:rsidRPr="00000000">
        <w:rPr>
          <w:sz w:val="22"/>
          <w:szCs w:val="22"/>
          <w:rtl w:val="0"/>
        </w:rPr>
        <w:t xml:space="preserve">– Citation of the results or reports should be as “Impact Study &amp; Analysis by Idobro” or as the Knowledge Partner in all forums and / or collateral.</w:t>
      </w:r>
    </w:p>
    <w:p w:rsidR="00000000" w:rsidDel="00000000" w:rsidP="00000000" w:rsidRDefault="00000000" w:rsidRPr="00000000" w14:paraId="00000070">
      <w:pPr>
        <w:numPr>
          <w:ilvl w:val="0"/>
          <w:numId w:val="4"/>
        </w:numPr>
        <w:tabs>
          <w:tab w:val="left" w:leader="none" w:pos="720"/>
        </w:tabs>
        <w:spacing w:line="360" w:lineRule="auto"/>
        <w:ind w:left="720" w:hanging="360"/>
        <w:jc w:val="both"/>
        <w:rPr>
          <w:sz w:val="22"/>
          <w:szCs w:val="22"/>
        </w:rPr>
      </w:pPr>
      <w:r w:rsidDel="00000000" w:rsidR="00000000" w:rsidRPr="00000000">
        <w:rPr>
          <w:b w:val="1"/>
          <w:bCs w:val="1"/>
          <w:i w:val="1"/>
          <w:iCs w:val="1"/>
          <w:sz w:val="22"/>
          <w:szCs w:val="22"/>
          <w:rtl w:val="0"/>
        </w:rPr>
        <w:t xml:space="preserve">Payment</w:t>
      </w:r>
      <w:r w:rsidDel="00000000" w:rsidR="00000000" w:rsidRPr="00000000">
        <w:rPr>
          <w:sz w:val="22"/>
          <w:szCs w:val="22"/>
          <w:rtl w:val="0"/>
        </w:rPr>
        <w:t xml:space="preserve">– 50 % shall be paid on signing the contract, 30 % on completion of one month of data collection, 20% on submission of final report</w:t>
      </w:r>
    </w:p>
    <w:p w:rsidR="00000000" w:rsidDel="00000000" w:rsidP="00000000" w:rsidRDefault="00000000" w:rsidRPr="00000000" w14:paraId="00000071">
      <w:pPr>
        <w:numPr>
          <w:ilvl w:val="0"/>
          <w:numId w:val="4"/>
        </w:numPr>
        <w:tabs>
          <w:tab w:val="left" w:leader="none" w:pos="720"/>
        </w:tabs>
        <w:spacing w:line="360" w:lineRule="auto"/>
        <w:ind w:left="720" w:hanging="360"/>
        <w:jc w:val="both"/>
        <w:rPr>
          <w:sz w:val="22"/>
          <w:szCs w:val="22"/>
        </w:rPr>
      </w:pPr>
      <w:r w:rsidDel="00000000" w:rsidR="00000000" w:rsidRPr="00000000">
        <w:rPr>
          <w:b w:val="1"/>
          <w:bCs w:val="1"/>
          <w:i w:val="1"/>
          <w:iCs w:val="1"/>
          <w:sz w:val="22"/>
          <w:szCs w:val="22"/>
          <w:rtl w:val="0"/>
        </w:rPr>
        <w:t xml:space="preserve">MOU </w:t>
      </w:r>
      <w:r w:rsidDel="00000000" w:rsidR="00000000" w:rsidRPr="00000000">
        <w:rPr>
          <w:sz w:val="22"/>
          <w:szCs w:val="22"/>
          <w:rtl w:val="0"/>
        </w:rPr>
        <w:t xml:space="preserve">– Non-exclusive, non-solicitation, confidentiality clauses mutually applicable</w:t>
      </w:r>
    </w:p>
    <w:p w:rsidR="00000000" w:rsidDel="00000000" w:rsidP="00000000" w:rsidRDefault="00000000" w:rsidRPr="00000000" w14:paraId="00000072">
      <w:pPr>
        <w:numPr>
          <w:ilvl w:val="0"/>
          <w:numId w:val="4"/>
        </w:numPr>
        <w:tabs>
          <w:tab w:val="left" w:leader="none" w:pos="720"/>
        </w:tabs>
        <w:spacing w:after="200" w:line="360" w:lineRule="auto"/>
        <w:ind w:left="720" w:hanging="360"/>
        <w:jc w:val="both"/>
        <w:rPr>
          <w:sz w:val="22"/>
          <w:szCs w:val="22"/>
        </w:rPr>
      </w:pPr>
      <w:r w:rsidDel="00000000" w:rsidR="00000000" w:rsidRPr="00000000">
        <w:rPr>
          <w:b w:val="1"/>
          <w:bCs w:val="1"/>
          <w:i w:val="1"/>
          <w:iCs w:val="1"/>
          <w:sz w:val="22"/>
          <w:szCs w:val="22"/>
          <w:rtl w:val="0"/>
        </w:rPr>
        <w:t xml:space="preserve">Termination</w:t>
      </w:r>
      <w:r w:rsidDel="00000000" w:rsidR="00000000" w:rsidRPr="00000000">
        <w:rPr>
          <w:sz w:val="22"/>
          <w:szCs w:val="22"/>
          <w:rtl w:val="0"/>
        </w:rPr>
        <w:t xml:space="preserve"> – One month written notice in advance.</w:t>
      </w:r>
    </w:p>
    <w:p w:rsidR="00000000" w:rsidDel="00000000" w:rsidP="00000000" w:rsidRDefault="00000000" w:rsidRPr="00000000" w14:paraId="00000073">
      <w:pPr>
        <w:spacing w:after="200" w:line="276" w:lineRule="auto"/>
        <w:rPr>
          <w:rFonts w:ascii="Calibri" w:cs="Calibri" w:eastAsia="Calibri" w:hAnsi="Calibri"/>
          <w:b w:val="1"/>
          <w:bCs w:val="1"/>
          <w:color w:val="002060"/>
          <w:sz w:val="28"/>
          <w:szCs w:val="28"/>
        </w:rPr>
      </w:pPr>
      <w:r w:rsidDel="00000000" w:rsidR="00000000" w:rsidRPr="00000000">
        <w:rPr>
          <w:rtl w:val="0"/>
        </w:rPr>
      </w:r>
    </w:p>
    <w:sectPr>
      <w:type w:val="nextPage"/>
      <w:pgSz w:h="16838" w:w="11906"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808080"/>
        <w:sz w:val="24"/>
        <w:szCs w:val="24"/>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A">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Idobro Impact Solutions - Confidential </w:t>
      <w:tab/>
      <w:tab/>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808080"/>
        <w:sz w:val="18"/>
        <w:szCs w:val="18"/>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hyperlink r:id="rId1">
        <w:r w:rsidDel="00000000" w:rsidR="00000000" w:rsidRPr="00000000">
          <w:rPr>
            <w:rFonts w:ascii="Times New Roman" w:cs="Times New Roman" w:eastAsia="Times New Roman" w:hAnsi="Times New Roman"/>
            <w:b w:val="0"/>
            <w:bCs w:val="0"/>
            <w:i w:val="0"/>
            <w:iCs w:val="0"/>
            <w:smallCaps w:val="0"/>
            <w:strike w:val="0"/>
            <w:color w:val="0000ff"/>
            <w:sz w:val="20"/>
            <w:szCs w:val="20"/>
            <w:u w:val="single"/>
            <w:shd w:fill="auto" w:val="clear"/>
            <w:vertAlign w:val="baseline"/>
            <w:rtl w:val="0"/>
          </w:rPr>
          <w:t xml:space="preserve">https://www.britannia.co.in/article/britannia-nutrition-foundation-commemorates-11-years-of-improving-health-nutritional-outcomes-for-children-women</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Name of RFP</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377" w:hanging="360"/>
      </w:pPr>
      <w:rPr>
        <w:rFonts w:ascii="Noto Sans Symbols" w:cs="Noto Sans Symbols" w:eastAsia="Noto Sans Symbols" w:hAnsi="Noto Sans Symbols"/>
      </w:rPr>
    </w:lvl>
    <w:lvl w:ilvl="1">
      <w:start w:val="1"/>
      <w:numFmt w:val="bullet"/>
      <w:lvlText w:val="o"/>
      <w:lvlJc w:val="left"/>
      <w:pPr>
        <w:ind w:left="1097" w:hanging="360"/>
      </w:pPr>
      <w:rPr>
        <w:rFonts w:ascii="Courier New" w:cs="Courier New" w:eastAsia="Courier New" w:hAnsi="Courier New"/>
      </w:rPr>
    </w:lvl>
    <w:lvl w:ilvl="2">
      <w:start w:val="1"/>
      <w:numFmt w:val="bullet"/>
      <w:lvlText w:val="▪"/>
      <w:lvlJc w:val="left"/>
      <w:pPr>
        <w:ind w:left="1817" w:hanging="360"/>
      </w:pPr>
      <w:rPr>
        <w:rFonts w:ascii="Noto Sans Symbols" w:cs="Noto Sans Symbols" w:eastAsia="Noto Sans Symbols" w:hAnsi="Noto Sans Symbols"/>
      </w:rPr>
    </w:lvl>
    <w:lvl w:ilvl="3">
      <w:start w:val="1"/>
      <w:numFmt w:val="bullet"/>
      <w:lvlText w:val="●"/>
      <w:lvlJc w:val="left"/>
      <w:pPr>
        <w:ind w:left="2537" w:hanging="360"/>
      </w:pPr>
      <w:rPr>
        <w:rFonts w:ascii="Noto Sans Symbols" w:cs="Noto Sans Symbols" w:eastAsia="Noto Sans Symbols" w:hAnsi="Noto Sans Symbols"/>
      </w:rPr>
    </w:lvl>
    <w:lvl w:ilvl="4">
      <w:start w:val="1"/>
      <w:numFmt w:val="bullet"/>
      <w:lvlText w:val="o"/>
      <w:lvlJc w:val="left"/>
      <w:pPr>
        <w:ind w:left="3257" w:hanging="360"/>
      </w:pPr>
      <w:rPr>
        <w:rFonts w:ascii="Courier New" w:cs="Courier New" w:eastAsia="Courier New" w:hAnsi="Courier New"/>
      </w:rPr>
    </w:lvl>
    <w:lvl w:ilvl="5">
      <w:start w:val="1"/>
      <w:numFmt w:val="bullet"/>
      <w:lvlText w:val="▪"/>
      <w:lvlJc w:val="left"/>
      <w:pPr>
        <w:ind w:left="3977" w:hanging="360"/>
      </w:pPr>
      <w:rPr>
        <w:rFonts w:ascii="Noto Sans Symbols" w:cs="Noto Sans Symbols" w:eastAsia="Noto Sans Symbols" w:hAnsi="Noto Sans Symbols"/>
      </w:rPr>
    </w:lvl>
    <w:lvl w:ilvl="6">
      <w:start w:val="1"/>
      <w:numFmt w:val="bullet"/>
      <w:lvlText w:val="●"/>
      <w:lvlJc w:val="left"/>
      <w:pPr>
        <w:ind w:left="4697" w:hanging="360"/>
      </w:pPr>
      <w:rPr>
        <w:rFonts w:ascii="Noto Sans Symbols" w:cs="Noto Sans Symbols" w:eastAsia="Noto Sans Symbols" w:hAnsi="Noto Sans Symbols"/>
      </w:rPr>
    </w:lvl>
    <w:lvl w:ilvl="7">
      <w:start w:val="1"/>
      <w:numFmt w:val="bullet"/>
      <w:lvlText w:val="o"/>
      <w:lvlJc w:val="left"/>
      <w:pPr>
        <w:ind w:left="5417" w:hanging="360"/>
      </w:pPr>
      <w:rPr>
        <w:rFonts w:ascii="Courier New" w:cs="Courier New" w:eastAsia="Courier New" w:hAnsi="Courier New"/>
      </w:rPr>
    </w:lvl>
    <w:lvl w:ilvl="8">
      <w:start w:val="1"/>
      <w:numFmt w:val="bullet"/>
      <w:lvlText w:val="▪"/>
      <w:lvlJc w:val="left"/>
      <w:pPr>
        <w:ind w:left="6137" w:hanging="360"/>
      </w:pPr>
      <w:rPr>
        <w:rFonts w:ascii="Noto Sans Symbols" w:cs="Noto Sans Symbols" w:eastAsia="Noto Sans Symbols" w:hAnsi="Noto Sans Symbols"/>
      </w:rPr>
    </w:lvl>
  </w:abstractNum>
  <w:abstractNum w:abstractNumId="3">
    <w:lvl w:ilvl="0">
      <w:start w:val="1"/>
      <w:numFmt w:val="bullet"/>
      <w:lvlText w:val="❖"/>
      <w:lvlJc w:val="left"/>
      <w:pPr>
        <w:ind w:left="377" w:hanging="360"/>
      </w:pPr>
      <w:rPr>
        <w:rFonts w:ascii="Noto Sans Symbols" w:cs="Noto Sans Symbols" w:eastAsia="Noto Sans Symbols" w:hAnsi="Noto Sans Symbols"/>
      </w:rPr>
    </w:lvl>
    <w:lvl w:ilvl="1">
      <w:start w:val="1"/>
      <w:numFmt w:val="bullet"/>
      <w:lvlText w:val="❖"/>
      <w:lvlJc w:val="left"/>
      <w:pPr>
        <w:ind w:left="1097" w:hanging="360"/>
      </w:pPr>
      <w:rPr>
        <w:rFonts w:ascii="Noto Sans Symbols" w:cs="Noto Sans Symbols" w:eastAsia="Noto Sans Symbols" w:hAnsi="Noto Sans Symbols"/>
      </w:rPr>
    </w:lvl>
    <w:lvl w:ilvl="2">
      <w:start w:val="1"/>
      <w:numFmt w:val="bullet"/>
      <w:lvlText w:val="▪"/>
      <w:lvlJc w:val="left"/>
      <w:pPr>
        <w:ind w:left="1817" w:hanging="360"/>
      </w:pPr>
      <w:rPr>
        <w:rFonts w:ascii="Noto Sans Symbols" w:cs="Noto Sans Symbols" w:eastAsia="Noto Sans Symbols" w:hAnsi="Noto Sans Symbols"/>
      </w:rPr>
    </w:lvl>
    <w:lvl w:ilvl="3">
      <w:start w:val="1"/>
      <w:numFmt w:val="bullet"/>
      <w:lvlText w:val="●"/>
      <w:lvlJc w:val="left"/>
      <w:pPr>
        <w:ind w:left="2537" w:hanging="360"/>
      </w:pPr>
      <w:rPr>
        <w:rFonts w:ascii="Noto Sans Symbols" w:cs="Noto Sans Symbols" w:eastAsia="Noto Sans Symbols" w:hAnsi="Noto Sans Symbols"/>
      </w:rPr>
    </w:lvl>
    <w:lvl w:ilvl="4">
      <w:start w:val="1"/>
      <w:numFmt w:val="bullet"/>
      <w:lvlText w:val="o"/>
      <w:lvlJc w:val="left"/>
      <w:pPr>
        <w:ind w:left="3257" w:hanging="360"/>
      </w:pPr>
      <w:rPr>
        <w:rFonts w:ascii="Courier New" w:cs="Courier New" w:eastAsia="Courier New" w:hAnsi="Courier New"/>
      </w:rPr>
    </w:lvl>
    <w:lvl w:ilvl="5">
      <w:start w:val="1"/>
      <w:numFmt w:val="bullet"/>
      <w:lvlText w:val="▪"/>
      <w:lvlJc w:val="left"/>
      <w:pPr>
        <w:ind w:left="3977" w:hanging="360"/>
      </w:pPr>
      <w:rPr>
        <w:rFonts w:ascii="Noto Sans Symbols" w:cs="Noto Sans Symbols" w:eastAsia="Noto Sans Symbols" w:hAnsi="Noto Sans Symbols"/>
      </w:rPr>
    </w:lvl>
    <w:lvl w:ilvl="6">
      <w:start w:val="1"/>
      <w:numFmt w:val="bullet"/>
      <w:lvlText w:val="●"/>
      <w:lvlJc w:val="left"/>
      <w:pPr>
        <w:ind w:left="4697" w:hanging="360"/>
      </w:pPr>
      <w:rPr>
        <w:rFonts w:ascii="Noto Sans Symbols" w:cs="Noto Sans Symbols" w:eastAsia="Noto Sans Symbols" w:hAnsi="Noto Sans Symbols"/>
      </w:rPr>
    </w:lvl>
    <w:lvl w:ilvl="7">
      <w:start w:val="1"/>
      <w:numFmt w:val="bullet"/>
      <w:lvlText w:val="o"/>
      <w:lvlJc w:val="left"/>
      <w:pPr>
        <w:ind w:left="5417" w:hanging="360"/>
      </w:pPr>
      <w:rPr>
        <w:rFonts w:ascii="Courier New" w:cs="Courier New" w:eastAsia="Courier New" w:hAnsi="Courier New"/>
      </w:rPr>
    </w:lvl>
    <w:lvl w:ilvl="8">
      <w:start w:val="1"/>
      <w:numFmt w:val="bullet"/>
      <w:lvlText w:val="▪"/>
      <w:lvlJc w:val="left"/>
      <w:pPr>
        <w:ind w:left="6137" w:hanging="360"/>
      </w:pPr>
      <w:rPr>
        <w:rFonts w:ascii="Noto Sans Symbols" w:cs="Noto Sans Symbols" w:eastAsia="Noto Sans Symbols" w:hAnsi="Noto Sans Symbols"/>
      </w:rPr>
    </w:lvl>
  </w:abstractNum>
  <w:abstractNum w:abstractNumId="4">
    <w:lvl w:ilvl="0">
      <w:start w:val="1"/>
      <w:numFmt w:val="decimal"/>
      <w:lvlText w:val="%1."/>
      <w:lvlJc w:val="left"/>
      <w:pPr>
        <w:ind w:left="360" w:hanging="360"/>
      </w:pPr>
      <w:rPr>
        <w:rFonts w:ascii="Times New Roman" w:cs="Times New Roman" w:eastAsia="Times New Roman" w:hAnsi="Times New Roman"/>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spacing w:before="200" w:lineRule="auto"/>
    </w:pPr>
    <w:rPr>
      <w:rFonts w:ascii="Calibri" w:cs="Calibri" w:eastAsia="Calibri" w:hAnsi="Calibri"/>
      <w:b w:val="1"/>
      <w:bCs w:val="1"/>
      <w:color w:val="002060"/>
      <w:sz w:val="28"/>
      <w:szCs w:val="28"/>
    </w:rPr>
  </w:style>
  <w:style w:type="paragraph" w:styleId="Heading3">
    <w:name w:val="heading 3"/>
    <w:basedOn w:val="Normal"/>
    <w:next w:val="Normal"/>
    <w:pPr>
      <w:keepNext w:val="1"/>
      <w:spacing w:line="360" w:lineRule="auto"/>
      <w:jc w:val="both"/>
    </w:pPr>
    <w:rPr>
      <w:rFonts w:ascii="Arial" w:cs="Arial" w:eastAsia="Arial" w:hAnsi="Arial"/>
      <w:b w:val="1"/>
      <w:bCs w:val="1"/>
      <w:i w:val="1"/>
      <w:iCs w:val="1"/>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4" w:default="1">
    <w:name w:val="Default Paragraph Font"/>
    <w:uiPriority w:val="1"/>
    <w:semiHidden w:val="1"/>
    <w:unhideWhenUsed w:val="1"/>
  </w:style>
  <w:style w:type="table" w:styleId="5" w:default="1">
    <w:name w:val="Normal Table"/>
    <w:uiPriority w:val="99"/>
    <w:semiHidden w:val="1"/>
    <w:unhideWhenUsed w:val="1"/>
    <w:qFormat w:val="1"/>
    <w:tblPr>
      <w:tblCellMar>
        <w:top w:w="0.0" w:type="dxa"/>
        <w:left w:w="108.0" w:type="dxa"/>
        <w:bottom w:w="0.0" w:type="dxa"/>
        <w:right w:w="108.0" w:type="dxa"/>
      </w:tblCellMar>
    </w:tblPr>
  </w:style>
  <w:style w:type="paragraph" w:styleId="6">
    <w:name w:val="footer"/>
    <w:basedOn w:val="1"/>
    <w:link w:val="18"/>
    <w:uiPriority w:val="99"/>
    <w:unhideWhenUsed w:val="1"/>
    <w:qFormat w:val="1"/>
    <w:pPr>
      <w:tabs>
        <w:tab w:val="center" w:pos="4680"/>
        <w:tab w:val="right" w:pos="9360"/>
      </w:tabs>
    </w:pPr>
  </w:style>
  <w:style w:type="character" w:styleId="7">
    <w:name w:val="footnote reference"/>
    <w:basedOn w:val="4"/>
    <w:uiPriority w:val="99"/>
    <w:semiHidden w:val="1"/>
    <w:unhideWhenUsed w:val="1"/>
    <w:qFormat w:val="1"/>
    <w:rPr>
      <w:vertAlign w:val="superscript"/>
    </w:rPr>
  </w:style>
  <w:style w:type="paragraph" w:styleId="8">
    <w:name w:val="footnote text"/>
    <w:basedOn w:val="1"/>
    <w:link w:val="17"/>
    <w:uiPriority w:val="99"/>
    <w:unhideWhenUsed w:val="1"/>
    <w:qFormat w:val="1"/>
    <w:rPr>
      <w:sz w:val="20"/>
      <w:szCs w:val="20"/>
    </w:rPr>
  </w:style>
  <w:style w:type="paragraph" w:styleId="9">
    <w:name w:val="header"/>
    <w:basedOn w:val="1"/>
    <w:link w:val="20"/>
    <w:uiPriority w:val="99"/>
    <w:unhideWhenUsed w:val="1"/>
    <w:qFormat w:val="1"/>
    <w:pPr>
      <w:tabs>
        <w:tab w:val="center" w:pos="4680"/>
        <w:tab w:val="right" w:pos="9360"/>
      </w:tabs>
    </w:pPr>
  </w:style>
  <w:style w:type="character" w:styleId="10">
    <w:name w:val="Hyperlink"/>
    <w:basedOn w:val="4"/>
    <w:uiPriority w:val="99"/>
    <w:qFormat w:val="1"/>
    <w:rPr>
      <w:color w:val="0000ff"/>
      <w:u w:val="single"/>
    </w:rPr>
  </w:style>
  <w:style w:type="character" w:styleId="11">
    <w:name w:val="Strong"/>
    <w:basedOn w:val="4"/>
    <w:uiPriority w:val="22"/>
    <w:qFormat w:val="1"/>
    <w:rPr>
      <w:b w:val="1"/>
      <w:bCs w:val="1"/>
    </w:rPr>
  </w:style>
  <w:style w:type="character" w:styleId="12" w:customStyle="1">
    <w:name w:val="Heading 2 Char"/>
    <w:basedOn w:val="4"/>
    <w:link w:val="2"/>
    <w:uiPriority w:val="9"/>
    <w:qFormat w:val="1"/>
    <w:rPr>
      <w:rFonts w:asciiTheme="majorHAnsi" w:cstheme="majorBidi" w:eastAsiaTheme="majorEastAsia" w:hAnsiTheme="majorHAnsi"/>
      <w:b w:val="1"/>
      <w:bCs w:val="1"/>
      <w:color w:val="002060"/>
      <w:kern w:val="0"/>
      <w:sz w:val="28"/>
      <w:szCs w:val="26"/>
      <w:lang w:eastAsia="en-US" w:val="en-US"/>
    </w:rPr>
  </w:style>
  <w:style w:type="character" w:styleId="13" w:customStyle="1">
    <w:name w:val="Heading 3 Char"/>
    <w:basedOn w:val="4"/>
    <w:link w:val="3"/>
    <w:uiPriority w:val="0"/>
    <w:qFormat w:val="1"/>
    <w:rPr>
      <w:rFonts w:ascii="Arial" w:cs="Times New Roman" w:eastAsia="Times New Roman" w:hAnsi="Arial"/>
      <w:b w:val="1"/>
      <w:i w:val="1"/>
      <w:kern w:val="0"/>
      <w:szCs w:val="20"/>
      <w:lang w:eastAsia="en-US" w:val="en-US"/>
    </w:rPr>
  </w:style>
  <w:style w:type="paragraph" w:styleId="14">
    <w:name w:val="List Paragraph"/>
    <w:basedOn w:val="1"/>
    <w:link w:val="19"/>
    <w:uiPriority w:val="34"/>
    <w:qFormat w:val="1"/>
    <w:pPr>
      <w:ind w:left="720"/>
      <w:contextualSpacing w:val="1"/>
    </w:pPr>
  </w:style>
  <w:style w:type="paragraph" w:styleId="15">
    <w:name w:val="No Spacing"/>
    <w:link w:val="16"/>
    <w:uiPriority w:val="1"/>
    <w:qFormat w:val="1"/>
    <w:rPr>
      <w:rFonts w:asciiTheme="minorHAnsi" w:cstheme="minorBidi" w:eastAsiaTheme="minorEastAsia" w:hAnsiTheme="minorHAnsi"/>
      <w:kern w:val="0"/>
      <w:sz w:val="22"/>
      <w:szCs w:val="22"/>
      <w:lang w:bidi="ar-SA" w:eastAsia="en-US" w:val="en-US"/>
    </w:rPr>
  </w:style>
  <w:style w:type="character" w:styleId="16" w:customStyle="1">
    <w:name w:val="No Spacing Char"/>
    <w:basedOn w:val="4"/>
    <w:link w:val="15"/>
    <w:uiPriority w:val="1"/>
    <w:qFormat w:val="1"/>
    <w:rPr>
      <w:kern w:val="0"/>
      <w:sz w:val="22"/>
      <w:szCs w:val="22"/>
      <w:lang w:eastAsia="en-US" w:val="en-US"/>
    </w:rPr>
  </w:style>
  <w:style w:type="character" w:styleId="17" w:customStyle="1">
    <w:name w:val="Footnote Text Char"/>
    <w:basedOn w:val="4"/>
    <w:link w:val="8"/>
    <w:uiPriority w:val="99"/>
    <w:qFormat w:val="1"/>
    <w:rPr>
      <w:rFonts w:ascii="Times New Roman" w:cs="Times New Roman" w:eastAsia="Times New Roman" w:hAnsi="Times New Roman"/>
      <w:kern w:val="0"/>
      <w:sz w:val="20"/>
      <w:szCs w:val="20"/>
      <w:lang w:eastAsia="en-US" w:val="en-US"/>
    </w:rPr>
  </w:style>
  <w:style w:type="character" w:styleId="18" w:customStyle="1">
    <w:name w:val="Footer Char"/>
    <w:basedOn w:val="4"/>
    <w:link w:val="6"/>
    <w:uiPriority w:val="99"/>
    <w:qFormat w:val="1"/>
    <w:rPr>
      <w:rFonts w:ascii="Times New Roman" w:cs="Times New Roman" w:eastAsia="Times New Roman" w:hAnsi="Times New Roman"/>
      <w:kern w:val="0"/>
      <w:lang w:eastAsia="en-US" w:val="en-US"/>
    </w:rPr>
  </w:style>
  <w:style w:type="character" w:styleId="19" w:customStyle="1">
    <w:name w:val="List Paragraph Char"/>
    <w:link w:val="14"/>
    <w:uiPriority w:val="34"/>
    <w:qFormat w:val="1"/>
    <w:rPr>
      <w:rFonts w:ascii="Times New Roman" w:cs="Times New Roman" w:eastAsia="Times New Roman" w:hAnsi="Times New Roman"/>
      <w:kern w:val="0"/>
      <w:lang w:eastAsia="en-US" w:val="en-US"/>
    </w:rPr>
  </w:style>
  <w:style w:type="character" w:styleId="20" w:customStyle="1">
    <w:name w:val="Header Char"/>
    <w:basedOn w:val="4"/>
    <w:link w:val="9"/>
    <w:uiPriority w:val="99"/>
    <w:qFormat w:val="1"/>
    <w:rPr>
      <w:rFonts w:ascii="Times New Roman" w:cs="Times New Roman" w:eastAsia="Times New Roman" w:hAnsi="Times New Roman"/>
      <w:kern w:val="0"/>
      <w:lang w:eastAsia="en-US" w:val="en-US"/>
    </w:rPr>
  </w:style>
  <w:style w:type="table" w:styleId="21" w:customStyle="1">
    <w:name w:val="Grid Table 7 Colorful - Accent 51"/>
    <w:basedOn w:val="5"/>
    <w:uiPriority w:val="52"/>
    <w:qFormat w:val="1"/>
    <w:rPr>
      <w:rFonts w:eastAsiaTheme="minorHAnsi"/>
      <w:color w:val="2e75b6" w:themeColor="accent5" w:themeShade="0000BF"/>
      <w:kern w:val="0"/>
      <w:sz w:val="22"/>
      <w:szCs w:val="22"/>
      <w:lang w:eastAsia="en-US"/>
    </w:rPr>
    <w:tblPr>
      <w:tblBorders>
        <w:top w:color="9cc2e5" w:space="0" w:sz="4" w:themeColor="accent5" w:themeTint="000099" w:val="single"/>
        <w:left w:color="9cc2e5" w:space="0" w:sz="4" w:themeColor="accent5" w:themeTint="000099" w:val="single"/>
        <w:bottom w:color="9cc2e5" w:space="0" w:sz="4" w:themeColor="accent5" w:themeTint="000099" w:val="single"/>
        <w:right w:color="9cc2e5" w:space="0" w:sz="4" w:themeColor="accent5" w:themeTint="000099" w:val="single"/>
        <w:insideH w:color="9cc2e5" w:space="0" w:sz="4" w:themeColor="accent5" w:themeTint="000099" w:val="single"/>
        <w:insideV w:color="9cc2e5" w:space="0" w:sz="4" w:themeColor="accent5" w:themeTint="000099" w:val="single"/>
      </w:tblBorders>
    </w:tblPr>
    <w:tblStylePr w:type="firstRow">
      <w:rPr>
        <w:b w:val="1"/>
        <w:bCs w:val="1"/>
      </w:rPr>
      <w:tcPr>
        <w:tcBorders>
          <w:top w:space="0" w:sz="0" w:val="nil"/>
          <w:left w:space="0" w:sz="0" w:val="nil"/>
          <w:right w:space="0" w:sz="0" w:val="nil"/>
          <w:insideH w:space="0" w:sz="0" w:val="nil"/>
          <w:insideV w:space="0" w:sz="0" w:val="nil"/>
        </w:tcBorders>
        <w:shd w:color="auto" w:fill="ffffff" w:themeFill="background1" w:val="clear"/>
      </w:tcPr>
    </w:tblStylePr>
    <w:tblStylePr w:type="lastRow">
      <w:rPr>
        <w:b w:val="1"/>
        <w:bCs w:val="1"/>
      </w:rPr>
      <w:tcPr>
        <w:tcBorders>
          <w:left w:space="0" w:sz="0" w:val="nil"/>
          <w:bottom w:space="0" w:sz="0" w:val="nil"/>
          <w:right w:space="0" w:sz="0" w:val="nil"/>
          <w:insideH w:space="0" w:sz="0" w:val="nil"/>
          <w:insideV w:space="0" w:sz="0" w:val="nil"/>
        </w:tcBorders>
        <w:shd w:color="auto" w:fill="ffffff" w:themeFill="background1" w:val="clear"/>
      </w:tcPr>
    </w:tblStylePr>
    <w:tblStylePr w:type="firstCol">
      <w:pPr>
        <w:jc w:val="right"/>
      </w:pPr>
      <w:rPr>
        <w:i w:val="1"/>
        <w:iCs w:val="1"/>
      </w:rPr>
      <w:tcPr>
        <w:tcBorders>
          <w:top w:space="0" w:sz="0" w:val="nil"/>
          <w:left w:space="0" w:sz="0" w:val="nil"/>
          <w:bottom w:space="0" w:sz="0" w:val="nil"/>
          <w:insideH w:space="0" w:sz="0" w:val="nil"/>
          <w:insideV w:space="0" w:sz="0" w:val="nil"/>
        </w:tcBorders>
        <w:shd w:color="auto" w:fill="ffffff" w:themeFill="background1" w:val="clear"/>
      </w:tcPr>
    </w:tblStylePr>
    <w:tblStylePr w:type="lastCol">
      <w:rPr>
        <w:i w:val="1"/>
        <w:iCs w:val="1"/>
      </w:rPr>
      <w:tcPr>
        <w:tcBorders>
          <w:top w:space="0" w:sz="0" w:val="nil"/>
          <w:bottom w:space="0" w:sz="0" w:val="nil"/>
          <w:right w:space="0" w:sz="0" w:val="nil"/>
          <w:insideH w:space="0" w:sz="0" w:val="nil"/>
          <w:insideV w:space="0" w:sz="0" w:val="nil"/>
        </w:tcBorders>
        <w:shd w:color="auto" w:fill="ffffff" w:themeFill="background1" w:val="clear"/>
      </w:tcPr>
    </w:tblStylePr>
    <w:tblStylePr w:type="band1Vert">
      <w:tcPr>
        <w:shd w:color="auto" w:fill="deeaf6" w:themeFill="accent5" w:themeFillTint="000033" w:val="clear"/>
      </w:tcPr>
    </w:tblStylePr>
    <w:tblStylePr w:type="band1Horz">
      <w:tcPr>
        <w:shd w:color="auto" w:fill="deeaf6" w:themeFill="accent5" w:themeFillTint="000033" w:val="clear"/>
      </w:tcPr>
    </w:tblStylePr>
    <w:tblStylePr w:type="neCell">
      <w:tcPr>
        <w:tcBorders>
          <w:bottom w:color="9cc2e5" w:space="0" w:sz="4" w:themeColor="accent5" w:themeTint="000099" w:val="single"/>
        </w:tcBorders>
      </w:tcPr>
    </w:tblStylePr>
    <w:tblStylePr w:type="nwCell">
      <w:tcPr>
        <w:tcBorders>
          <w:bottom w:color="9cc2e5" w:space="0" w:sz="4" w:themeColor="accent5" w:themeTint="000099" w:val="single"/>
        </w:tcBorders>
      </w:tcPr>
    </w:tblStylePr>
    <w:tblStylePr w:type="seCell">
      <w:tcPr>
        <w:tcBorders>
          <w:top w:color="9cc2e5" w:space="0" w:sz="4" w:themeColor="accent5" w:themeTint="000099" w:val="single"/>
        </w:tcBorders>
      </w:tcPr>
    </w:tblStylePr>
    <w:tblStylePr w:type="swCell">
      <w:tcPr>
        <w:tcBorders>
          <w:top w:color="9cc2e5" w:space="0" w:sz="4" w:themeColor="accent5" w:themeTint="000099" w:val="single"/>
        </w:tcBorders>
      </w:tcPr>
    </w:tblStyle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rPr>
      <w:color w:val="2e75b5"/>
      <w:sz w:val="22"/>
      <w:szCs w:val="22"/>
    </w:rPr>
    <w:tblPr>
      <w:tblStyleRowBandSize w:val="1"/>
      <w:tblStyleColBandSize w:val="1"/>
      <w:tblCellMar>
        <w:top w:w="0.0" w:type="dxa"/>
        <w:left w:w="108.0" w:type="dxa"/>
        <w:bottom w:w="0.0" w:type="dxa"/>
        <w:right w:w="108.0" w:type="dxa"/>
      </w:tblCellMar>
    </w:tblPr>
    <w:tblStylePr w:type="band1Horz">
      <w:tcPr>
        <w:shd w:fill="deebf6" w:val="clear"/>
      </w:tcPr>
    </w:tblStylePr>
    <w:tblStylePr w:type="band1Vert">
      <w:tcPr>
        <w:shd w:fill="deebf6" w:val="clear"/>
      </w:tcPr>
    </w:tblStylePr>
    <w:tblStylePr w:type="firstCol">
      <w:pPr>
        <w:jc w:val="right"/>
      </w:pPr>
      <w:rPr>
        <w:i w:val="1"/>
        <w:iCs w:val="1"/>
      </w:rPr>
      <w:tcPr>
        <w:tcBorders>
          <w:top w:color="000000" w:space="0" w:sz="0" w:val="nil"/>
          <w:left w:color="000000" w:space="0" w:sz="0" w:val="nil"/>
          <w:bottom w:color="000000" w:space="0" w:sz="0" w:val="nil"/>
          <w:insideH w:color="000000" w:space="0" w:sz="0" w:val="nil"/>
          <w:insideV w:color="000000" w:space="0" w:sz="0" w:val="nil"/>
        </w:tcBorders>
        <w:shd w:fill="ffffff" w:val="clear"/>
      </w:tcPr>
    </w:tblStylePr>
    <w:tblStylePr w:type="firstRow">
      <w:rPr>
        <w:b w:val="1"/>
        <w:bCs w:val="1"/>
      </w:rPr>
      <w:tcPr>
        <w:tcBorders>
          <w:top w:color="000000" w:space="0" w:sz="0" w:val="nil"/>
          <w:left w:color="000000" w:space="0" w:sz="0" w:val="nil"/>
          <w:right w:color="000000" w:space="0" w:sz="0" w:val="nil"/>
          <w:insideH w:color="000000" w:space="0" w:sz="0" w:val="nil"/>
          <w:insideV w:color="000000" w:space="0" w:sz="0" w:val="nil"/>
        </w:tcBorders>
        <w:shd w:fill="ffffff" w:val="clear"/>
      </w:tcPr>
    </w:tblStylePr>
    <w:tblStylePr w:type="lastCol">
      <w:rPr>
        <w:i w:val="1"/>
        <w:iCs w:val="1"/>
      </w:rPr>
      <w:tcPr>
        <w:tcBorders>
          <w:top w:color="000000" w:space="0" w:sz="0" w:val="nil"/>
          <w:bottom w:color="000000" w:space="0" w:sz="0" w:val="nil"/>
          <w:right w:color="000000" w:space="0" w:sz="0" w:val="nil"/>
          <w:insideH w:color="000000" w:space="0" w:sz="0" w:val="nil"/>
          <w:insideV w:color="000000" w:space="0" w:sz="0" w:val="nil"/>
        </w:tcBorders>
        <w:shd w:fill="ffffff" w:val="clear"/>
      </w:tcPr>
    </w:tblStylePr>
    <w:tblStylePr w:type="lastRow">
      <w:rPr>
        <w:b w:val="1"/>
        <w:bCs w:val="1"/>
      </w:rPr>
      <w:tcPr>
        <w:tcBorders>
          <w:left w:color="000000" w:space="0" w:sz="0" w:val="nil"/>
          <w:bottom w:color="000000" w:space="0" w:sz="0" w:val="nil"/>
          <w:right w:color="000000" w:space="0" w:sz="0" w:val="nil"/>
          <w:insideH w:color="000000" w:space="0" w:sz="0" w:val="nil"/>
          <w:insideV w:color="000000" w:space="0" w:sz="0" w:val="nil"/>
        </w:tcBorders>
        <w:shd w:fill="ffffff" w:val="clear"/>
      </w:tcPr>
    </w:tblStylePr>
    <w:tblStylePr w:type="neCell">
      <w:tcPr>
        <w:tcBorders>
          <w:bottom w:color="9cc3e5" w:space="0" w:sz="4" w:val="single"/>
        </w:tcBorders>
      </w:tcPr>
    </w:tblStylePr>
    <w:tblStylePr w:type="nwCell">
      <w:tcPr>
        <w:tcBorders>
          <w:bottom w:color="9cc3e5" w:space="0" w:sz="4" w:val="single"/>
        </w:tcBorders>
      </w:tcPr>
    </w:tblStylePr>
    <w:tblStylePr w:type="seCell">
      <w:tcPr>
        <w:tcBorders>
          <w:top w:color="9cc3e5" w:space="0" w:sz="4" w:val="single"/>
        </w:tcBorders>
      </w:tcPr>
    </w:tblStylePr>
    <w:tblStylePr w:type="swCell">
      <w:tcPr>
        <w:tcBorders>
          <w:top w:color="9cc3e5" w:space="0" w:sz="4" w:val="single"/>
        </w:tcBorders>
      </w:tcPr>
    </w:tblStylePr>
  </w:style>
</w:styles>
</file>

<file path=word/_rels/document.xml.rels><?xml version="1.0" encoding="UTF-8" standalone="yes"?><Relationships xmlns="http://schemas.openxmlformats.org/package/2006/relationships"><Relationship Id="rId11" Type="http://schemas.openxmlformats.org/officeDocument/2006/relationships/header" Target="header3.xml"/><Relationship Id="rId10" Type="http://schemas.openxmlformats.org/officeDocument/2006/relationships/header" Target="header1.xml"/><Relationship Id="rId13" Type="http://schemas.openxmlformats.org/officeDocument/2006/relationships/footer" Target="footer1.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2.xml"/><Relationship Id="rId15" Type="http://schemas.openxmlformats.org/officeDocument/2006/relationships/image" Target="media/image1.png"/><Relationship Id="rId14" Type="http://schemas.openxmlformats.org/officeDocument/2006/relationships/footer" Target="footer3.xml"/><Relationship Id="rId16" Type="http://schemas.openxmlformats.org/officeDocument/2006/relationships/image" Target="media/image2.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notes.xml.rels><?xml version="1.0" encoding="UTF-8" standalone="yes"?><Relationships xmlns="http://schemas.openxmlformats.org/package/2006/relationships"><Relationship Id="rId1" Type="http://schemas.openxmlformats.org/officeDocument/2006/relationships/hyperlink" Target="https://www.britannia.co.in/article/britannia-nutrition-foundation-commemorates-11-years-of-improving-health-nutritional-outcomes-for-children-wom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HuJipeiGmfjdXqBousQAXQ9xyQ==">CgMxLjAyDmguc2pvb3g5bmtiMWYwMg5oLjljbWlzbXV0ZGVwMjgAciExajZ4am8zMVBfQ09PY1Uzbk1TLXNza2JPX1FMQUpieFg=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2025-09-30T17:02:00Z</dcterms:created>
  <dc:creator>Karon Shaiva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1EB8AE14AA2B4820A0F53DEE007D22B4_12</vt:lpwstr>
  </property>
</Properties>
</file>