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1F4E79"/>
          <w:sz w:val="40"/>
          <w:szCs w:val="40"/>
        </w:rPr>
        <w:t xml:space="preserve">Trust-Calibrated Multimodal Industrial</w:t>
      </w:r>
    </w:p>
    <w:p>
      <w:pPr>
        <w:spacing w:after="400"/>
        <w:jc w:val="center"/>
      </w:pPr>
      <w:r>
        <w:rPr>
          <w:b/>
          <w:bCs/>
          <w:color w:val="1F4E79"/>
          <w:sz w:val="40"/>
          <w:szCs w:val="40"/>
        </w:rPr>
        <w:t xml:space="preserve">Anomaly Intelligence Platform</w:t>
      </w:r>
    </w:p>
    <w:p>
      <w:pPr>
        <w:jc w:val="center"/>
      </w:pPr>
      <w:r>
        <w:rPr>
          <w:i/>
          <w:iCs/>
          <w:sz w:val="24"/>
          <w:szCs w:val="24"/>
        </w:rPr>
        <w:t xml:space="preserve">Confidence-Calibrated Multimodal Fusion for Robust Industrial Anomaly Detection,</w:t>
      </w:r>
    </w:p>
    <w:p>
      <w:pPr>
        <w:spacing w:after="600"/>
        <w:jc w:val="center"/>
      </w:pPr>
      <w:r>
        <w:rPr>
          <w:i/>
          <w:iCs/>
          <w:sz w:val="24"/>
          <w:szCs w:val="24"/>
        </w:rPr>
        <w:t xml:space="preserve">Root-Cause Reasoning, and Predictive Maintenance Under Missing and Noisy Sensor Modalities</w:t>
      </w:r>
    </w:p>
    <w:p>
      <w:pPr>
        <w:spacing w:after="100"/>
        <w:jc w:val="center"/>
      </w:pPr>
      <w:r>
        <w:rPr>
          <w:color w:val="666666"/>
          <w:sz w:val="22"/>
          <w:szCs w:val="22"/>
        </w:rPr>
        <w:t xml:space="preserve">Project Design Document</w:t>
      </w:r>
    </w:p>
    <w:p>
      <w:pPr>
        <w:jc w:val="center"/>
      </w:pPr>
      <w:r>
        <w:rPr>
          <w:color w:val="666666"/>
          <w:sz w:val="22"/>
          <w:szCs w:val="22"/>
        </w:rPr>
        <w:t xml:space="preserve">Two-Person Team — Applied Research &amp; Engineering Project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60"/>
      </w:pPr>
      <w:r>
        <w:t xml:space="preserve">This project builds a multimodal industrial intelligence platform that goes beyond simple defect classification to detect anomalies, estimate severity, infer probable root cause, predict future failures, and recommend corrective action — by fusing camera/video, sensor telemetry, historical inspection records, and technical documentation.</w:t>
      </w:r>
    </w:p>
    <w:p>
      <w:pPr>
        <w:spacing w:after="160"/>
      </w:pPr>
      <w:r>
        <w:rPr>
          <w:b/>
          <w:bCs/>
        </w:rPr>
        <w:t xml:space="preserve">The novel contribution: </w:t>
      </w:r>
      <w:r>
        <w:t xml:space="preserve">Instead of treating multimodal fusion as a fixed averaging/concatenation problem (the standard approach in current literature), the system learns a per-modality trust weight at inference time, is trained explicitly for calibrated (honest) confidence rather than raw accuracy, and refines its trust priors over time using human correction feedback. This directly targets a gap that existing multimodal industrial anomaly detection research acknowledges but does not solve: real factory floors have missing, occluded, delayed, or contradictory sensor data, and most published fusion methods assume clean, complete inputs and become silently overconfident when that assumption breaks.</w:t>
      </w:r>
    </w:p>
    <w:p>
      <w:pPr>
        <w:spacing w:after="160"/>
      </w:pPr>
      <w:r>
        <w:t xml:space="preserve">The surrounding platform (vision backbone, sensor/time-series models, RAG over documentation, LLM reasoning layer, dashboard, human-in-the-loop review) provides the engineering depth and deployable product; the trust-gated calibration layer provides the defensible research claim.</w:t>
      </w:r>
    </w:p>
    <w:p>
      <w:pPr>
        <w:pStyle w:val="Heading1"/>
        <w:spacing w:after="200" w:before="400"/>
      </w:pPr>
      <w:r>
        <w:t xml:space="preserve">2. Problem Statement</w:t>
      </w:r>
    </w:p>
    <w:p>
      <w:pPr>
        <w:pStyle w:val="Heading2"/>
        <w:spacing w:after="150" w:before="300"/>
      </w:pPr>
      <w:r>
        <w:t xml:space="preserve">2.1 The limitation of conventional inspection</w:t>
      </w:r>
    </w:p>
    <w:p>
      <w:pPr>
        <w:spacing w:after="160"/>
      </w:pPr>
      <w:r>
        <w:t xml:space="preserve">A conventional computer-vision inspection pipeline answers one question: Image → Defect / No Defect. It cannot answer why a defect occurred, whether it is worsening, whether it correlates with abnormal operating conditions, or what corrective action a technician should take. Multimodal fusion research addresses the “what data” gap by combining vision with sensors, history, and documents — but almost universally assumes every modality is present and clean at inference time.</w:t>
      </w:r>
    </w:p>
    <w:p>
      <w:pPr>
        <w:pStyle w:val="Heading2"/>
        <w:spacing w:after="150" w:before="300"/>
      </w:pPr>
      <w:r>
        <w:t xml:space="preserve">2.2 The gap this project targets</w:t>
      </w:r>
    </w:p>
    <w:p>
      <w:pPr>
        <w:spacing w:after="160"/>
      </w:pPr>
      <w:r>
        <w:t xml:space="preserve">In real deployments, modalities degrade constantly: a sensor drops offline, a camera lens gets dust or glare, a network delay makes telemetry stale, or two modalities flatly disagree (vision flags a crack while vibration sensors read normal). Existing fusion architectures — including recent 2023–2026 published methods using hybrid fusion, cross-modal feature mapping, and digital-twin-based fusion — are evaluated almost exclusively under clean, complete-modality conditions. None of the literature surveyed reports calibration metrics (i.e., whether a stated confidence score is actually trustworthy) under partial modality dropout or contradiction.</w:t>
      </w:r>
    </w:p>
    <w:p>
      <w:pPr>
        <w:spacing w:after="160"/>
      </w:pPr>
      <w:r>
        <w:rPr>
          <w:b/>
          <w:bCs/>
        </w:rPr>
        <w:t xml:space="preserve">Research question: </w:t>
      </w:r>
      <w:r>
        <w:t xml:space="preserve">Can a fusion model learn to dynamically trust or discount each modality per-instance — rather than fusing them with fixed weights — and does that trust calibration measurably improve both detection performance and the honesty of its confidence scores when modalities are missing, noisy, or contradictory? Can human correction feedback be used to adapt this trust behavior per-plant/per-machine over time?</w:t>
      </w:r>
    </w:p>
    <w:p>
      <w:pPr>
        <w:pStyle w:val="Heading1"/>
        <w:spacing w:after="200" w:before="400"/>
      </w:pPr>
      <w:r>
        <w:t xml:space="preserve">3. Novelty and Positioning Against Prior Work</w:t>
      </w:r>
    </w:p>
    <w:p>
      <w:pPr>
        <w:spacing w:after="160"/>
      </w:pPr>
      <w:r>
        <w:t xml:space="preserve">Every individual building block in this platform (vision-based defect detection, multimodal fusion, LLM/RAG reasoning over maintenance documents, predictive maintenance) has active, recent published work. This project does not claim to invent multimodal industrial inspection. It claims a specific, narrower, checkable contribution:</w:t>
      </w:r>
    </w:p>
    <w:p>
      <w:pPr>
        <w:pStyle w:val="ListParagraph"/>
        <w:numPr>
          <w:ilvl w:val="0"/>
          <w:numId w:val="1"/>
        </w:numPr>
        <w:spacing w:after="80"/>
      </w:pPr>
      <w:r>
        <w:t xml:space="preserve">A learned, per-instance modality reliability gate, rather than fixed-weight or attention-only fusion.</w:t>
      </w:r>
    </w:p>
    <w:p>
      <w:pPr>
        <w:pStyle w:val="ListParagraph"/>
        <w:numPr>
          <w:ilvl w:val="0"/>
          <w:numId w:val="1"/>
        </w:numPr>
        <w:spacing w:after="80"/>
      </w:pPr>
      <w:r>
        <w:t xml:space="preserve">Training with an explicit calibration objective (Expected Calibration Error / Brier score), not just detection accuracy — largely absent from cited multimodal industrial anomaly detection literature.</w:t>
      </w:r>
    </w:p>
    <w:p>
      <w:pPr>
        <w:pStyle w:val="ListParagraph"/>
        <w:numPr>
          <w:ilvl w:val="0"/>
          <w:numId w:val="1"/>
        </w:numPr>
        <w:spacing w:after="80"/>
      </w:pPr>
      <w:r>
        <w:t xml:space="preserve">An online recalibration loop that updates per-modality trust priors from logged human corrections, at the plant/machine level (adaptive, not global-static).</w:t>
      </w:r>
    </w:p>
    <w:p>
      <w:pPr>
        <w:pStyle w:val="ListParagraph"/>
        <w:numPr>
          <w:ilvl w:val="0"/>
          <w:numId w:val="1"/>
        </w:numPr>
        <w:spacing w:after="80"/>
      </w:pPr>
      <w:r>
        <w:t xml:space="preserve">A structured degradation benchmark (0/25/50/75% modality dropout, contradiction injection) used as the primary evaluation axis, rather than a single clean-data accuracy table.</w:t>
      </w:r>
    </w:p>
    <w:p>
      <w:pPr>
        <w:pStyle w:val="Heading2"/>
        <w:spacing w:after="150" w:before="300"/>
      </w:pPr>
      <w:r>
        <w:t xml:space="preserve">3.1 How this is positioned against baselines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1F4E79" w:val="clear"/>
            <w:vAlign w:val="center"/>
          </w:tcPr>
          <w:p>
            <w:r>
              <w:rPr>
                <w:b/>
                <w:bCs/>
                <w:color w:val="FFFFFF"/>
                <w:sz w:val="20"/>
                <w:szCs w:val="20"/>
              </w:rPr>
              <w:t xml:space="preserve">Prior work</w:t>
            </w:r>
          </w:p>
        </w:tc>
        <w:tc>
          <w:tcPr>
            <w:tcW w:type="dxa" w:w="3400"/>
            <w:shd w:fill="1F4E79" w:val="clear"/>
            <w:vAlign w:val="center"/>
          </w:tcPr>
          <w:p>
            <w:r>
              <w:rPr>
                <w:b/>
                <w:bCs/>
                <w:color w:val="FFFFFF"/>
                <w:sz w:val="20"/>
                <w:szCs w:val="20"/>
              </w:rPr>
              <w:t xml:space="preserve">What it does</w:t>
            </w:r>
          </w:p>
        </w:tc>
        <w:tc>
          <w:tcPr>
            <w:tcW w:type="dxa" w:w="2800"/>
            <w:shd w:fill="1F4E79" w:val="clear"/>
            <w:vAlign w:val="center"/>
          </w:tcPr>
          <w:p>
            <w:r>
              <w:rPr>
                <w:b/>
                <w:bCs/>
                <w:color w:val="FFFFFF"/>
                <w:sz w:val="20"/>
                <w:szCs w:val="20"/>
              </w:rPr>
              <w:t xml:space="preserve">What this project adds</w:t>
            </w:r>
          </w:p>
        </w:tc>
      </w:tr>
      <w:tr>
        <w:tc>
          <w:tcPr>
            <w:tcW w:type="dxa" w:w="2800"/>
            <w:vAlign w:val="center"/>
          </w:tcPr>
          <w:p>
            <w:r>
              <w:rPr>
                <w:b w:val="false"/>
                <w:bCs w:val="false"/>
                <w:color w:val="000000"/>
                <w:sz w:val="20"/>
                <w:szCs w:val="20"/>
              </w:rPr>
              <w:t xml:space="preserve">Hybrid multimodal fusion (CVPR 2023, image+3D)</w:t>
            </w:r>
          </w:p>
        </w:tc>
        <w:tc>
          <w:tcPr>
            <w:tcW w:type="dxa" w:w="3400"/>
            <w:vAlign w:val="center"/>
          </w:tcPr>
          <w:p>
            <w:r>
              <w:rPr>
                <w:b w:val="false"/>
                <w:bCs w:val="false"/>
                <w:color w:val="000000"/>
                <w:sz w:val="20"/>
                <w:szCs w:val="20"/>
              </w:rPr>
              <w:t xml:space="preserve">Fixed fusion of RGB + geometric/point-cloud features</w:t>
            </w:r>
          </w:p>
        </w:tc>
        <w:tc>
          <w:tcPr>
            <w:tcW w:type="dxa" w:w="2800"/>
            <w:vAlign w:val="center"/>
          </w:tcPr>
          <w:p>
            <w:r>
              <w:rPr>
                <w:b w:val="false"/>
                <w:bCs w:val="false"/>
                <w:color w:val="000000"/>
                <w:sz w:val="20"/>
                <w:szCs w:val="20"/>
              </w:rPr>
              <w:t xml:space="preserve">Learned trust gating; evaluated under missing/noisy modalities, not just clean data</w:t>
            </w:r>
          </w:p>
        </w:tc>
      </w:tr>
      <w:tr>
        <w:tc>
          <w:tcPr>
            <w:tcW w:type="dxa" w:w="2800"/>
            <w:shd w:fill="F5F8FC" w:val="clear"/>
            <w:vAlign w:val="center"/>
          </w:tcPr>
          <w:p>
            <w:r>
              <w:rPr>
                <w:b w:val="false"/>
                <w:bCs w:val="false"/>
                <w:color w:val="000000"/>
                <w:sz w:val="20"/>
                <w:szCs w:val="20"/>
              </w:rPr>
              <w:t xml:space="preserve">Cross-modal feature mapping (CVPR 2024)</w:t>
            </w:r>
          </w:p>
        </w:tc>
        <w:tc>
          <w:tcPr>
            <w:tcW w:type="dxa" w:w="3400"/>
            <w:shd w:fill="F5F8FC" w:val="clear"/>
            <w:vAlign w:val="center"/>
          </w:tcPr>
          <w:p>
            <w:r>
              <w:rPr>
                <w:b w:val="false"/>
                <w:bCs w:val="false"/>
                <w:color w:val="000000"/>
                <w:sz w:val="20"/>
                <w:szCs w:val="20"/>
              </w:rPr>
              <w:t xml:space="preserve">Maps one modality's features to another for anomaly scoring</w:t>
            </w:r>
          </w:p>
        </w:tc>
        <w:tc>
          <w:tcPr>
            <w:tcW w:type="dxa" w:w="2800"/>
            <w:shd w:fill="F5F8FC" w:val="clear"/>
            <w:vAlign w:val="center"/>
          </w:tcPr>
          <w:p>
            <w:r>
              <w:rPr>
                <w:b w:val="false"/>
                <w:bCs w:val="false"/>
                <w:color w:val="000000"/>
                <w:sz w:val="20"/>
                <w:szCs w:val="20"/>
              </w:rPr>
              <w:t xml:space="preserve">Explicit calibration objective + graceful degradation reporting</w:t>
            </w:r>
          </w:p>
        </w:tc>
      </w:tr>
      <w:tr>
        <w:tc>
          <w:tcPr>
            <w:tcW w:type="dxa" w:w="2800"/>
            <w:vAlign w:val="center"/>
          </w:tcPr>
          <w:p>
            <w:r>
              <w:rPr>
                <w:b w:val="false"/>
                <w:bCs w:val="false"/>
                <w:color w:val="000000"/>
                <w:sz w:val="20"/>
                <w:szCs w:val="20"/>
              </w:rPr>
              <w:t xml:space="preserve">Digital-twin multi-modal fusion (2026, edge-cloud)</w:t>
            </w:r>
          </w:p>
        </w:tc>
        <w:tc>
          <w:tcPr>
            <w:tcW w:type="dxa" w:w="3400"/>
            <w:vAlign w:val="center"/>
          </w:tcPr>
          <w:p>
            <w:r>
              <w:rPr>
                <w:b w:val="false"/>
                <w:bCs w:val="false"/>
                <w:color w:val="000000"/>
                <w:sz w:val="20"/>
                <w:szCs w:val="20"/>
              </w:rPr>
              <w:t xml:space="preserve">1-Primary-3-Auxiliary fusion across physical/geometric/visual/semantic modalities</w:t>
            </w:r>
          </w:p>
        </w:tc>
        <w:tc>
          <w:tcPr>
            <w:tcW w:type="dxa" w:w="2800"/>
            <w:vAlign w:val="center"/>
          </w:tcPr>
          <w:p>
            <w:r>
              <w:rPr>
                <w:b w:val="false"/>
                <w:bCs w:val="false"/>
                <w:color w:val="000000"/>
                <w:sz w:val="20"/>
                <w:szCs w:val="20"/>
              </w:rPr>
              <w:t xml:space="preserve">Adaptive, per-plant trust reweighting driven by human feedback, not fixed fusion weights</w:t>
            </w:r>
          </w:p>
        </w:tc>
      </w:tr>
      <w:tr>
        <w:tc>
          <w:tcPr>
            <w:tcW w:type="dxa" w:w="2800"/>
            <w:shd w:fill="F5F8FC" w:val="clear"/>
            <w:vAlign w:val="center"/>
          </w:tcPr>
          <w:p>
            <w:r>
              <w:rPr>
                <w:b w:val="false"/>
                <w:bCs w:val="false"/>
                <w:color w:val="000000"/>
                <w:sz w:val="20"/>
                <w:szCs w:val="20"/>
              </w:rPr>
              <w:t xml:space="preserve">LLM/RAG maintenance reasoning (PARAM, LLM-R, etc.)</w:t>
            </w:r>
          </w:p>
        </w:tc>
        <w:tc>
          <w:tcPr>
            <w:tcW w:type="dxa" w:w="3400"/>
            <w:shd w:fill="F5F8FC" w:val="clear"/>
            <w:vAlign w:val="center"/>
          </w:tcPr>
          <w:p>
            <w:r>
              <w:rPr>
                <w:b w:val="false"/>
                <w:bCs w:val="false"/>
                <w:color w:val="000000"/>
                <w:sz w:val="20"/>
                <w:szCs w:val="20"/>
              </w:rPr>
              <w:t xml:space="preserve">Uses RAG to turn anomaly detections into maintenance recommendations</w:t>
            </w:r>
          </w:p>
        </w:tc>
        <w:tc>
          <w:tcPr>
            <w:tcW w:type="dxa" w:w="2800"/>
            <w:shd w:fill="F5F8FC" w:val="clear"/>
            <w:vAlign w:val="center"/>
          </w:tcPr>
          <w:p>
            <w:r>
              <w:rPr>
                <w:b w:val="false"/>
                <w:bCs w:val="false"/>
                <w:color w:val="000000"/>
                <w:sz w:val="20"/>
                <w:szCs w:val="20"/>
              </w:rPr>
              <w:t xml:space="preserve">Reused as the explanation layer here; contribution is upstream at the fusion/calibration stage, feeding this layer more trustworthy evidence</w:t>
            </w:r>
          </w:p>
        </w:tc>
      </w:tr>
    </w:tbl>
    <w:p>
      <w:pPr>
        <w:pStyle w:val="Heading1"/>
        <w:spacing w:after="200" w:before="400"/>
      </w:pPr>
      <w:r>
        <w:t xml:space="preserve">4. System Architecture</w:t>
      </w:r>
    </w:p>
    <w:p>
      <w:pPr>
        <w:spacing w:after="160"/>
      </w:pPr>
      <w:r>
        <w:t xml:space="preserve">The system is organized into a data layer, a fusion core (containing the novel contribution), a reasoning/decision layer, and a human-in-the-loop feedback layer.</w:t>
      </w:r>
    </w:p>
    <w:p>
      <w:pPr>
        <w:pStyle w:val="Heading2"/>
        <w:spacing w:after="150" w:before="300"/>
      </w:pPr>
      <w:r>
        <w:t xml:space="preserve">4.1 High-level architecture diagram</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DATA SOURCES</w:t>
      </w:r>
      <w:r>
        <w:rPr>
          <w:rFonts w:ascii="Consolas" w:cs="Consolas" w:eastAsia="Consolas" w:hAnsi="Consolas"/>
          <w:sz w:val="18"/>
          <w:szCs w:val="18"/>
        </w:rPr>
        <w:br/>
        <w:t xml:space="preserve">  Camera / Video ─────────► Vision Encoder ───────┐</w:t>
      </w:r>
      <w:r>
        <w:rPr>
          <w:rFonts w:ascii="Consolas" w:cs="Consolas" w:eastAsia="Consolas" w:hAnsi="Consolas"/>
          <w:sz w:val="18"/>
          <w:szCs w:val="18"/>
        </w:rPr>
        <w:br/>
        <w:t xml:space="preserve">  Sensors (temp/vib/etc) ─► Time-Series Encoder ──┤</w:t>
      </w:r>
      <w:r>
        <w:rPr>
          <w:rFonts w:ascii="Consolas" w:cs="Consolas" w:eastAsia="Consolas" w:hAnsi="Consolas"/>
          <w:sz w:val="18"/>
          <w:szCs w:val="18"/>
        </w:rPr>
        <w:br/>
        <w:t xml:space="preserve">  Historical logs ────────► Temporal Encoder ─────┤</w:t>
      </w:r>
      <w:r>
        <w:rPr>
          <w:rFonts w:ascii="Consolas" w:cs="Consolas" w:eastAsia="Consolas" w:hAnsi="Consolas"/>
          <w:sz w:val="18"/>
          <w:szCs w:val="18"/>
        </w:rPr>
        <w:br/>
        <w:t xml:space="preserve">  Docs / SOPs ─────────────► RAG Retriever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MODALITY QUALITY GATES       │  &lt;-- NOVEL</w:t>
      </w:r>
      <w:r>
        <w:rPr>
          <w:rFonts w:ascii="Consolas" w:cs="Consolas" w:eastAsia="Consolas" w:hAnsi="Consolas"/>
          <w:sz w:val="18"/>
          <w:szCs w:val="18"/>
        </w:rPr>
        <w:br/>
        <w:t xml:space="preserve">                          │  (per-modality trust weight)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GATED FUSION LAYER           │  &lt;-- NOVEL</w:t>
      </w:r>
      <w:r>
        <w:rPr>
          <w:rFonts w:ascii="Consolas" w:cs="Consolas" w:eastAsia="Consolas" w:hAnsi="Consolas"/>
          <w:sz w:val="18"/>
          <w:szCs w:val="18"/>
        </w:rPr>
        <w:br/>
        <w:t xml:space="preserve">                          │  (calibration-aware training)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Anomaly Score + Calibrated Confidence</w:t>
      </w:r>
      <w:r>
        <w:rPr>
          <w:rFonts w:ascii="Consolas" w:cs="Consolas" w:eastAsia="Consolas" w:hAnsi="Consolas"/>
          <w:sz w:val="18"/>
          <w:szCs w:val="18"/>
        </w:rPr>
        <w:br/>
        <w:t xml:space="preserve">                                          ▼</w:t>
      </w:r>
      <w:r>
        <w:rPr>
          <w:rFonts w:ascii="Consolas" w:cs="Consolas" w:eastAsia="Consolas" w:hAnsi="Consolas"/>
          <w:sz w:val="18"/>
          <w:szCs w:val="18"/>
        </w:rPr>
        <w:br/>
        <w:t xml:space="preserve">               Severity Estimation → Root-Cause Ranking → Failure Prediction</w:t>
      </w:r>
      <w:r>
        <w:rPr>
          <w:rFonts w:ascii="Consolas" w:cs="Consolas" w:eastAsia="Consolas" w:hAnsi="Consolas"/>
          <w:sz w:val="18"/>
          <w:szCs w:val="18"/>
        </w:rPr>
        <w:br/>
        <w:t xml:space="preserve">                                          ▼</w:t>
      </w:r>
      <w:r>
        <w:rPr>
          <w:rFonts w:ascii="Consolas" w:cs="Consolas" w:eastAsia="Consolas" w:hAnsi="Consolas"/>
          <w:sz w:val="18"/>
          <w:szCs w:val="18"/>
        </w:rPr>
        <w:br/>
        <w:t xml:space="preserve">                          LLM Reasoning / Explanation Layer (RAG-grounded)</w:t>
      </w:r>
      <w:r>
        <w:rPr>
          <w:rFonts w:ascii="Consolas" w:cs="Consolas" w:eastAsia="Consolas" w:hAnsi="Consolas"/>
          <w:sz w:val="18"/>
          <w:szCs w:val="18"/>
        </w:rPr>
        <w:br/>
        <w:t xml:space="preserve">                                          ▼</w:t>
      </w:r>
      <w:r>
        <w:rPr>
          <w:rFonts w:ascii="Consolas" w:cs="Consolas" w:eastAsia="Consolas" w:hAnsi="Consolas"/>
          <w:sz w:val="18"/>
          <w:szCs w:val="18"/>
        </w:rPr>
        <w:br/>
        <w:t xml:space="preserve">                     Human Review (triggered when confidence is uncertain)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TRUST RECALIBRATION LOOP      │  &lt;-- NOVEL</w:t>
      </w:r>
      <w:r>
        <w:rPr>
          <w:rFonts w:ascii="Consolas" w:cs="Consolas" w:eastAsia="Consolas" w:hAnsi="Consolas"/>
          <w:sz w:val="18"/>
          <w:szCs w:val="18"/>
        </w:rPr>
        <w:br/>
        <w:t xml:space="preserve">                          │ (updates gate priors per       │</w:t>
      </w:r>
      <w:r>
        <w:rPr>
          <w:rFonts w:ascii="Consolas" w:cs="Consolas" w:eastAsia="Consolas" w:hAnsi="Consolas"/>
          <w:sz w:val="18"/>
          <w:szCs w:val="18"/>
        </w:rPr>
        <w:br/>
        <w:t xml:space="preserve">                          │  plant/machine from human      │</w:t>
      </w:r>
      <w:r>
        <w:rPr>
          <w:rFonts w:ascii="Consolas" w:cs="Consolas" w:eastAsia="Consolas" w:hAnsi="Consolas"/>
          <w:sz w:val="18"/>
          <w:szCs w:val="18"/>
        </w:rPr>
        <w:br/>
        <w:t xml:space="preserve">                          │  correction history)           │</w:t>
      </w:r>
      <w:r>
        <w:rPr>
          <w:rFonts w:ascii="Consolas" w:cs="Consolas" w:eastAsia="Consolas" w:hAnsi="Consolas"/>
          <w:sz w:val="18"/>
          <w:szCs w:val="18"/>
        </w:rPr>
        <w:br/>
        <w:t xml:space="preserve">                          └───────────────────────────────┘</w:t>
      </w:r>
    </w:p>
    <w:p>
      <w:pPr>
        <w:pStyle w:val="Heading2"/>
        <w:spacing w:after="150" w:before="300"/>
      </w:pPr>
      <w:r>
        <w:t xml:space="preserve">4.2 Layer-by-layer description</w:t>
      </w:r>
    </w:p>
    <w:p>
      <w:pPr>
        <w:pStyle w:val="Heading3"/>
        <w:spacing w:after="100" w:before="200"/>
      </w:pPr>
      <w:r>
        <w:t xml:space="preserve">Data layer</w:t>
      </w:r>
    </w:p>
    <w:p>
      <w:pPr>
        <w:pStyle w:val="ListParagraph"/>
        <w:numPr>
          <w:ilvl w:val="0"/>
          <w:numId w:val="1"/>
        </w:numPr>
        <w:spacing w:after="80"/>
      </w:pPr>
      <w:r>
        <w:t xml:space="preserve">Camera/video: industrial cameras, CCTV, or smartphone captures of components/machines.</w:t>
      </w:r>
    </w:p>
    <w:p>
      <w:pPr>
        <w:pStyle w:val="ListParagraph"/>
        <w:numPr>
          <w:ilvl w:val="0"/>
          <w:numId w:val="1"/>
        </w:numPr>
        <w:spacing w:after="80"/>
      </w:pPr>
      <w:r>
        <w:t xml:space="preserve">Sensors: temperature, vibration, pressure, RPM, current/voltage, acoustic, as available.</w:t>
      </w:r>
    </w:p>
    <w:p>
      <w:pPr>
        <w:pStyle w:val="ListParagraph"/>
        <w:numPr>
          <w:ilvl w:val="0"/>
          <w:numId w:val="1"/>
        </w:numPr>
        <w:spacing w:after="80"/>
      </w:pPr>
      <w:r>
        <w:t xml:space="preserve">Historical records: per-machine time series of past inspection outcomes.</w:t>
      </w:r>
    </w:p>
    <w:p>
      <w:pPr>
        <w:pStyle w:val="ListParagraph"/>
        <w:numPr>
          <w:ilvl w:val="0"/>
          <w:numId w:val="1"/>
        </w:numPr>
        <w:spacing w:after="80"/>
      </w:pPr>
      <w:r>
        <w:t xml:space="preserve">Documents: maintenance manuals, SOPs, safety procedures, ingested into a RAG index.</w:t>
      </w:r>
    </w:p>
    <w:p>
      <w:pPr>
        <w:pStyle w:val="Heading3"/>
        <w:spacing w:after="100" w:before="200"/>
      </w:pPr>
      <w:r>
        <w:t xml:space="preserve">Encoders</w:t>
      </w:r>
    </w:p>
    <w:p>
      <w:pPr>
        <w:pStyle w:val="ListParagraph"/>
        <w:numPr>
          <w:ilvl w:val="0"/>
          <w:numId w:val="1"/>
        </w:numPr>
        <w:spacing w:after="80"/>
      </w:pPr>
      <w:r>
        <w:t xml:space="preserve">Vision encoder: CNN/ViT backbone producing an embedding plus a signal-quality estimate (blur, occlusion, exposure).</w:t>
      </w:r>
    </w:p>
    <w:p>
      <w:pPr>
        <w:pStyle w:val="ListParagraph"/>
        <w:numPr>
          <w:ilvl w:val="0"/>
          <w:numId w:val="1"/>
        </w:numPr>
        <w:spacing w:after="80"/>
      </w:pPr>
      <w:r>
        <w:t xml:space="preserve">Time-series encoder: sequence model producing an embedding plus a signal-quality estimate (dropout rate, variance, staleness).</w:t>
      </w:r>
    </w:p>
    <w:p>
      <w:pPr>
        <w:pStyle w:val="ListParagraph"/>
        <w:numPr>
          <w:ilvl w:val="0"/>
          <w:numId w:val="1"/>
        </w:numPr>
        <w:spacing w:after="80"/>
      </w:pPr>
      <w:r>
        <w:t xml:space="preserve">Temporal/historical encoder: summarizes trend over recent inspection history for the specific machine.</w:t>
      </w:r>
    </w:p>
    <w:p>
      <w:pPr>
        <w:pStyle w:val="ListParagraph"/>
        <w:numPr>
          <w:ilvl w:val="0"/>
          <w:numId w:val="1"/>
        </w:numPr>
        <w:spacing w:after="80"/>
      </w:pPr>
      <w:r>
        <w:t xml:space="preserve">RAG retriever: returns top-k relevant document passages plus a retrieval-confidence score.</w:t>
      </w:r>
    </w:p>
    <w:p>
      <w:pPr>
        <w:pStyle w:val="Heading3"/>
        <w:spacing w:after="100" w:before="200"/>
      </w:pPr>
      <w:r>
        <w:t xml:space="preserve">Modality quality gates (novel)</w:t>
      </w:r>
    </w:p>
    <w:p>
      <w:pPr>
        <w:spacing w:after="160"/>
      </w:pPr>
      <w:r>
        <w:t xml:space="preserve">A small gating network per modality maps signal-quality features to a trust weight in [0,1]. Inputs include: blur/occlusion score (vision), variance/staleness/out-of-range flags (sensor), sample recency/count (history), retrieval similarity score (RAG). A missing modality is forced to weight 0 and explicitly logged rather than imputed silently.</w:t>
      </w:r>
    </w:p>
    <w:p>
      <w:pPr>
        <w:pStyle w:val="Heading3"/>
        <w:spacing w:after="100" w:before="200"/>
      </w:pPr>
      <w:r>
        <w:t xml:space="preserve">Gated fusion layer (novel)</w:t>
      </w:r>
    </w:p>
    <w:p>
      <w:pPr>
        <w:spacing w:after="160"/>
      </w:pPr>
      <w:r>
        <w:t xml:space="preserve">Modality embeddings are combined using their trust weights (e.g., weighted cross-attention or weighted concatenation followed by a fusion MLP). The layer is trained with a combined objective: a standard anomaly detection loss (e.g., focal loss or binary cross-entropy) plus a calibration loss term (temperature scaling or a calibration-aware loss such as focal calibration loss) so the output confidence is statistically trustworthy, not just directionally correct.</w:t>
      </w:r>
    </w:p>
    <w:p>
      <w:pPr>
        <w:pStyle w:val="Heading3"/>
        <w:spacing w:after="100" w:before="200"/>
      </w:pPr>
      <w:r>
        <w:t xml:space="preserve">Downstream reasoning</w:t>
      </w:r>
    </w:p>
    <w:p>
      <w:pPr>
        <w:pStyle w:val="ListParagraph"/>
        <w:numPr>
          <w:ilvl w:val="0"/>
          <w:numId w:val="1"/>
        </w:numPr>
        <w:spacing w:after="80"/>
      </w:pPr>
      <w:r>
        <w:t xml:space="preserve">Severity estimation: maps anomaly score + context to LOW / MEDIUM / HIGH / CRITICAL.</w:t>
      </w:r>
    </w:p>
    <w:p>
      <w:pPr>
        <w:pStyle w:val="ListParagraph"/>
        <w:numPr>
          <w:ilvl w:val="0"/>
          <w:numId w:val="1"/>
        </w:numPr>
        <w:spacing w:after="80"/>
      </w:pPr>
      <w:r>
        <w:t xml:space="preserve">Root-cause ranking: probabilistic ranking over candidate causes using sensor/history context (explicitly framed as ranking, not proven causality).</w:t>
      </w:r>
    </w:p>
    <w:p>
      <w:pPr>
        <w:pStyle w:val="ListParagraph"/>
        <w:numPr>
          <w:ilvl w:val="0"/>
          <w:numId w:val="1"/>
        </w:numPr>
        <w:spacing w:after="80"/>
      </w:pPr>
      <w:r>
        <w:t xml:space="preserve">Failure prediction: time-series model estimates probability of failure within a configurable horizon (e.g., 7 days).</w:t>
      </w:r>
    </w:p>
    <w:p>
      <w:pPr>
        <w:pStyle w:val="ListParagraph"/>
        <w:numPr>
          <w:ilvl w:val="0"/>
          <w:numId w:val="1"/>
        </w:numPr>
        <w:spacing w:after="80"/>
      </w:pPr>
      <w:r>
        <w:t xml:space="preserve">LLM reasoning layer: takes structured outputs from all of the above plus RAG-retrieved SOP text and produces a human-readable inspection summary and recommended action. The LLM does not perform detection itself — it explains evidence produced by specialized models.</w:t>
      </w:r>
    </w:p>
    <w:p>
      <w:pPr>
        <w:pStyle w:val="Heading3"/>
        <w:spacing w:after="100" w:before="200"/>
      </w:pPr>
      <w:r>
        <w:t xml:space="preserve">Human-in-the-loop and trust recalibration (novel)</w:t>
      </w:r>
    </w:p>
    <w:p>
      <w:pPr>
        <w:spacing w:after="160"/>
      </w:pPr>
      <w:r>
        <w:t xml:space="preserve">Predictions above a high-confidence threshold are auto-resolved; mid-confidence predictions are routed to a human reviewer; low-confidence predictions require manual inspection. Every human correction is logged along with the modality trust weights active at prediction time. On a scheduled cadence, this correction history is used to refit each modality's trust prior per machine/plant — e.g., if the vibration sensor on a specific machine has been unreliable relative to ground truth, its baseline trust weight for that machine is lowered.</w:t>
      </w:r>
    </w:p>
    <w:p>
      <w:pPr>
        <w:pStyle w:val="Heading1"/>
        <w:spacing w:after="200" w:before="400"/>
      </w:pPr>
      <w:r>
        <w:t xml:space="preserve">5. Detailed Module Breakdown</w:t>
      </w:r>
    </w:p>
    <w:p>
      <w:pPr>
        <w:pStyle w:val="Heading2"/>
        <w:spacing w:after="150" w:before="300"/>
      </w:pPr>
      <w:r>
        <w:t xml:space="preserve">5.1 Module 1 — Visual Inspection</w:t>
      </w:r>
    </w:p>
    <w:p>
      <w:pPr>
        <w:spacing w:after="160"/>
      </w:pPr>
      <w:r>
        <w:t xml:space="preserve">Object detection/segmentation for known defect types (scratch, crack, dent, corrosion, missing/wrong component, deformation, contamination), plus an open-set anomaly-detection path for defect types not seen during training, since exhaustively labeling every possible defect is unrealistic.</w:t>
      </w:r>
    </w:p>
    <w:p>
      <w:pPr>
        <w:pStyle w:val="Heading2"/>
        <w:spacing w:after="150" w:before="300"/>
      </w:pPr>
      <w:r>
        <w:t xml:space="preserve">5.2 Module 2 — Defect Localization</w:t>
      </w:r>
    </w:p>
    <w:p>
      <w:pPr>
        <w:spacing w:after="160"/>
      </w:pPr>
      <w:r>
        <w:t xml:space="preserve">Produces a pixel-level anomaly/heat map rather than a single image-level label, supporting explainability and downstream severity estimation.</w:t>
      </w:r>
    </w:p>
    <w:p>
      <w:pPr>
        <w:pStyle w:val="Heading2"/>
        <w:spacing w:after="150" w:before="300"/>
      </w:pPr>
      <w:r>
        <w:t xml:space="preserve">5.3 Module 3 — Modality Quality Gates and Gated Fusion (Core Novel Module)</w:t>
      </w:r>
    </w:p>
    <w:p>
      <w:pPr>
        <w:spacing w:after="160"/>
      </w:pPr>
      <w:r>
        <w:t xml:space="preserve">Described in detail in Section 4.2. This is the primary research module and the center of the ablation study in Section 7.</w:t>
      </w:r>
    </w:p>
    <w:p>
      <w:pPr>
        <w:pStyle w:val="Heading2"/>
        <w:spacing w:after="150" w:before="300"/>
      </w:pPr>
      <w:r>
        <w:t xml:space="preserve">5.4 Module 4 — Severity Estimation</w:t>
      </w:r>
    </w:p>
    <w:p>
      <w:pPr>
        <w:spacing w:after="160"/>
      </w:pPr>
      <w:r>
        <w:t xml:space="preserve">Maps calibrated anomaly confidence and contextual signals (operating conditions, machine age, historical frequency) to a severity tier and recommended response tier (monitor / schedule inspection / maintenance required / stop production).</w:t>
      </w:r>
    </w:p>
    <w:p>
      <w:pPr>
        <w:pStyle w:val="Heading2"/>
        <w:spacing w:after="150" w:before="300"/>
      </w:pPr>
      <w:r>
        <w:t xml:space="preserve">5.5 Module 5 — Root-Cause Analysis</w:t>
      </w:r>
    </w:p>
    <w:p>
      <w:pPr>
        <w:spacing w:after="160"/>
      </w:pPr>
      <w:r>
        <w:t xml:space="preserve">Produces a probabilistic ranking over candidate causes (e.g., excessive temperature, tool wear, material inconsistency) using sensor and historical context. Framed explicitly as correlational ranking, not causal proof.</w:t>
      </w:r>
    </w:p>
    <w:p>
      <w:pPr>
        <w:pStyle w:val="Heading2"/>
        <w:spacing w:after="150" w:before="300"/>
      </w:pPr>
      <w:r>
        <w:t xml:space="preserve">5.6 Module 6 — Predictive Maintenance</w:t>
      </w:r>
    </w:p>
    <w:p>
      <w:pPr>
        <w:spacing w:after="160"/>
      </w:pPr>
      <w:r>
        <w:t xml:space="preserve">Time-series model forecasts failure probability over a configurable horizon using trends in temperature, vibration, defect frequency, and power consumption.</w:t>
      </w:r>
    </w:p>
    <w:p>
      <w:pPr>
        <w:pStyle w:val="Heading2"/>
        <w:spacing w:after="150" w:before="300"/>
      </w:pPr>
      <w:r>
        <w:t xml:space="preserve">5.7 Module 7 — LLM Reasoning and Explanation Layer</w:t>
      </w:r>
    </w:p>
    <w:p>
      <w:pPr>
        <w:spacing w:after="160"/>
      </w:pPr>
      <w:r>
        <w:t xml:space="preserve">Combines structured outputs from Modules 1–6 with RAG-retrieved SOP passages to generate a human-readable inspection summary and recommended action, explicitly citing which SOP/document supports the recommendation.</w:t>
      </w:r>
    </w:p>
    <w:p>
      <w:pPr>
        <w:pStyle w:val="Heading2"/>
        <w:spacing w:after="150" w:before="300"/>
      </w:pPr>
      <w:r>
        <w:t xml:space="preserve">5.8 Module 8 — Human-in-the-Loop and Correction Logging</w:t>
      </w:r>
    </w:p>
    <w:p>
      <w:pPr>
        <w:spacing w:after="160"/>
      </w:pPr>
      <w:r>
        <w:t xml:space="preserve">Confidence-tiered routing to automatic decision, human review, or manual inspection. Every correction is logged with full modality-trust context for use by the recalibration loop.</w:t>
      </w:r>
    </w:p>
    <w:p>
      <w:pPr>
        <w:pStyle w:val="Heading2"/>
        <w:spacing w:after="150" w:before="300"/>
      </w:pPr>
      <w:r>
        <w:t xml:space="preserve">5.9 Module 9 — Trust Recalibration Loop (Core Novel Module)</w:t>
      </w:r>
    </w:p>
    <w:p>
      <w:pPr>
        <w:spacing w:after="160"/>
      </w:pPr>
      <w:r>
        <w:t xml:space="preserve">Periodically refits per-machine/per-plant modality trust priors from the logged correction history, closing the loop between deployment experience and fusion behavior.</w:t>
      </w:r>
    </w:p>
    <w:p>
      <w:pPr>
        <w:pStyle w:val="Heading2"/>
        <w:spacing w:after="150" w:before="300"/>
      </w:pPr>
      <w:r>
        <w:t xml:space="preserve">5.10 Module 10 — Dashboard and Alerts</w:t>
      </w:r>
    </w:p>
    <w:p>
      <w:pPr>
        <w:spacing w:after="160"/>
      </w:pPr>
      <w:r>
        <w:t xml:space="preserve">Real-time view of machine health, active anomalies, severity distribution, predicted failures, and per-modality trust status; supports approve/reject actions that feed Module 8.</w:t>
      </w:r>
    </w:p>
    <w:p>
      <w:pPr>
        <w:pStyle w:val="Heading1"/>
        <w:spacing w:after="200" w:before="400"/>
      </w:pPr>
      <w:r>
        <w:t xml:space="preserve">6. Technology Stack and Libraries</w:t>
      </w:r>
    </w:p>
    <w:p>
      <w:pPr>
        <w:pStyle w:val="Heading2"/>
        <w:spacing w:after="150" w:before="300"/>
      </w:pPr>
      <w:r>
        <w:t xml:space="preserve">6.1 Machine learning / core research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rPr>
          <w:tblHeader/>
        </w:trPr>
        <w:tc>
          <w:tcPr>
            <w:tcW w:type="dxa" w:w="2400"/>
            <w:shd w:fill="1F4E79" w:val="clear"/>
            <w:vAlign w:val="center"/>
          </w:tcPr>
          <w:p>
            <w:r>
              <w:rPr>
                <w:b/>
                <w:bCs/>
                <w:color w:val="FFFFFF"/>
                <w:sz w:val="20"/>
                <w:szCs w:val="20"/>
              </w:rPr>
              <w:t xml:space="preserve">Category</w:t>
            </w:r>
          </w:p>
        </w:tc>
        <w:tc>
          <w:tcPr>
            <w:tcW w:type="dxa" w:w="3800"/>
            <w:shd w:fill="1F4E79" w:val="clear"/>
            <w:vAlign w:val="center"/>
          </w:tcPr>
          <w:p>
            <w:r>
              <w:rPr>
                <w:b/>
                <w:bCs/>
                <w:color w:val="FFFFFF"/>
                <w:sz w:val="20"/>
                <w:szCs w:val="20"/>
              </w:rPr>
              <w:t xml:space="preserve">Libraries / Tools</w:t>
            </w:r>
          </w:p>
        </w:tc>
        <w:tc>
          <w:tcPr>
            <w:tcW w:type="dxa" w:w="2800"/>
            <w:shd w:fill="1F4E79" w:val="clear"/>
            <w:vAlign w:val="center"/>
          </w:tcPr>
          <w:p>
            <w:r>
              <w:rPr>
                <w:b/>
                <w:bCs/>
                <w:color w:val="FFFFFF"/>
                <w:sz w:val="20"/>
                <w:szCs w:val="20"/>
              </w:rPr>
              <w:t xml:space="preserve">Purpose</w:t>
            </w:r>
          </w:p>
        </w:tc>
      </w:tr>
      <w:tr>
        <w:tc>
          <w:tcPr>
            <w:tcW w:type="dxa" w:w="2400"/>
            <w:vAlign w:val="center"/>
          </w:tcPr>
          <w:p>
            <w:r>
              <w:rPr>
                <w:b w:val="false"/>
                <w:bCs w:val="false"/>
                <w:color w:val="000000"/>
                <w:sz w:val="20"/>
                <w:szCs w:val="20"/>
              </w:rPr>
              <w:t xml:space="preserve">Core ML framework</w:t>
            </w:r>
          </w:p>
        </w:tc>
        <w:tc>
          <w:tcPr>
            <w:tcW w:type="dxa" w:w="3800"/>
            <w:vAlign w:val="center"/>
          </w:tcPr>
          <w:p>
            <w:r>
              <w:rPr>
                <w:b w:val="false"/>
                <w:bCs w:val="false"/>
                <w:color w:val="000000"/>
                <w:sz w:val="20"/>
                <w:szCs w:val="20"/>
              </w:rPr>
              <w:t xml:space="preserve">PyTorch, NumPy, Pandas, scikit-learn</w:t>
            </w:r>
          </w:p>
        </w:tc>
        <w:tc>
          <w:tcPr>
            <w:tcW w:type="dxa" w:w="2800"/>
            <w:vAlign w:val="center"/>
          </w:tcPr>
          <w:p>
            <w:r>
              <w:rPr>
                <w:b w:val="false"/>
                <w:bCs w:val="false"/>
                <w:color w:val="000000"/>
                <w:sz w:val="20"/>
                <w:szCs w:val="20"/>
              </w:rPr>
              <w:t xml:space="preserve">Model training, data handling, classical baselines</w:t>
            </w:r>
          </w:p>
        </w:tc>
      </w:tr>
      <w:tr>
        <w:tc>
          <w:tcPr>
            <w:tcW w:type="dxa" w:w="2400"/>
            <w:shd w:fill="F5F8FC" w:val="clear"/>
            <w:vAlign w:val="center"/>
          </w:tcPr>
          <w:p>
            <w:r>
              <w:rPr>
                <w:b w:val="false"/>
                <w:bCs w:val="false"/>
                <w:color w:val="000000"/>
                <w:sz w:val="20"/>
                <w:szCs w:val="20"/>
              </w:rPr>
              <w:t xml:space="preserve">Vision backbone</w:t>
            </w:r>
          </w:p>
        </w:tc>
        <w:tc>
          <w:tcPr>
            <w:tcW w:type="dxa" w:w="3800"/>
            <w:shd w:fill="F5F8FC" w:val="clear"/>
            <w:vAlign w:val="center"/>
          </w:tcPr>
          <w:p>
            <w:r>
              <w:rPr>
                <w:b w:val="false"/>
                <w:bCs w:val="false"/>
                <w:color w:val="000000"/>
                <w:sz w:val="20"/>
                <w:szCs w:val="20"/>
              </w:rPr>
              <w:t xml:space="preserve">timm, torchvision, Transformers (HuggingFace)</w:t>
            </w:r>
          </w:p>
        </w:tc>
        <w:tc>
          <w:tcPr>
            <w:tcW w:type="dxa" w:w="2800"/>
            <w:shd w:fill="F5F8FC" w:val="clear"/>
            <w:vAlign w:val="center"/>
          </w:tcPr>
          <w:p>
            <w:r>
              <w:rPr>
                <w:b w:val="false"/>
                <w:bCs w:val="false"/>
                <w:color w:val="000000"/>
                <w:sz w:val="20"/>
                <w:szCs w:val="20"/>
              </w:rPr>
              <w:t xml:space="preserve">Pretrained CNN/ViT encoders</w:t>
            </w:r>
          </w:p>
        </w:tc>
      </w:tr>
      <w:tr>
        <w:tc>
          <w:tcPr>
            <w:tcW w:type="dxa" w:w="2400"/>
            <w:vAlign w:val="center"/>
          </w:tcPr>
          <w:p>
            <w:r>
              <w:rPr>
                <w:b w:val="false"/>
                <w:bCs w:val="false"/>
                <w:color w:val="000000"/>
                <w:sz w:val="20"/>
                <w:szCs w:val="20"/>
              </w:rPr>
              <w:t xml:space="preserve">Object detection/segmentation</w:t>
            </w:r>
          </w:p>
        </w:tc>
        <w:tc>
          <w:tcPr>
            <w:tcW w:type="dxa" w:w="3800"/>
            <w:vAlign w:val="center"/>
          </w:tcPr>
          <w:p>
            <w:r>
              <w:rPr>
                <w:b w:val="false"/>
                <w:bCs w:val="false"/>
                <w:color w:val="000000"/>
                <w:sz w:val="20"/>
                <w:szCs w:val="20"/>
              </w:rPr>
              <w:t xml:space="preserve">YOLO (Ultralytics), RT-DETR, Mask R-CNN, Segment Anything (SAM)</w:t>
            </w:r>
          </w:p>
        </w:tc>
        <w:tc>
          <w:tcPr>
            <w:tcW w:type="dxa" w:w="2800"/>
            <w:vAlign w:val="center"/>
          </w:tcPr>
          <w:p>
            <w:r>
              <w:rPr>
                <w:b w:val="false"/>
                <w:bCs w:val="false"/>
                <w:color w:val="000000"/>
                <w:sz w:val="20"/>
                <w:szCs w:val="20"/>
              </w:rPr>
              <w:t xml:space="preserve">Known-defect detection and localization</w:t>
            </w:r>
          </w:p>
        </w:tc>
      </w:tr>
      <w:tr>
        <w:tc>
          <w:tcPr>
            <w:tcW w:type="dxa" w:w="2400"/>
            <w:shd w:fill="F5F8FC" w:val="clear"/>
            <w:vAlign w:val="center"/>
          </w:tcPr>
          <w:p>
            <w:r>
              <w:rPr>
                <w:b w:val="false"/>
                <w:bCs w:val="false"/>
                <w:color w:val="000000"/>
                <w:sz w:val="20"/>
                <w:szCs w:val="20"/>
              </w:rPr>
              <w:t xml:space="preserve">Anomaly detection baselines</w:t>
            </w:r>
          </w:p>
        </w:tc>
        <w:tc>
          <w:tcPr>
            <w:tcW w:type="dxa" w:w="3800"/>
            <w:shd w:fill="F5F8FC" w:val="clear"/>
            <w:vAlign w:val="center"/>
          </w:tcPr>
          <w:p>
            <w:r>
              <w:rPr>
                <w:b w:val="false"/>
                <w:bCs w:val="false"/>
                <w:color w:val="000000"/>
                <w:sz w:val="20"/>
                <w:szCs w:val="20"/>
              </w:rPr>
              <w:t xml:space="preserve">PatchCore, DRAEM, PaDiM-style implementations</w:t>
            </w:r>
          </w:p>
        </w:tc>
        <w:tc>
          <w:tcPr>
            <w:tcW w:type="dxa" w:w="2800"/>
            <w:shd w:fill="F5F8FC" w:val="clear"/>
            <w:vAlign w:val="center"/>
          </w:tcPr>
          <w:p>
            <w:r>
              <w:rPr>
                <w:b w:val="false"/>
                <w:bCs w:val="false"/>
                <w:color w:val="000000"/>
                <w:sz w:val="20"/>
                <w:szCs w:val="20"/>
              </w:rPr>
              <w:t xml:space="preserve">Open-set / unknown anomaly baselines to compare against</w:t>
            </w:r>
          </w:p>
        </w:tc>
      </w:tr>
      <w:tr>
        <w:tc>
          <w:tcPr>
            <w:tcW w:type="dxa" w:w="2400"/>
            <w:vAlign w:val="center"/>
          </w:tcPr>
          <w:p>
            <w:r>
              <w:rPr>
                <w:b w:val="false"/>
                <w:bCs w:val="false"/>
                <w:color w:val="000000"/>
                <w:sz w:val="20"/>
                <w:szCs w:val="20"/>
              </w:rPr>
              <w:t xml:space="preserve">Time-series modeling</w:t>
            </w:r>
          </w:p>
        </w:tc>
        <w:tc>
          <w:tcPr>
            <w:tcW w:type="dxa" w:w="3800"/>
            <w:vAlign w:val="center"/>
          </w:tcPr>
          <w:p>
            <w:r>
              <w:rPr>
                <w:b w:val="false"/>
                <w:bCs w:val="false"/>
                <w:color w:val="000000"/>
                <w:sz w:val="20"/>
                <w:szCs w:val="20"/>
              </w:rPr>
              <w:t xml:space="preserve">PyTorch (custom LSTM/GRU), PatchTST, statsmodels</w:t>
            </w:r>
          </w:p>
        </w:tc>
        <w:tc>
          <w:tcPr>
            <w:tcW w:type="dxa" w:w="2800"/>
            <w:vAlign w:val="center"/>
          </w:tcPr>
          <w:p>
            <w:r>
              <w:rPr>
                <w:b w:val="false"/>
                <w:bCs w:val="false"/>
                <w:color w:val="000000"/>
                <w:sz w:val="20"/>
                <w:szCs w:val="20"/>
              </w:rPr>
              <w:t xml:space="preserve">Sensor telemetry and historical trend modeling</w:t>
            </w:r>
          </w:p>
        </w:tc>
      </w:tr>
      <w:tr>
        <w:tc>
          <w:tcPr>
            <w:tcW w:type="dxa" w:w="2400"/>
            <w:shd w:fill="F5F8FC" w:val="clear"/>
            <w:vAlign w:val="center"/>
          </w:tcPr>
          <w:p>
            <w:r>
              <w:rPr>
                <w:b w:val="false"/>
                <w:bCs w:val="false"/>
                <w:color w:val="000000"/>
                <w:sz w:val="20"/>
                <w:szCs w:val="20"/>
              </w:rPr>
              <w:t xml:space="preserve">Calibration</w:t>
            </w:r>
          </w:p>
        </w:tc>
        <w:tc>
          <w:tcPr>
            <w:tcW w:type="dxa" w:w="3800"/>
            <w:shd w:fill="F5F8FC" w:val="clear"/>
            <w:vAlign w:val="center"/>
          </w:tcPr>
          <w:p>
            <w:r>
              <w:rPr>
                <w:b w:val="false"/>
                <w:bCs w:val="false"/>
                <w:color w:val="000000"/>
                <w:sz w:val="20"/>
                <w:szCs w:val="20"/>
              </w:rPr>
              <w:t xml:space="preserve">netcal, custom temperature-scaling / focal-calibration loss implementation</w:t>
            </w:r>
          </w:p>
        </w:tc>
        <w:tc>
          <w:tcPr>
            <w:tcW w:type="dxa" w:w="2800"/>
            <w:shd w:fill="F5F8FC" w:val="clear"/>
            <w:vAlign w:val="center"/>
          </w:tcPr>
          <w:p>
            <w:r>
              <w:rPr>
                <w:b w:val="false"/>
                <w:bCs w:val="false"/>
                <w:color w:val="000000"/>
                <w:sz w:val="20"/>
                <w:szCs w:val="20"/>
              </w:rPr>
              <w:t xml:space="preserve">Expected Calibration Error, Brier score, reliability diagrams — core to the novel contribution</w:t>
            </w:r>
          </w:p>
        </w:tc>
      </w:tr>
      <w:tr>
        <w:tc>
          <w:tcPr>
            <w:tcW w:type="dxa" w:w="2400"/>
            <w:vAlign w:val="center"/>
          </w:tcPr>
          <w:p>
            <w:r>
              <w:rPr>
                <w:b w:val="false"/>
                <w:bCs w:val="false"/>
                <w:color w:val="000000"/>
                <w:sz w:val="20"/>
                <w:szCs w:val="20"/>
              </w:rPr>
              <w:t xml:space="preserve">Multimodal fusion</w:t>
            </w:r>
          </w:p>
        </w:tc>
        <w:tc>
          <w:tcPr>
            <w:tcW w:type="dxa" w:w="3800"/>
            <w:vAlign w:val="center"/>
          </w:tcPr>
          <w:p>
            <w:r>
              <w:rPr>
                <w:b w:val="false"/>
                <w:bCs w:val="false"/>
                <w:color w:val="000000"/>
                <w:sz w:val="20"/>
                <w:szCs w:val="20"/>
              </w:rPr>
              <w:t xml:space="preserve">Custom PyTorch gating + fusion module; einops for tensor ops</w:t>
            </w:r>
          </w:p>
        </w:tc>
        <w:tc>
          <w:tcPr>
            <w:tcW w:type="dxa" w:w="2800"/>
            <w:vAlign w:val="center"/>
          </w:tcPr>
          <w:p>
            <w:r>
              <w:rPr>
                <w:b w:val="false"/>
                <w:bCs w:val="false"/>
                <w:color w:val="000000"/>
                <w:sz w:val="20"/>
                <w:szCs w:val="20"/>
              </w:rPr>
              <w:t xml:space="preserve">The novel trust-gated fusion layer</w:t>
            </w:r>
          </w:p>
        </w:tc>
      </w:tr>
      <w:tr>
        <w:tc>
          <w:tcPr>
            <w:tcW w:type="dxa" w:w="2400"/>
            <w:shd w:fill="F5F8FC" w:val="clear"/>
            <w:vAlign w:val="center"/>
          </w:tcPr>
          <w:p>
            <w:r>
              <w:rPr>
                <w:b w:val="false"/>
                <w:bCs w:val="false"/>
                <w:color w:val="000000"/>
                <w:sz w:val="20"/>
                <w:szCs w:val="20"/>
              </w:rPr>
              <w:t xml:space="preserve">RAG / documents</w:t>
            </w:r>
          </w:p>
        </w:tc>
        <w:tc>
          <w:tcPr>
            <w:tcW w:type="dxa" w:w="3800"/>
            <w:shd w:fill="F5F8FC" w:val="clear"/>
            <w:vAlign w:val="center"/>
          </w:tcPr>
          <w:p>
            <w:r>
              <w:rPr>
                <w:b w:val="false"/>
                <w:bCs w:val="false"/>
                <w:color w:val="000000"/>
                <w:sz w:val="20"/>
                <w:szCs w:val="20"/>
              </w:rPr>
              <w:t xml:space="preserve">LangChain or LlamaIndex, FAISS or Chroma (vector store), sentence-transformers</w:t>
            </w:r>
          </w:p>
        </w:tc>
        <w:tc>
          <w:tcPr>
            <w:tcW w:type="dxa" w:w="2800"/>
            <w:shd w:fill="F5F8FC" w:val="clear"/>
            <w:vAlign w:val="center"/>
          </w:tcPr>
          <w:p>
            <w:r>
              <w:rPr>
                <w:b w:val="false"/>
                <w:bCs w:val="false"/>
                <w:color w:val="000000"/>
                <w:sz w:val="20"/>
                <w:szCs w:val="20"/>
              </w:rPr>
              <w:t xml:space="preserve">Document ingestion, embedding, retrieval over SOPs/manuals</w:t>
            </w:r>
          </w:p>
        </w:tc>
      </w:tr>
      <w:tr>
        <w:tc>
          <w:tcPr>
            <w:tcW w:type="dxa" w:w="2400"/>
            <w:vAlign w:val="center"/>
          </w:tcPr>
          <w:p>
            <w:r>
              <w:rPr>
                <w:b w:val="false"/>
                <w:bCs w:val="false"/>
                <w:color w:val="000000"/>
                <w:sz w:val="20"/>
                <w:szCs w:val="20"/>
              </w:rPr>
              <w:t xml:space="preserve">LLM reasoning</w:t>
            </w:r>
          </w:p>
        </w:tc>
        <w:tc>
          <w:tcPr>
            <w:tcW w:type="dxa" w:w="3800"/>
            <w:vAlign w:val="center"/>
          </w:tcPr>
          <w:p>
            <w:r>
              <w:rPr>
                <w:b w:val="false"/>
                <w:bCs w:val="false"/>
                <w:color w:val="000000"/>
                <w:sz w:val="20"/>
                <w:szCs w:val="20"/>
              </w:rPr>
              <w:t xml:space="preserve">Anthropic API / Claude, or a local open-weight LLM (e.g., via vLLM) as a fallback</w:t>
            </w:r>
          </w:p>
        </w:tc>
        <w:tc>
          <w:tcPr>
            <w:tcW w:type="dxa" w:w="2800"/>
            <w:vAlign w:val="center"/>
          </w:tcPr>
          <w:p>
            <w:r>
              <w:rPr>
                <w:b w:val="false"/>
                <w:bCs w:val="false"/>
                <w:color w:val="000000"/>
                <w:sz w:val="20"/>
                <w:szCs w:val="20"/>
              </w:rPr>
              <w:t xml:space="preserve">Structured-evidence-to-explanation reasoning layer</w:t>
            </w:r>
          </w:p>
        </w:tc>
      </w:tr>
      <w:tr>
        <w:tc>
          <w:tcPr>
            <w:tcW w:type="dxa" w:w="2400"/>
            <w:shd w:fill="F5F8FC" w:val="clear"/>
            <w:vAlign w:val="center"/>
          </w:tcPr>
          <w:p>
            <w:r>
              <w:rPr>
                <w:b w:val="false"/>
                <w:bCs w:val="false"/>
                <w:color w:val="000000"/>
                <w:sz w:val="20"/>
                <w:szCs w:val="20"/>
              </w:rPr>
              <w:t xml:space="preserve">Experiment tracking</w:t>
            </w:r>
          </w:p>
        </w:tc>
        <w:tc>
          <w:tcPr>
            <w:tcW w:type="dxa" w:w="3800"/>
            <w:shd w:fill="F5F8FC" w:val="clear"/>
            <w:vAlign w:val="center"/>
          </w:tcPr>
          <w:p>
            <w:r>
              <w:rPr>
                <w:b w:val="false"/>
                <w:bCs w:val="false"/>
                <w:color w:val="000000"/>
                <w:sz w:val="20"/>
                <w:szCs w:val="20"/>
              </w:rPr>
              <w:t xml:space="preserve">Weights &amp; Biases or MLflow</w:t>
            </w:r>
          </w:p>
        </w:tc>
        <w:tc>
          <w:tcPr>
            <w:tcW w:type="dxa" w:w="2800"/>
            <w:shd w:fill="F5F8FC" w:val="clear"/>
            <w:vAlign w:val="center"/>
          </w:tcPr>
          <w:p>
            <w:r>
              <w:rPr>
                <w:b w:val="false"/>
                <w:bCs w:val="false"/>
                <w:color w:val="000000"/>
                <w:sz w:val="20"/>
                <w:szCs w:val="20"/>
              </w:rPr>
              <w:t xml:space="preserve">Tracking ablations, calibration curves across runs</w:t>
            </w:r>
          </w:p>
        </w:tc>
      </w:tr>
    </w:tbl>
    <w:p>
      <w:pPr>
        <w:pStyle w:val="Heading2"/>
        <w:spacing w:after="150" w:before="300"/>
      </w:pPr>
      <w:r>
        <w:t xml:space="preserve">6.2 Backend / systems /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rPr>
          <w:tblHeader/>
        </w:trPr>
        <w:tc>
          <w:tcPr>
            <w:tcW w:type="dxa" w:w="2400"/>
            <w:shd w:fill="1F4E79" w:val="clear"/>
            <w:vAlign w:val="center"/>
          </w:tcPr>
          <w:p>
            <w:r>
              <w:rPr>
                <w:b/>
                <w:bCs/>
                <w:color w:val="FFFFFF"/>
                <w:sz w:val="20"/>
                <w:szCs w:val="20"/>
              </w:rPr>
              <w:t xml:space="preserve">Category</w:t>
            </w:r>
          </w:p>
        </w:tc>
        <w:tc>
          <w:tcPr>
            <w:tcW w:type="dxa" w:w="3800"/>
            <w:shd w:fill="1F4E79" w:val="clear"/>
            <w:vAlign w:val="center"/>
          </w:tcPr>
          <w:p>
            <w:r>
              <w:rPr>
                <w:b/>
                <w:bCs/>
                <w:color w:val="FFFFFF"/>
                <w:sz w:val="20"/>
                <w:szCs w:val="20"/>
              </w:rPr>
              <w:t xml:space="preserve">Libraries / Tools</w:t>
            </w:r>
          </w:p>
        </w:tc>
        <w:tc>
          <w:tcPr>
            <w:tcW w:type="dxa" w:w="2800"/>
            <w:shd w:fill="1F4E79" w:val="clear"/>
            <w:vAlign w:val="center"/>
          </w:tcPr>
          <w:p>
            <w:r>
              <w:rPr>
                <w:b/>
                <w:bCs/>
                <w:color w:val="FFFFFF"/>
                <w:sz w:val="20"/>
                <w:szCs w:val="20"/>
              </w:rPr>
              <w:t xml:space="preserve">Purpose</w:t>
            </w:r>
          </w:p>
        </w:tc>
      </w:tr>
      <w:tr>
        <w:tc>
          <w:tcPr>
            <w:tcW w:type="dxa" w:w="2400"/>
            <w:vAlign w:val="center"/>
          </w:tcPr>
          <w:p>
            <w:r>
              <w:rPr>
                <w:b w:val="false"/>
                <w:bCs w:val="false"/>
                <w:color w:val="000000"/>
                <w:sz w:val="20"/>
                <w:szCs w:val="20"/>
              </w:rPr>
              <w:t xml:space="preserve">API layer</w:t>
            </w:r>
          </w:p>
        </w:tc>
        <w:tc>
          <w:tcPr>
            <w:tcW w:type="dxa" w:w="3800"/>
            <w:vAlign w:val="center"/>
          </w:tcPr>
          <w:p>
            <w:r>
              <w:rPr>
                <w:b w:val="false"/>
                <w:bCs w:val="false"/>
                <w:color w:val="000000"/>
                <w:sz w:val="20"/>
                <w:szCs w:val="20"/>
              </w:rPr>
              <w:t xml:space="preserve">FastAPI, Pydantic</w:t>
            </w:r>
          </w:p>
        </w:tc>
        <w:tc>
          <w:tcPr>
            <w:tcW w:type="dxa" w:w="2800"/>
            <w:vAlign w:val="center"/>
          </w:tcPr>
          <w:p>
            <w:r>
              <w:rPr>
                <w:b w:val="false"/>
                <w:bCs w:val="false"/>
                <w:color w:val="000000"/>
                <w:sz w:val="20"/>
                <w:szCs w:val="20"/>
              </w:rPr>
              <w:t xml:space="preserve">Serving model outputs, ingestion endpoints</w:t>
            </w:r>
          </w:p>
        </w:tc>
      </w:tr>
      <w:tr>
        <w:tc>
          <w:tcPr>
            <w:tcW w:type="dxa" w:w="2400"/>
            <w:shd w:fill="F5F8FC" w:val="clear"/>
            <w:vAlign w:val="center"/>
          </w:tcPr>
          <w:p>
            <w:r>
              <w:rPr>
                <w:b w:val="false"/>
                <w:bCs w:val="false"/>
                <w:color w:val="000000"/>
                <w:sz w:val="20"/>
                <w:szCs w:val="20"/>
              </w:rPr>
              <w:t xml:space="preserve">Database</w:t>
            </w:r>
          </w:p>
        </w:tc>
        <w:tc>
          <w:tcPr>
            <w:tcW w:type="dxa" w:w="3800"/>
            <w:shd w:fill="F5F8FC" w:val="clear"/>
            <w:vAlign w:val="center"/>
          </w:tcPr>
          <w:p>
            <w:r>
              <w:rPr>
                <w:b w:val="false"/>
                <w:bCs w:val="false"/>
                <w:color w:val="000000"/>
                <w:sz w:val="20"/>
                <w:szCs w:val="20"/>
              </w:rPr>
              <w:t xml:space="preserve">PostgreSQL, TimescaleDB extension (optional)</w:t>
            </w:r>
          </w:p>
        </w:tc>
        <w:tc>
          <w:tcPr>
            <w:tcW w:type="dxa" w:w="2800"/>
            <w:shd w:fill="F5F8FC" w:val="clear"/>
            <w:vAlign w:val="center"/>
          </w:tcPr>
          <w:p>
            <w:r>
              <w:rPr>
                <w:b w:val="false"/>
                <w:bCs w:val="false"/>
                <w:color w:val="000000"/>
                <w:sz w:val="20"/>
                <w:szCs w:val="20"/>
              </w:rPr>
              <w:t xml:space="preserve">Structured records, time-series storage</w:t>
            </w:r>
          </w:p>
        </w:tc>
      </w:tr>
      <w:tr>
        <w:tc>
          <w:tcPr>
            <w:tcW w:type="dxa" w:w="2400"/>
            <w:vAlign w:val="center"/>
          </w:tcPr>
          <w:p>
            <w:r>
              <w:rPr>
                <w:b w:val="false"/>
                <w:bCs w:val="false"/>
                <w:color w:val="000000"/>
                <w:sz w:val="20"/>
                <w:szCs w:val="20"/>
              </w:rPr>
              <w:t xml:space="preserve">Caching / queues</w:t>
            </w:r>
          </w:p>
        </w:tc>
        <w:tc>
          <w:tcPr>
            <w:tcW w:type="dxa" w:w="3800"/>
            <w:vAlign w:val="center"/>
          </w:tcPr>
          <w:p>
            <w:r>
              <w:rPr>
                <w:b w:val="false"/>
                <w:bCs w:val="false"/>
                <w:color w:val="000000"/>
                <w:sz w:val="20"/>
                <w:szCs w:val="20"/>
              </w:rPr>
              <w:t xml:space="preserve">Redis, Kafka or MQTT</w:t>
            </w:r>
          </w:p>
        </w:tc>
        <w:tc>
          <w:tcPr>
            <w:tcW w:type="dxa" w:w="2800"/>
            <w:vAlign w:val="center"/>
          </w:tcPr>
          <w:p>
            <w:r>
              <w:rPr>
                <w:b w:val="false"/>
                <w:bCs w:val="false"/>
                <w:color w:val="000000"/>
                <w:sz w:val="20"/>
                <w:szCs w:val="20"/>
              </w:rPr>
              <w:t xml:space="preserve">Streaming sensor data, decoupling ingestion from inference</w:t>
            </w:r>
          </w:p>
        </w:tc>
      </w:tr>
      <w:tr>
        <w:tc>
          <w:tcPr>
            <w:tcW w:type="dxa" w:w="2400"/>
            <w:shd w:fill="F5F8FC" w:val="clear"/>
            <w:vAlign w:val="center"/>
          </w:tcPr>
          <w:p>
            <w:r>
              <w:rPr>
                <w:b w:val="false"/>
                <w:bCs w:val="false"/>
                <w:color w:val="000000"/>
                <w:sz w:val="20"/>
                <w:szCs w:val="20"/>
              </w:rPr>
              <w:t xml:space="preserve">Model serving</w:t>
            </w:r>
          </w:p>
        </w:tc>
        <w:tc>
          <w:tcPr>
            <w:tcW w:type="dxa" w:w="3800"/>
            <w:shd w:fill="F5F8FC" w:val="clear"/>
            <w:vAlign w:val="center"/>
          </w:tcPr>
          <w:p>
            <w:r>
              <w:rPr>
                <w:b w:val="false"/>
                <w:bCs w:val="false"/>
                <w:color w:val="000000"/>
                <w:sz w:val="20"/>
                <w:szCs w:val="20"/>
              </w:rPr>
              <w:t xml:space="preserve">ONNX Runtime, TensorRT (for edge/GPU inference)</w:t>
            </w:r>
          </w:p>
        </w:tc>
        <w:tc>
          <w:tcPr>
            <w:tcW w:type="dxa" w:w="2800"/>
            <w:shd w:fill="F5F8FC" w:val="clear"/>
            <w:vAlign w:val="center"/>
          </w:tcPr>
          <w:p>
            <w:r>
              <w:rPr>
                <w:b w:val="false"/>
                <w:bCs w:val="false"/>
                <w:color w:val="000000"/>
                <w:sz w:val="20"/>
                <w:szCs w:val="20"/>
              </w:rPr>
              <w:t xml:space="preserve">Optimized inference, especially at the edge</w:t>
            </w:r>
          </w:p>
        </w:tc>
      </w:tr>
      <w:tr>
        <w:tc>
          <w:tcPr>
            <w:tcW w:type="dxa" w:w="2400"/>
            <w:vAlign w:val="center"/>
          </w:tcPr>
          <w:p>
            <w:r>
              <w:rPr>
                <w:b w:val="false"/>
                <w:bCs w:val="false"/>
                <w:color w:val="000000"/>
                <w:sz w:val="20"/>
                <w:szCs w:val="20"/>
              </w:rPr>
              <w:t xml:space="preserve">Frontend</w:t>
            </w:r>
          </w:p>
        </w:tc>
        <w:tc>
          <w:tcPr>
            <w:tcW w:type="dxa" w:w="3800"/>
            <w:vAlign w:val="center"/>
          </w:tcPr>
          <w:p>
            <w:r>
              <w:rPr>
                <w:b w:val="false"/>
                <w:bCs w:val="false"/>
                <w:color w:val="000000"/>
                <w:sz w:val="20"/>
                <w:szCs w:val="20"/>
              </w:rPr>
              <w:t xml:space="preserve">React, TypeScript, Recharts or D3, WebSocket client</w:t>
            </w:r>
          </w:p>
        </w:tc>
        <w:tc>
          <w:tcPr>
            <w:tcW w:type="dxa" w:w="2800"/>
            <w:vAlign w:val="center"/>
          </w:tcPr>
          <w:p>
            <w:r>
              <w:rPr>
                <w:b w:val="false"/>
                <w:bCs w:val="false"/>
                <w:color w:val="000000"/>
                <w:sz w:val="20"/>
                <w:szCs w:val="20"/>
              </w:rPr>
              <w:t xml:space="preserve">Dashboard, real-time updates, human-review UI</w:t>
            </w:r>
          </w:p>
        </w:tc>
      </w:tr>
      <w:tr>
        <w:tc>
          <w:tcPr>
            <w:tcW w:type="dxa" w:w="2400"/>
            <w:shd w:fill="F5F8FC" w:val="clear"/>
            <w:vAlign w:val="center"/>
          </w:tcPr>
          <w:p>
            <w:r>
              <w:rPr>
                <w:b w:val="false"/>
                <w:bCs w:val="false"/>
                <w:color w:val="000000"/>
                <w:sz w:val="20"/>
                <w:szCs w:val="20"/>
              </w:rPr>
              <w:t xml:space="preserve">Auth</w:t>
            </w:r>
          </w:p>
        </w:tc>
        <w:tc>
          <w:tcPr>
            <w:tcW w:type="dxa" w:w="3800"/>
            <w:shd w:fill="F5F8FC" w:val="clear"/>
            <w:vAlign w:val="center"/>
          </w:tcPr>
          <w:p>
            <w:r>
              <w:rPr>
                <w:b w:val="false"/>
                <w:bCs w:val="false"/>
                <w:color w:val="000000"/>
                <w:sz w:val="20"/>
                <w:szCs w:val="20"/>
              </w:rPr>
              <w:t xml:space="preserve">OAuth2 / JWT via FastAPI security utilities</w:t>
            </w:r>
          </w:p>
        </w:tc>
        <w:tc>
          <w:tcPr>
            <w:tcW w:type="dxa" w:w="2800"/>
            <w:shd w:fill="F5F8FC" w:val="clear"/>
            <w:vAlign w:val="center"/>
          </w:tcPr>
          <w:p>
            <w:r>
              <w:rPr>
                <w:b w:val="false"/>
                <w:bCs w:val="false"/>
                <w:color w:val="000000"/>
                <w:sz w:val="20"/>
                <w:szCs w:val="20"/>
              </w:rPr>
              <w:t xml:space="preserve">User/role management for human review</w:t>
            </w:r>
          </w:p>
        </w:tc>
      </w:tr>
      <w:tr>
        <w:tc>
          <w:tcPr>
            <w:tcW w:type="dxa" w:w="2400"/>
            <w:vAlign w:val="center"/>
          </w:tcPr>
          <w:p>
            <w:r>
              <w:rPr>
                <w:b w:val="false"/>
                <w:bCs w:val="false"/>
                <w:color w:val="000000"/>
                <w:sz w:val="20"/>
                <w:szCs w:val="20"/>
              </w:rPr>
              <w:t xml:space="preserve">Containerization / deployment</w:t>
            </w:r>
          </w:p>
        </w:tc>
        <w:tc>
          <w:tcPr>
            <w:tcW w:type="dxa" w:w="3800"/>
            <w:vAlign w:val="center"/>
          </w:tcPr>
          <w:p>
            <w:r>
              <w:rPr>
                <w:b w:val="false"/>
                <w:bCs w:val="false"/>
                <w:color w:val="000000"/>
                <w:sz w:val="20"/>
                <w:szCs w:val="20"/>
              </w:rPr>
              <w:t xml:space="preserve">Docker, Docker Compose (or Kubernetes for scale)</w:t>
            </w:r>
          </w:p>
        </w:tc>
        <w:tc>
          <w:tcPr>
            <w:tcW w:type="dxa" w:w="2800"/>
            <w:vAlign w:val="center"/>
          </w:tcPr>
          <w:p>
            <w:r>
              <w:rPr>
                <w:b w:val="false"/>
                <w:bCs w:val="false"/>
                <w:color w:val="000000"/>
                <w:sz w:val="20"/>
                <w:szCs w:val="20"/>
              </w:rPr>
              <w:t xml:space="preserve">Reproducible deployment across environments</w:t>
            </w:r>
          </w:p>
        </w:tc>
      </w:tr>
      <w:tr>
        <w:tc>
          <w:tcPr>
            <w:tcW w:type="dxa" w:w="2400"/>
            <w:shd w:fill="F5F8FC" w:val="clear"/>
            <w:vAlign w:val="center"/>
          </w:tcPr>
          <w:p>
            <w:r>
              <w:rPr>
                <w:b w:val="false"/>
                <w:bCs w:val="false"/>
                <w:color w:val="000000"/>
                <w:sz w:val="20"/>
                <w:szCs w:val="20"/>
              </w:rPr>
              <w:t xml:space="preserve">Cloud (optional)</w:t>
            </w:r>
          </w:p>
        </w:tc>
        <w:tc>
          <w:tcPr>
            <w:tcW w:type="dxa" w:w="3800"/>
            <w:shd w:fill="F5F8FC" w:val="clear"/>
            <w:vAlign w:val="center"/>
          </w:tcPr>
          <w:p>
            <w:r>
              <w:rPr>
                <w:b w:val="false"/>
                <w:bCs w:val="false"/>
                <w:color w:val="000000"/>
                <w:sz w:val="20"/>
                <w:szCs w:val="20"/>
              </w:rPr>
              <w:t xml:space="preserve">AWS / Azure / GCP managed GPU instances, or local edge GPU (e.g., NVIDIA Jetson)</w:t>
            </w:r>
          </w:p>
        </w:tc>
        <w:tc>
          <w:tcPr>
            <w:tcW w:type="dxa" w:w="2800"/>
            <w:shd w:fill="F5F8FC" w:val="clear"/>
            <w:vAlign w:val="center"/>
          </w:tcPr>
          <w:p>
            <w:r>
              <w:rPr>
                <w:b w:val="false"/>
                <w:bCs w:val="false"/>
                <w:color w:val="000000"/>
                <w:sz w:val="20"/>
                <w:szCs w:val="20"/>
              </w:rPr>
              <w:t xml:space="preserve">Training and/or edge inference hosting</w:t>
            </w:r>
          </w:p>
        </w:tc>
      </w:tr>
    </w:tbl>
    <w:p>
      <w:pPr>
        <w:pStyle w:val="Heading2"/>
        <w:spacing w:after="150" w:before="300"/>
      </w:pPr>
      <w:r>
        <w:t xml:space="preserve">6.3 Datasets and benchmarks</w:t>
      </w:r>
    </w:p>
    <w:p>
      <w:pPr>
        <w:pStyle w:val="ListParagraph"/>
        <w:numPr>
          <w:ilvl w:val="0"/>
          <w:numId w:val="1"/>
        </w:numPr>
        <w:spacing w:after="80"/>
      </w:pPr>
      <w:r>
        <w:t xml:space="preserve">MVTec AD — public benchmark, 15 object/texture categories, for initial vision-model development.</w:t>
      </w:r>
    </w:p>
    <w:p>
      <w:pPr>
        <w:pStyle w:val="ListParagraph"/>
        <w:numPr>
          <w:ilvl w:val="0"/>
          <w:numId w:val="1"/>
        </w:numPr>
        <w:spacing w:after="80"/>
      </w:pPr>
      <w:r>
        <w:t xml:space="preserve">MVTec AD 2 — harder scenarios (tiny defects, transparent/reflective surfaces, lighting shifts) for stress-testing localization.</w:t>
      </w:r>
    </w:p>
    <w:p>
      <w:pPr>
        <w:pStyle w:val="ListParagraph"/>
        <w:numPr>
          <w:ilvl w:val="0"/>
          <w:numId w:val="1"/>
        </w:numPr>
        <w:spacing w:after="80"/>
      </w:pPr>
      <w:r>
        <w:t xml:space="preserve">Custom synthetic multimodal dataset — pairs MVTec-style images with simulated correlated sensor streams (temperature, vibration) and programmed modality dropout/noise/contradiction, since no public benchmark currently provides this combination.</w:t>
      </w:r>
    </w:p>
    <w:p>
      <w:pPr>
        <w:pStyle w:val="ListParagraph"/>
        <w:numPr>
          <w:ilvl w:val="0"/>
          <w:numId w:val="1"/>
        </w:numPr>
        <w:spacing w:after="80"/>
      </w:pPr>
      <w:r>
        <w:t xml:space="preserve">Optional physical rig dataset — camera + 1–2 low-cost sensors (e.g., thermocouple, accelerometer) on a controlled object with deliberately induced defects and deliberately interrupted sensor feeds, to validate against real (not only simulated) missing-modality data.</w:t>
      </w:r>
    </w:p>
    <w:p>
      <w:pPr>
        <w:pStyle w:val="Heading1"/>
        <w:spacing w:after="200" w:before="400"/>
      </w:pPr>
      <w:r>
        <w:t xml:space="preserve">7. Evaluation Plan</w:t>
      </w:r>
    </w:p>
    <w:p>
      <w:pPr>
        <w:spacing w:after="160"/>
      </w:pPr>
      <w:r>
        <w:t xml:space="preserve">The evaluation is structured around degradation robustness and calibration honesty, not only clean-data accuracy, since that is where the novel contribution is claimed.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4E79" w:val="clear"/>
            <w:vAlign w:val="center"/>
          </w:tcPr>
          <w:p>
            <w:r>
              <w:rPr>
                <w:b/>
                <w:bCs/>
                <w:color w:val="FFFFFF"/>
                <w:sz w:val="20"/>
                <w:szCs w:val="20"/>
              </w:rPr>
              <w:t xml:space="preserve">Experiment</w:t>
            </w:r>
          </w:p>
        </w:tc>
        <w:tc>
          <w:tcPr>
            <w:tcW w:type="dxa" w:w="4800"/>
            <w:shd w:fill="1F4E79" w:val="clear"/>
            <w:vAlign w:val="center"/>
          </w:tcPr>
          <w:p>
            <w:r>
              <w:rPr>
                <w:b/>
                <w:bCs/>
                <w:color w:val="FFFFFF"/>
                <w:sz w:val="20"/>
                <w:szCs w:val="20"/>
              </w:rPr>
              <w:t xml:space="preserve">Purpose</w:t>
            </w:r>
          </w:p>
        </w:tc>
      </w:tr>
      <w:tr>
        <w:tc>
          <w:tcPr>
            <w:tcW w:type="dxa" w:w="4200"/>
            <w:vAlign w:val="center"/>
          </w:tcPr>
          <w:p>
            <w:r>
              <w:rPr>
                <w:b w:val="false"/>
                <w:bCs w:val="false"/>
                <w:color w:val="000000"/>
                <w:sz w:val="20"/>
                <w:szCs w:val="20"/>
              </w:rPr>
              <w:t xml:space="preserve">Clean, all modalities present</w:t>
            </w:r>
          </w:p>
        </w:tc>
        <w:tc>
          <w:tcPr>
            <w:tcW w:type="dxa" w:w="4800"/>
            <w:vAlign w:val="center"/>
          </w:tcPr>
          <w:p>
            <w:r>
              <w:rPr>
                <w:b w:val="false"/>
                <w:bCs w:val="false"/>
                <w:color w:val="000000"/>
                <w:sz w:val="20"/>
                <w:szCs w:val="20"/>
              </w:rPr>
              <w:t xml:space="preserve">Establish parity with existing static-fusion baselines (e.g., hybrid fusion, cross-modal feature mapping)</w:t>
            </w:r>
          </w:p>
        </w:tc>
      </w:tr>
      <w:tr>
        <w:tc>
          <w:tcPr>
            <w:tcW w:type="dxa" w:w="4200"/>
            <w:shd w:fill="F5F8FC" w:val="clear"/>
            <w:vAlign w:val="center"/>
          </w:tcPr>
          <w:p>
            <w:r>
              <w:rPr>
                <w:b w:val="false"/>
                <w:bCs w:val="false"/>
                <w:color w:val="000000"/>
                <w:sz w:val="20"/>
                <w:szCs w:val="20"/>
              </w:rPr>
              <w:t xml:space="preserve">25% / 50% / 75% random modality dropout at test time</w:t>
            </w:r>
          </w:p>
        </w:tc>
        <w:tc>
          <w:tcPr>
            <w:tcW w:type="dxa" w:w="4800"/>
            <w:shd w:fill="F5F8FC" w:val="clear"/>
            <w:vAlign w:val="center"/>
          </w:tcPr>
          <w:p>
            <w:r>
              <w:rPr>
                <w:b w:val="false"/>
                <w:bCs w:val="false"/>
                <w:color w:val="000000"/>
                <w:sz w:val="20"/>
                <w:szCs w:val="20"/>
              </w:rPr>
              <w:t xml:space="preserve">Accuracy and Expected Calibration Error (ECE) curves, gated fusion vs. static fusion baseline</w:t>
            </w:r>
          </w:p>
        </w:tc>
      </w:tr>
      <w:tr>
        <w:tc>
          <w:tcPr>
            <w:tcW w:type="dxa" w:w="4200"/>
            <w:vAlign w:val="center"/>
          </w:tcPr>
          <w:p>
            <w:r>
              <w:rPr>
                <w:b w:val="false"/>
                <w:bCs w:val="false"/>
                <w:color w:val="000000"/>
                <w:sz w:val="20"/>
                <w:szCs w:val="20"/>
              </w:rPr>
              <w:t xml:space="preserve">Modality contradiction injection (e.g., vision flags defect, sensor reads normal)</w:t>
            </w:r>
          </w:p>
        </w:tc>
        <w:tc>
          <w:tcPr>
            <w:tcW w:type="dxa" w:w="4800"/>
            <w:vAlign w:val="center"/>
          </w:tcPr>
          <w:p>
            <w:r>
              <w:rPr>
                <w:b w:val="false"/>
                <w:bCs w:val="false"/>
                <w:color w:val="000000"/>
                <w:sz w:val="20"/>
                <w:szCs w:val="20"/>
              </w:rPr>
              <w:t xml:space="preserve">Does the gate correctly down-weight the less reliable modality vs. static fusion averaging into a wrong answer</w:t>
            </w:r>
          </w:p>
        </w:tc>
      </w:tr>
      <w:tr>
        <w:tc>
          <w:tcPr>
            <w:tcW w:type="dxa" w:w="4200"/>
            <w:shd w:fill="F5F8FC" w:val="clear"/>
            <w:vAlign w:val="center"/>
          </w:tcPr>
          <w:p>
            <w:r>
              <w:rPr>
                <w:b w:val="false"/>
                <w:bCs w:val="false"/>
                <w:color w:val="000000"/>
                <w:sz w:val="20"/>
                <w:szCs w:val="20"/>
              </w:rPr>
              <w:t xml:space="preserve">With vs. without trust recalibration loop, across simulated deployment “weeks”</w:t>
            </w:r>
          </w:p>
        </w:tc>
        <w:tc>
          <w:tcPr>
            <w:tcW w:type="dxa" w:w="4800"/>
            <w:shd w:fill="F5F8FC" w:val="clear"/>
            <w:vAlign w:val="center"/>
          </w:tcPr>
          <w:p>
            <w:r>
              <w:rPr>
                <w:b w:val="false"/>
                <w:bCs w:val="false"/>
                <w:color w:val="000000"/>
                <w:sz w:val="20"/>
                <w:szCs w:val="20"/>
              </w:rPr>
              <w:t xml:space="preserve">Does per-plant/per-machine trust adaptation reduce false positives/negatives over time</w:t>
            </w:r>
          </w:p>
        </w:tc>
      </w:tr>
      <w:tr>
        <w:tc>
          <w:tcPr>
            <w:tcW w:type="dxa" w:w="4200"/>
            <w:vAlign w:val="center"/>
          </w:tcPr>
          <w:p>
            <w:r>
              <w:rPr>
                <w:b w:val="false"/>
                <w:bCs w:val="false"/>
                <w:color w:val="000000"/>
                <w:sz w:val="20"/>
                <w:szCs w:val="20"/>
              </w:rPr>
              <w:t xml:space="preserve">Reliability diagrams across all of the above</w:t>
            </w:r>
          </w:p>
        </w:tc>
        <w:tc>
          <w:tcPr>
            <w:tcW w:type="dxa" w:w="4800"/>
            <w:vAlign w:val="center"/>
          </w:tcPr>
          <w:p>
            <w:r>
              <w:rPr>
                <w:b w:val="false"/>
                <w:bCs w:val="false"/>
                <w:color w:val="000000"/>
                <w:sz w:val="20"/>
                <w:szCs w:val="20"/>
              </w:rPr>
              <w:t xml:space="preserve">Visual evidence that stated confidence matches empirical correctness</w:t>
            </w:r>
          </w:p>
        </w:tc>
      </w:tr>
    </w:tbl>
    <w:p>
      <w:pPr>
        <w:pStyle w:val="Heading2"/>
        <w:spacing w:after="150" w:before="300"/>
      </w:pPr>
      <w:r>
        <w:t xml:space="preserve">7.1 Metrics</w:t>
      </w:r>
    </w:p>
    <w:p>
      <w:pPr>
        <w:pStyle w:val="ListParagraph"/>
        <w:numPr>
          <w:ilvl w:val="0"/>
          <w:numId w:val="1"/>
        </w:numPr>
        <w:spacing w:after="80"/>
      </w:pPr>
      <w:r>
        <w:t xml:space="preserve">Standard: AUROC, F1, precision/recall, pixel-level localization IoU.</w:t>
      </w:r>
    </w:p>
    <w:p>
      <w:pPr>
        <w:pStyle w:val="ListParagraph"/>
        <w:numPr>
          <w:ilvl w:val="0"/>
          <w:numId w:val="1"/>
        </w:numPr>
        <w:spacing w:after="80"/>
      </w:pPr>
      <w:r>
        <w:t xml:space="preserve">Calibration (core to novelty): Expected Calibration Error (ECE), Brier score, reliability diagrams.</w:t>
      </w:r>
    </w:p>
    <w:p>
      <w:pPr>
        <w:pStyle w:val="ListParagraph"/>
        <w:numPr>
          <w:ilvl w:val="0"/>
          <w:numId w:val="1"/>
        </w:numPr>
        <w:spacing w:after="80"/>
      </w:pPr>
      <w:r>
        <w:t xml:space="preserve">Custom: “graceful degradation slope” — rate of performance decline as modality dropout increases, gated vs. static fusion.</w:t>
      </w:r>
    </w:p>
    <w:p>
      <w:pPr>
        <w:pStyle w:val="Heading2"/>
        <w:spacing w:after="150" w:before="300"/>
      </w:pPr>
      <w:r>
        <w:t xml:space="preserve">7.2 Baselines to compare against</w:t>
      </w:r>
    </w:p>
    <w:p>
      <w:pPr>
        <w:pStyle w:val="ListParagraph"/>
        <w:numPr>
          <w:ilvl w:val="0"/>
          <w:numId w:val="1"/>
        </w:numPr>
        <w:spacing w:after="80"/>
      </w:pPr>
      <w:r>
        <w:t xml:space="preserve">Static/fixed-weight multimodal fusion (reproducing the general approach of Wang et al., 2023, hybrid fusion).</w:t>
      </w:r>
    </w:p>
    <w:p>
      <w:pPr>
        <w:pStyle w:val="ListParagraph"/>
        <w:numPr>
          <w:ilvl w:val="0"/>
          <w:numId w:val="1"/>
        </w:numPr>
        <w:spacing w:after="80"/>
      </w:pPr>
      <w:r>
        <w:t xml:space="preserve">Cross-modal feature mapping (reproducing the general approach of Costanzino et al., 2024).</w:t>
      </w:r>
    </w:p>
    <w:p>
      <w:pPr>
        <w:pStyle w:val="ListParagraph"/>
        <w:numPr>
          <w:ilvl w:val="0"/>
          <w:numId w:val="1"/>
        </w:numPr>
        <w:spacing w:after="80"/>
      </w:pPr>
      <w:r>
        <w:t xml:space="preserve">Image-only baseline (vision encoder alone, no fusion).</w:t>
      </w:r>
    </w:p>
    <w:p>
      <w:pPr>
        <w:pStyle w:val="Heading1"/>
        <w:spacing w:after="200" w:before="400"/>
      </w:pPr>
      <w:r>
        <w:t xml:space="preserve">8. Dataset and Data Collection Plan</w:t>
      </w:r>
    </w:p>
    <w:p>
      <w:pPr>
        <w:pStyle w:val="Heading2"/>
        <w:spacing w:after="150" w:before="300"/>
      </w:pPr>
      <w:r>
        <w:t xml:space="preserve">8.1 Development phase</w:t>
      </w:r>
    </w:p>
    <w:p>
      <w:pPr>
        <w:spacing w:after="160"/>
      </w:pPr>
      <w:r>
        <w:t xml:space="preserve">Use MVTec AD / MVTec AD 2 for the vision component. Pair each image with a simulated sensor stream generated to correlate with defect severity (e.g., higher simulated temperature/vibration variance for more severe defects), and programmatically apply modality dropout, Gaussian noise, and staleness to create controlled degradation scenarios.</w:t>
      </w:r>
    </w:p>
    <w:p>
      <w:pPr>
        <w:pStyle w:val="Heading2"/>
        <w:spacing w:after="150" w:before="300"/>
      </w:pPr>
      <w:r>
        <w:t xml:space="preserve">8.2 Physical validation (optional but recommended)</w:t>
      </w:r>
    </w:p>
    <w:p>
      <w:pPr>
        <w:spacing w:after="160"/>
      </w:pPr>
      <w:r>
        <w:t xml:space="preserve">Build a small rig: one camera, one or two inexpensive sensors (thermocouple for temperature, accelerometer for vibration), and a controlled object onto which defects can be deliberately introduced. Deliberately interrupt sensor feeds during a subset of collection sessions to obtain real (not only simulated) missing-modality data. Document the collection protocol thoroughly — this protocol write-up itself has standalone value, since public benchmarks pairing vision with controlled sensor dropout do not currently exist.</w:t>
      </w:r>
    </w:p>
    <w:p>
      <w:pPr>
        <w:pStyle w:val="Heading2"/>
        <w:spacing w:after="150" w:before="300"/>
      </w:pPr>
      <w:r>
        <w:t xml:space="preserve">8.3 Data schema for human corrections</w:t>
      </w:r>
    </w:p>
    <w:p>
      <w:pPr>
        <w:spacing w:after="160"/>
      </w:pPr>
      <w:r>
        <w:t xml:space="preserve">Every human review decision should be logged with: timestamp, machine/plant ID, modality availability flags, per-modality trust weights at prediction time, model prediction, human correction, and confidence score. This schema is the seam between the platform team (logging it) and the research team (consuming it in the recalibration loop) — agree on it early.</w:t>
      </w:r>
    </w:p>
    <w:p>
      <w:pPr>
        <w:pStyle w:val="Heading1"/>
        <w:spacing w:after="200" w:before="400"/>
      </w:pPr>
      <w:r>
        <w:t xml:space="preserve">9. Two-Person Team Division of Work</w:t>
      </w:r>
    </w:p>
    <w:p>
      <w:pPr>
        <w:pStyle w:val="Heading2"/>
        <w:spacing w:after="150" w:before="300"/>
      </w:pPr>
      <w:r>
        <w:t xml:space="preserve">9.1 Person 1 — ML / Research</w:t>
      </w:r>
    </w:p>
    <w:p>
      <w:pPr>
        <w:pStyle w:val="ListParagraph"/>
        <w:numPr>
          <w:ilvl w:val="0"/>
          <w:numId w:val="1"/>
        </w:numPr>
        <w:spacing w:after="80"/>
      </w:pPr>
      <w:r>
        <w:t xml:space="preserve">Vision and time-series encoders, defect localization.</w:t>
      </w:r>
    </w:p>
    <w:p>
      <w:pPr>
        <w:pStyle w:val="ListParagraph"/>
        <w:numPr>
          <w:ilvl w:val="0"/>
          <w:numId w:val="1"/>
        </w:numPr>
        <w:spacing w:after="80"/>
      </w:pPr>
      <w:r>
        <w:t xml:space="preserve">Modality quality gates and gated fusion layer (core novel module).</w:t>
      </w:r>
    </w:p>
    <w:p>
      <w:pPr>
        <w:pStyle w:val="ListParagraph"/>
        <w:numPr>
          <w:ilvl w:val="0"/>
          <w:numId w:val="1"/>
        </w:numPr>
        <w:spacing w:after="80"/>
      </w:pPr>
      <w:r>
        <w:t xml:space="preserve">Calibration loss design, training with modality dropout/noise augmentation.</w:t>
      </w:r>
    </w:p>
    <w:p>
      <w:pPr>
        <w:pStyle w:val="ListParagraph"/>
        <w:numPr>
          <w:ilvl w:val="0"/>
          <w:numId w:val="1"/>
        </w:numPr>
        <w:spacing w:after="80"/>
      </w:pPr>
      <w:r>
        <w:t xml:space="preserve">Trust recalibration loop design and offline evaluation.</w:t>
      </w:r>
    </w:p>
    <w:p>
      <w:pPr>
        <w:pStyle w:val="ListParagraph"/>
        <w:numPr>
          <w:ilvl w:val="0"/>
          <w:numId w:val="1"/>
        </w:numPr>
        <w:spacing w:after="80"/>
      </w:pPr>
      <w:r>
        <w:t xml:space="preserve">Full ablation study, metrics, reliability diagrams, and the resulting paper/report.</w:t>
      </w:r>
    </w:p>
    <w:p>
      <w:pPr>
        <w:pStyle w:val="Heading2"/>
        <w:spacing w:after="150" w:before="300"/>
      </w:pPr>
      <w:r>
        <w:t xml:space="preserve">9.2 Person 2 — Systems / Product</w:t>
      </w:r>
    </w:p>
    <w:p>
      <w:pPr>
        <w:pStyle w:val="ListParagraph"/>
        <w:numPr>
          <w:ilvl w:val="0"/>
          <w:numId w:val="1"/>
        </w:numPr>
        <w:spacing w:after="80"/>
      </w:pPr>
      <w:r>
        <w:t xml:space="preserve">Data ingestion pipeline (camera/sensor/streaming), backend (FastAPI, PostgreSQL, Kafka/MQTT).</w:t>
      </w:r>
    </w:p>
    <w:p>
      <w:pPr>
        <w:pStyle w:val="ListParagraph"/>
        <w:numPr>
          <w:ilvl w:val="0"/>
          <w:numId w:val="1"/>
        </w:numPr>
        <w:spacing w:after="80"/>
      </w:pPr>
      <w:r>
        <w:t xml:space="preserve">RAG document ingestion and retrieval service.</w:t>
      </w:r>
    </w:p>
    <w:p>
      <w:pPr>
        <w:pStyle w:val="ListParagraph"/>
        <w:numPr>
          <w:ilvl w:val="0"/>
          <w:numId w:val="1"/>
        </w:numPr>
        <w:spacing w:after="80"/>
      </w:pPr>
      <w:r>
        <w:t xml:space="preserve">LLM reasoning layer integration (prompting, structured-evidence formatting).</w:t>
      </w:r>
    </w:p>
    <w:p>
      <w:pPr>
        <w:pStyle w:val="ListParagraph"/>
        <w:numPr>
          <w:ilvl w:val="0"/>
          <w:numId w:val="1"/>
        </w:numPr>
        <w:spacing w:after="80"/>
      </w:pPr>
      <w:r>
        <w:t xml:space="preserve">Dashboard and human-review UI, including correction-logging schema implementation.</w:t>
      </w:r>
    </w:p>
    <w:p>
      <w:pPr>
        <w:pStyle w:val="ListParagraph"/>
        <w:numPr>
          <w:ilvl w:val="0"/>
          <w:numId w:val="1"/>
        </w:numPr>
        <w:spacing w:after="80"/>
      </w:pPr>
      <w:r>
        <w:t xml:space="preserve">Deployment: containerization, optional edge inference (ONNX/TensorRT), monitoring.</w:t>
      </w:r>
    </w:p>
    <w:p>
      <w:pPr>
        <w:pStyle w:val="Heading2"/>
        <w:spacing w:after="150" w:before="300"/>
      </w:pPr>
      <w:r>
        <w:t xml:space="preserve">9.3 Shared responsibilities</w:t>
      </w:r>
    </w:p>
    <w:p>
      <w:pPr>
        <w:pStyle w:val="ListParagraph"/>
        <w:numPr>
          <w:ilvl w:val="0"/>
          <w:numId w:val="1"/>
        </w:numPr>
        <w:spacing w:after="80"/>
      </w:pPr>
      <w:r>
        <w:t xml:space="preserve">Dataset design (synthetic degradation scenarios, and physical rig collection if pursued).</w:t>
      </w:r>
    </w:p>
    <w:p>
      <w:pPr>
        <w:pStyle w:val="ListParagraph"/>
        <w:numPr>
          <w:ilvl w:val="0"/>
          <w:numId w:val="1"/>
        </w:numPr>
        <w:spacing w:after="80"/>
      </w:pPr>
      <w:r>
        <w:t xml:space="preserve">Architecture decisions at the interface between fusion output and downstream reasoning.</w:t>
      </w:r>
    </w:p>
    <w:p>
      <w:pPr>
        <w:pStyle w:val="ListParagraph"/>
        <w:numPr>
          <w:ilvl w:val="0"/>
          <w:numId w:val="1"/>
        </w:numPr>
        <w:spacing w:after="80"/>
      </w:pPr>
      <w:r>
        <w:t xml:space="preserve">Final integration and demo.</w:t>
      </w:r>
    </w:p>
    <w:p>
      <w:pPr>
        <w:pStyle w:val="Heading1"/>
        <w:spacing w:after="200" w:before="400"/>
      </w:pPr>
      <w:r>
        <w:t xml:space="preserve">10. Suggested Final Demo</w:t>
      </w:r>
    </w:p>
    <w:p>
      <w:pPr>
        <w:spacing w:after="160"/>
      </w:pPr>
      <w:r>
        <w:t xml:space="preserve">A small physical setup where a camera observes a component while one or two sensors monitor operating conditions. During the demo, a defect is deliberately introduced while a sensor feed is deliberately interrupted or corrupted. The dashboard should show: (1) the anomaly detected with a calibrated confidence score, (2) an explicit note that a modality was degraded/missing and how that affected the trust weighting, (3) severity, likely cause, and a recommended action citing a specific SOP, and (4) a historical anomaly-score trend for the machine. This demonstrates the platform end-to-end and makes the calibration/robustness contribution visible rather than abstract.</w:t>
      </w:r>
    </w:p>
    <w:p>
      <w:pPr>
        <w:pStyle w:val="Heading1"/>
        <w:spacing w:after="200" w:before="400"/>
      </w:pPr>
      <w:r>
        <w:t xml:space="preserve">11.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1F4E79" w:val="clear"/>
            <w:vAlign w:val="center"/>
          </w:tcPr>
          <w:p>
            <w:r>
              <w:rPr>
                <w:b/>
                <w:bCs/>
                <w:color w:val="FFFFFF"/>
                <w:sz w:val="20"/>
                <w:szCs w:val="20"/>
              </w:rPr>
              <w:t xml:space="preserve">Risk</w:t>
            </w:r>
          </w:p>
        </w:tc>
        <w:tc>
          <w:tcPr>
            <w:tcW w:type="dxa" w:w="5200"/>
            <w:shd w:fill="1F4E79" w:val="clear"/>
            <w:vAlign w:val="center"/>
          </w:tcPr>
          <w:p>
            <w:r>
              <w:rPr>
                <w:b/>
                <w:bCs/>
                <w:color w:val="FFFFFF"/>
                <w:sz w:val="20"/>
                <w:szCs w:val="20"/>
              </w:rPr>
              <w:t xml:space="preserve">Mitigation</w:t>
            </w:r>
          </w:p>
        </w:tc>
      </w:tr>
      <w:tr>
        <w:tc>
          <w:tcPr>
            <w:tcW w:type="dxa" w:w="3800"/>
            <w:vAlign w:val="center"/>
          </w:tcPr>
          <w:p>
            <w:r>
              <w:rPr>
                <w:b w:val="false"/>
                <w:bCs w:val="false"/>
                <w:color w:val="000000"/>
                <w:sz w:val="20"/>
                <w:szCs w:val="20"/>
              </w:rPr>
              <w:t xml:space="preserve">Scope creep across 10+ platform modules</w:t>
            </w:r>
          </w:p>
        </w:tc>
        <w:tc>
          <w:tcPr>
            <w:tcW w:type="dxa" w:w="5200"/>
            <w:vAlign w:val="center"/>
          </w:tcPr>
          <w:p>
            <w:r>
              <w:rPr>
                <w:b w:val="false"/>
                <w:bCs w:val="false"/>
                <w:color w:val="000000"/>
                <w:sz w:val="20"/>
                <w:szCs w:val="20"/>
              </w:rPr>
              <w:t xml:space="preserve">Treat Modules 3 and 9 (gating, fusion, calibration, recalibration) as the non-negotiable core; treat dashboard/RAG/LLM layers as “as time permits” engineering depth</w:t>
            </w:r>
          </w:p>
        </w:tc>
      </w:tr>
      <w:tr>
        <w:tc>
          <w:tcPr>
            <w:tcW w:type="dxa" w:w="3800"/>
            <w:shd w:fill="F5F8FC" w:val="clear"/>
            <w:vAlign w:val="center"/>
          </w:tcPr>
          <w:p>
            <w:r>
              <w:rPr>
                <w:b w:val="false"/>
                <w:bCs w:val="false"/>
                <w:color w:val="000000"/>
                <w:sz w:val="20"/>
                <w:szCs w:val="20"/>
              </w:rPr>
              <w:t xml:space="preserve">No physical rig feasible in the timeline</w:t>
            </w:r>
          </w:p>
        </w:tc>
        <w:tc>
          <w:tcPr>
            <w:tcW w:type="dxa" w:w="5200"/>
            <w:shd w:fill="F5F8FC" w:val="clear"/>
            <w:vAlign w:val="center"/>
          </w:tcPr>
          <w:p>
            <w:r>
              <w:rPr>
                <w:b w:val="false"/>
                <w:bCs w:val="false"/>
                <w:color w:val="000000"/>
                <w:sz w:val="20"/>
                <w:szCs w:val="20"/>
              </w:rPr>
              <w:t xml:space="preserve">Fall back entirely to the synthetic degradation dataset described in Section 8.1; still yields a valid, publishable ablation</w:t>
            </w:r>
          </w:p>
        </w:tc>
      </w:tr>
      <w:tr>
        <w:tc>
          <w:tcPr>
            <w:tcW w:type="dxa" w:w="3800"/>
            <w:vAlign w:val="center"/>
          </w:tcPr>
          <w:p>
            <w:r>
              <w:rPr>
                <w:b w:val="false"/>
                <w:bCs w:val="false"/>
                <w:color w:val="000000"/>
                <w:sz w:val="20"/>
                <w:szCs w:val="20"/>
              </w:rPr>
              <w:t xml:space="preserve">Calibration metrics are unfamiliar / easy to misimplement</w:t>
            </w:r>
          </w:p>
        </w:tc>
        <w:tc>
          <w:tcPr>
            <w:tcW w:type="dxa" w:w="5200"/>
            <w:vAlign w:val="center"/>
          </w:tcPr>
          <w:p>
            <w:r>
              <w:rPr>
                <w:b w:val="false"/>
                <w:bCs w:val="false"/>
                <w:color w:val="000000"/>
                <w:sz w:val="20"/>
                <w:szCs w:val="20"/>
              </w:rPr>
              <w:t xml:space="preserve">Use an established library (netcal) for ECE/Brier computation rather than hand-rolling it, and validate against known reference implementations</w:t>
            </w:r>
          </w:p>
        </w:tc>
      </w:tr>
      <w:tr>
        <w:tc>
          <w:tcPr>
            <w:tcW w:type="dxa" w:w="3800"/>
            <w:shd w:fill="F5F8FC" w:val="clear"/>
            <w:vAlign w:val="center"/>
          </w:tcPr>
          <w:p>
            <w:r>
              <w:rPr>
                <w:b w:val="false"/>
                <w:bCs w:val="false"/>
                <w:color w:val="000000"/>
                <w:sz w:val="20"/>
                <w:szCs w:val="20"/>
              </w:rPr>
              <w:t xml:space="preserve">LLM reasoning layer hallucinating recommendations</w:t>
            </w:r>
          </w:p>
        </w:tc>
        <w:tc>
          <w:tcPr>
            <w:tcW w:type="dxa" w:w="5200"/>
            <w:shd w:fill="F5F8FC" w:val="clear"/>
            <w:vAlign w:val="center"/>
          </w:tcPr>
          <w:p>
            <w:r>
              <w:rPr>
                <w:b w:val="false"/>
                <w:bCs w:val="false"/>
                <w:color w:val="000000"/>
                <w:sz w:val="20"/>
                <w:szCs w:val="20"/>
              </w:rPr>
              <w:t xml:space="preserve">Constrain LLM output strictly to cite retrieved SOP passages; treat it as an explanation layer over structured evidence, never as the detector itself</w:t>
            </w:r>
          </w:p>
        </w:tc>
      </w:tr>
    </w:tbl>
    <w:p>
      <w:pPr>
        <w:pStyle w:val="Heading1"/>
        <w:spacing w:after="200" w:before="400"/>
      </w:pPr>
      <w:r>
        <w:t xml:space="preserve">12. Suggested Phased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vAlign w:val="center"/>
          </w:tcPr>
          <w:p>
            <w:r>
              <w:rPr>
                <w:b/>
                <w:bCs/>
                <w:color w:val="FFFFFF"/>
                <w:sz w:val="20"/>
                <w:szCs w:val="20"/>
              </w:rPr>
              <w:t xml:space="preserve">Phase</w:t>
            </w:r>
          </w:p>
        </w:tc>
        <w:tc>
          <w:tcPr>
            <w:tcW w:type="dxa" w:w="6800"/>
            <w:shd w:fill="1F4E79" w:val="clear"/>
            <w:vAlign w:val="center"/>
          </w:tcPr>
          <w:p>
            <w:r>
              <w:rPr>
                <w:b/>
                <w:bCs/>
                <w:color w:val="FFFFFF"/>
                <w:sz w:val="20"/>
                <w:szCs w:val="20"/>
              </w:rPr>
              <w:t xml:space="preserve">Focus</w:t>
            </w:r>
          </w:p>
        </w:tc>
      </w:tr>
      <w:tr>
        <w:tc>
          <w:tcPr>
            <w:tcW w:type="dxa" w:w="2200"/>
            <w:vAlign w:val="center"/>
          </w:tcPr>
          <w:p>
            <w:r>
              <w:rPr>
                <w:b w:val="false"/>
                <w:bCs w:val="false"/>
                <w:color w:val="000000"/>
                <w:sz w:val="20"/>
                <w:szCs w:val="20"/>
              </w:rPr>
              <w:t xml:space="preserve">Phase 1</w:t>
            </w:r>
          </w:p>
        </w:tc>
        <w:tc>
          <w:tcPr>
            <w:tcW w:type="dxa" w:w="6800"/>
            <w:vAlign w:val="center"/>
          </w:tcPr>
          <w:p>
            <w:r>
              <w:rPr>
                <w:b w:val="false"/>
                <w:bCs w:val="false"/>
                <w:color w:val="000000"/>
                <w:sz w:val="20"/>
                <w:szCs w:val="20"/>
              </w:rPr>
              <w:t xml:space="preserve">Vision-only defect detection and localization on MVTec AD (baseline)</w:t>
            </w:r>
          </w:p>
        </w:tc>
      </w:tr>
      <w:tr>
        <w:tc>
          <w:tcPr>
            <w:tcW w:type="dxa" w:w="2200"/>
            <w:shd w:fill="F5F8FC" w:val="clear"/>
            <w:vAlign w:val="center"/>
          </w:tcPr>
          <w:p>
            <w:r>
              <w:rPr>
                <w:b w:val="false"/>
                <w:bCs w:val="false"/>
                <w:color w:val="000000"/>
                <w:sz w:val="20"/>
                <w:szCs w:val="20"/>
              </w:rPr>
              <w:t xml:space="preserve">Phase 2</w:t>
            </w:r>
          </w:p>
        </w:tc>
        <w:tc>
          <w:tcPr>
            <w:tcW w:type="dxa" w:w="6800"/>
            <w:shd w:fill="F5F8FC" w:val="clear"/>
            <w:vAlign w:val="center"/>
          </w:tcPr>
          <w:p>
            <w:r>
              <w:rPr>
                <w:b w:val="false"/>
                <w:bCs w:val="false"/>
                <w:color w:val="000000"/>
                <w:sz w:val="20"/>
                <w:szCs w:val="20"/>
              </w:rPr>
              <w:t xml:space="preserve">Synthetic multimodal dataset construction with programmed modality dropout/noise</w:t>
            </w:r>
          </w:p>
        </w:tc>
      </w:tr>
      <w:tr>
        <w:tc>
          <w:tcPr>
            <w:tcW w:type="dxa" w:w="2200"/>
            <w:vAlign w:val="center"/>
          </w:tcPr>
          <w:p>
            <w:r>
              <w:rPr>
                <w:b w:val="false"/>
                <w:bCs w:val="false"/>
                <w:color w:val="000000"/>
                <w:sz w:val="20"/>
                <w:szCs w:val="20"/>
              </w:rPr>
              <w:t xml:space="preserve">Phase 3</w:t>
            </w:r>
          </w:p>
        </w:tc>
        <w:tc>
          <w:tcPr>
            <w:tcW w:type="dxa" w:w="6800"/>
            <w:vAlign w:val="center"/>
          </w:tcPr>
          <w:p>
            <w:r>
              <w:rPr>
                <w:b w:val="false"/>
                <w:bCs w:val="false"/>
                <w:color w:val="000000"/>
                <w:sz w:val="20"/>
                <w:szCs w:val="20"/>
              </w:rPr>
              <w:t xml:space="preserve">Static fusion baseline (reproducing existing hybrid fusion approach) for comparison</w:t>
            </w:r>
          </w:p>
        </w:tc>
      </w:tr>
      <w:tr>
        <w:tc>
          <w:tcPr>
            <w:tcW w:type="dxa" w:w="2200"/>
            <w:shd w:fill="F5F8FC" w:val="clear"/>
            <w:vAlign w:val="center"/>
          </w:tcPr>
          <w:p>
            <w:r>
              <w:rPr>
                <w:b w:val="false"/>
                <w:bCs w:val="false"/>
                <w:color w:val="000000"/>
                <w:sz w:val="20"/>
                <w:szCs w:val="20"/>
              </w:rPr>
              <w:t xml:space="preserve">Phase 4</w:t>
            </w:r>
          </w:p>
        </w:tc>
        <w:tc>
          <w:tcPr>
            <w:tcW w:type="dxa" w:w="6800"/>
            <w:shd w:fill="F5F8FC" w:val="clear"/>
            <w:vAlign w:val="center"/>
          </w:tcPr>
          <w:p>
            <w:r>
              <w:rPr>
                <w:b w:val="false"/>
                <w:bCs w:val="false"/>
                <w:color w:val="000000"/>
                <w:sz w:val="20"/>
                <w:szCs w:val="20"/>
              </w:rPr>
              <w:t xml:space="preserve">Modality quality gates + gated fusion layer with calibration loss (core novel module)</w:t>
            </w:r>
          </w:p>
        </w:tc>
      </w:tr>
      <w:tr>
        <w:tc>
          <w:tcPr>
            <w:tcW w:type="dxa" w:w="2200"/>
            <w:vAlign w:val="center"/>
          </w:tcPr>
          <w:p>
            <w:r>
              <w:rPr>
                <w:b w:val="false"/>
                <w:bCs w:val="false"/>
                <w:color w:val="000000"/>
                <w:sz w:val="20"/>
                <w:szCs w:val="20"/>
              </w:rPr>
              <w:t xml:space="preserve">Phase 5</w:t>
            </w:r>
          </w:p>
        </w:tc>
        <w:tc>
          <w:tcPr>
            <w:tcW w:type="dxa" w:w="6800"/>
            <w:vAlign w:val="center"/>
          </w:tcPr>
          <w:p>
            <w:r>
              <w:rPr>
                <w:b w:val="false"/>
                <w:bCs w:val="false"/>
                <w:color w:val="000000"/>
                <w:sz w:val="20"/>
                <w:szCs w:val="20"/>
              </w:rPr>
              <w:t xml:space="preserve">Full degradation/calibration evaluation and ablation study</w:t>
            </w:r>
          </w:p>
        </w:tc>
      </w:tr>
      <w:tr>
        <w:tc>
          <w:tcPr>
            <w:tcW w:type="dxa" w:w="2200"/>
            <w:shd w:fill="F5F8FC" w:val="clear"/>
            <w:vAlign w:val="center"/>
          </w:tcPr>
          <w:p>
            <w:r>
              <w:rPr>
                <w:b w:val="false"/>
                <w:bCs w:val="false"/>
                <w:color w:val="000000"/>
                <w:sz w:val="20"/>
                <w:szCs w:val="20"/>
              </w:rPr>
              <w:t xml:space="preserve">Phase 6</w:t>
            </w:r>
          </w:p>
        </w:tc>
        <w:tc>
          <w:tcPr>
            <w:tcW w:type="dxa" w:w="6800"/>
            <w:shd w:fill="F5F8FC" w:val="clear"/>
            <w:vAlign w:val="center"/>
          </w:tcPr>
          <w:p>
            <w:r>
              <w:rPr>
                <w:b w:val="false"/>
                <w:bCs w:val="false"/>
                <w:color w:val="000000"/>
                <w:sz w:val="20"/>
                <w:szCs w:val="20"/>
              </w:rPr>
              <w:t xml:space="preserve">Human-in-the-loop logging + trust recalibration loop</w:t>
            </w:r>
          </w:p>
        </w:tc>
      </w:tr>
      <w:tr>
        <w:tc>
          <w:tcPr>
            <w:tcW w:type="dxa" w:w="2200"/>
            <w:vAlign w:val="center"/>
          </w:tcPr>
          <w:p>
            <w:r>
              <w:rPr>
                <w:b w:val="false"/>
                <w:bCs w:val="false"/>
                <w:color w:val="000000"/>
                <w:sz w:val="20"/>
                <w:szCs w:val="20"/>
              </w:rPr>
              <w:t xml:space="preserve">Phase 7</w:t>
            </w:r>
          </w:p>
        </w:tc>
        <w:tc>
          <w:tcPr>
            <w:tcW w:type="dxa" w:w="6800"/>
            <w:vAlign w:val="center"/>
          </w:tcPr>
          <w:p>
            <w:r>
              <w:rPr>
                <w:b w:val="false"/>
                <w:bCs w:val="false"/>
                <w:color w:val="000000"/>
                <w:sz w:val="20"/>
                <w:szCs w:val="20"/>
              </w:rPr>
              <w:t xml:space="preserve">RAG document ingestion + LLM reasoning/explanation layer</w:t>
            </w:r>
          </w:p>
        </w:tc>
      </w:tr>
      <w:tr>
        <w:tc>
          <w:tcPr>
            <w:tcW w:type="dxa" w:w="2200"/>
            <w:shd w:fill="F5F8FC" w:val="clear"/>
            <w:vAlign w:val="center"/>
          </w:tcPr>
          <w:p>
            <w:r>
              <w:rPr>
                <w:b w:val="false"/>
                <w:bCs w:val="false"/>
                <w:color w:val="000000"/>
                <w:sz w:val="20"/>
                <w:szCs w:val="20"/>
              </w:rPr>
              <w:t xml:space="preserve">Phase 8</w:t>
            </w:r>
          </w:p>
        </w:tc>
        <w:tc>
          <w:tcPr>
            <w:tcW w:type="dxa" w:w="6800"/>
            <w:shd w:fill="F5F8FC" w:val="clear"/>
            <w:vAlign w:val="center"/>
          </w:tcPr>
          <w:p>
            <w:r>
              <w:rPr>
                <w:b w:val="false"/>
                <w:bCs w:val="false"/>
                <w:color w:val="000000"/>
                <w:sz w:val="20"/>
                <w:szCs w:val="20"/>
              </w:rPr>
              <w:t xml:space="preserve">Dashboard, backend integration, deployment packaging</w:t>
            </w:r>
          </w:p>
        </w:tc>
      </w:tr>
      <w:tr>
        <w:tc>
          <w:tcPr>
            <w:tcW w:type="dxa" w:w="2200"/>
            <w:vAlign w:val="center"/>
          </w:tcPr>
          <w:p>
            <w:r>
              <w:rPr>
                <w:b w:val="false"/>
                <w:bCs w:val="false"/>
                <w:color w:val="000000"/>
                <w:sz w:val="20"/>
                <w:szCs w:val="20"/>
              </w:rPr>
              <w:t xml:space="preserve">Phase 9</w:t>
            </w:r>
          </w:p>
        </w:tc>
        <w:tc>
          <w:tcPr>
            <w:tcW w:type="dxa" w:w="6800"/>
            <w:vAlign w:val="center"/>
          </w:tcPr>
          <w:p>
            <w:r>
              <w:rPr>
                <w:b w:val="false"/>
                <w:bCs w:val="false"/>
                <w:color w:val="000000"/>
                <w:sz w:val="20"/>
                <w:szCs w:val="20"/>
              </w:rPr>
              <w:t xml:space="preserve">Optional: physical rig data collection and validation</w:t>
            </w:r>
          </w:p>
        </w:tc>
      </w:tr>
      <w:tr>
        <w:tc>
          <w:tcPr>
            <w:tcW w:type="dxa" w:w="2200"/>
            <w:shd w:fill="F5F8FC" w:val="clear"/>
            <w:vAlign w:val="center"/>
          </w:tcPr>
          <w:p>
            <w:r>
              <w:rPr>
                <w:b w:val="false"/>
                <w:bCs w:val="false"/>
                <w:color w:val="000000"/>
                <w:sz w:val="20"/>
                <w:szCs w:val="20"/>
              </w:rPr>
              <w:t xml:space="preserve">Phase 10</w:t>
            </w:r>
          </w:p>
        </w:tc>
        <w:tc>
          <w:tcPr>
            <w:tcW w:type="dxa" w:w="6800"/>
            <w:shd w:fill="F5F8FC" w:val="clear"/>
            <w:vAlign w:val="center"/>
          </w:tcPr>
          <w:p>
            <w:r>
              <w:rPr>
                <w:b w:val="false"/>
                <w:bCs w:val="false"/>
                <w:color w:val="000000"/>
                <w:sz w:val="20"/>
                <w:szCs w:val="20"/>
              </w:rPr>
              <w:t xml:space="preserve">Final integration, demo preparation, report/paper writing</w:t>
            </w:r>
          </w:p>
        </w:tc>
      </w:tr>
    </w:tbl>
    <w:p>
      <w:pPr>
        <w:pStyle w:val="Heading1"/>
        <w:spacing w:after="200" w:before="400"/>
      </w:pPr>
      <w:r>
        <w:t xml:space="preserve">13. Related Work to Cite and Position Against</w:t>
      </w:r>
    </w:p>
    <w:p>
      <w:pPr>
        <w:pStyle w:val="ListParagraph"/>
        <w:numPr>
          <w:ilvl w:val="0"/>
          <w:numId w:val="1"/>
        </w:numPr>
        <w:spacing w:after="80"/>
      </w:pPr>
      <w:r>
        <w:t xml:space="preserve">Wang, Y., Peng, J., Zhang, J., Yi, R., Wang, Y., Wang, C. “Multimodal Industrial Anomaly Detection via Hybrid Fusion.” CVPR, 2023.</w:t>
      </w:r>
    </w:p>
    <w:p>
      <w:pPr>
        <w:pStyle w:val="ListParagraph"/>
        <w:numPr>
          <w:ilvl w:val="0"/>
          <w:numId w:val="1"/>
        </w:numPr>
        <w:spacing w:after="80"/>
      </w:pPr>
      <w:r>
        <w:t xml:space="preserve">Costanzino, A., Ramirez, P.Z., Lisanti, G., Di Stefano, L. “Multimodal Industrial Anomaly Detection by Crossmodal Feature Mapping.” CVPR, 2024.</w:t>
      </w:r>
    </w:p>
    <w:p>
      <w:pPr>
        <w:pStyle w:val="ListParagraph"/>
        <w:numPr>
          <w:ilvl w:val="0"/>
          <w:numId w:val="1"/>
        </w:numPr>
        <w:spacing w:after="80"/>
      </w:pPr>
      <w:r>
        <w:t xml:space="preserve">Cheng, H., Luo, J., Zhang, X. “Multimodal Industrial Anomaly Detection via Uni-Modal and Cross-Modal Fusion.” IEEE Transactions on Industrial Informatics, 2025.</w:t>
      </w:r>
    </w:p>
    <w:p>
      <w:pPr>
        <w:pStyle w:val="ListParagraph"/>
        <w:numPr>
          <w:ilvl w:val="0"/>
          <w:numId w:val="1"/>
        </w:numPr>
        <w:spacing w:after="80"/>
      </w:pPr>
      <w:r>
        <w:t xml:space="preserve">Long, K., Xie, G., Ma, L., Liu, J., Lu, Z. “Revisiting Multimodal Fusion for 3D Anomaly Detection from an Architectural Perspective.” AAAI, 2025.</w:t>
      </w:r>
    </w:p>
    <w:p>
      <w:pPr>
        <w:pStyle w:val="ListParagraph"/>
        <w:numPr>
          <w:ilvl w:val="0"/>
          <w:numId w:val="1"/>
        </w:numPr>
        <w:spacing w:after="80"/>
      </w:pPr>
      <w:r>
        <w:t xml:space="preserve">Survey: “A Survey on RGB, 3D, and Multimodal Approaches for Unsupervised Industrial Image Anomaly Detection.” Information Fusion, 2025.</w:t>
      </w:r>
    </w:p>
    <w:p>
      <w:pPr>
        <w:pStyle w:val="ListParagraph"/>
        <w:numPr>
          <w:ilvl w:val="0"/>
          <w:numId w:val="1"/>
        </w:numPr>
        <w:spacing w:after="80"/>
      </w:pPr>
      <w:r>
        <w:t xml:space="preserve">2026 Digital-twin multi-modal fusion framework (MMDT-IAD) integrating physical, geometric, visual, and semantic modalities with edge-cloud collaboration. Robotics and Computer Integrated Manufacturing, 2026.</w:t>
      </w:r>
    </w:p>
    <w:p>
      <w:pPr>
        <w:pStyle w:val="ListParagraph"/>
        <w:numPr>
          <w:ilvl w:val="0"/>
          <w:numId w:val="1"/>
        </w:numPr>
        <w:spacing w:after="80"/>
      </w:pPr>
      <w:r>
        <w:t xml:space="preserve">PARAM — Prescriptive Agents based on RAG for Automated Maintenance, arXiv, 2025.</w:t>
      </w:r>
    </w:p>
    <w:p>
      <w:pPr>
        <w:pStyle w:val="ListParagraph"/>
        <w:numPr>
          <w:ilvl w:val="0"/>
          <w:numId w:val="1"/>
        </w:numPr>
        <w:spacing w:after="80"/>
      </w:pPr>
      <w:r>
        <w:t xml:space="preserve">MVTec AD and MVTec AD 2 benchmark papers (Bergmann et al.), for dataset citation.</w:t>
      </w:r>
    </w:p>
    <w:p>
      <w:pPr>
        <w:spacing w:after="160"/>
      </w:pPr>
      <w:r>
        <w:t xml:space="preserve">Note: full bibliographic details (venue pages, DOIs) should be verified and completed at write-up time; the above are sufficient to identify and locate each source for proper citation.</w:t>
      </w:r>
    </w:p>
    <w:p>
      <w:pPr>
        <w:pStyle w:val="Heading1"/>
        <w:spacing w:after="200" w:before="400"/>
      </w:pPr>
      <w:r>
        <w:t xml:space="preserve">14. Summary</w:t>
      </w:r>
    </w:p>
    <w:p>
      <w:pPr>
        <w:spacing w:after="160"/>
      </w:pPr>
      <w:r>
        <w:t xml:space="preserve">This document scopes a project that is deployable, demoable, and engineering-rich as a platform, while anchoring its research claim to a specific, checkable, currently-unaddressed gap: robust, calibrated multimodal fusion under real-world missing and noisy sensor conditions, with an adaptive human-feedback trust loop. The platform layers around this core (vision, RAG, LLM reasoning, dashboard) supply breadth and product depth; the gating, calibration, and recalibration modules supply the novelty that can be defended in a paper or thesis committee.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4E79"/>
      <w:sz w:val="32"/>
      <w:szCs w:val="32"/>
    </w:rPr>
  </w:style>
  <w:style w:type="paragraph" w:styleId="Heading2">
    <w:name w:val="Heading 2"/>
    <w:basedOn w:val="Normal"/>
    <w:next w:val="Normal"/>
    <w:qFormat/>
    <w:pPr>
      <w:spacing w:after="150" w:before="300"/>
      <w:outlineLvl w:val="1"/>
    </w:pPr>
    <w:rPr>
      <w:b/>
      <w:bCs/>
      <w:color w:val="1F4E79"/>
      <w:sz w:val="26"/>
      <w:szCs w:val="26"/>
    </w:rPr>
  </w:style>
  <w:style w:type="paragraph" w:styleId="Heading3">
    <w:name w:val="Heading 3"/>
    <w:basedOn w:val="Normal"/>
    <w:next w:val="Normal"/>
    <w:qFormat/>
    <w:pPr>
      <w:spacing w:after="100" w:before="200"/>
      <w:outlineLvl w:val="2"/>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2026-08-26T06:00:53.156Z</dcterms:created>
  <dcterms:modified xsi:type="dcterms:W3CDTF">2026-08-26T06:00:53.170Z</dcterms:modified>
</cp:coreProperties>
</file>

<file path=docProps/custom.xml><?xml version="1.0" encoding="utf-8"?>
<Properties xmlns="http://schemas.openxmlformats.org/officeDocument/2006/custom-properties" xmlns:vt="http://schemas.openxmlformats.org/officeDocument/2006/docPropsVTypes"/>
</file>