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00"/>
        <w:jc w:val="center"/>
      </w:pPr>
      <w:r>
        <w:rPr>
          <w:rFonts w:ascii="Times New Roman" w:hAnsi="Times New Roman"/>
          <w:b/>
          <w:color w:val="000000"/>
          <w:sz w:val="35"/>
        </w:rPr>
        <w:t>SafeCity: SMART COMMUNITY-BASED WOMEN PROTECTION AND</w:t>
        <w:br/>
      </w:r>
      <w:r>
        <w:rPr>
          <w:rFonts w:ascii="Times New Roman" w:hAnsi="Times New Roman"/>
          <w:b/>
          <w:color w:val="000000"/>
          <w:sz w:val="35"/>
        </w:rPr>
        <w:t>INCIDENT REPORTING PLATFORM</w:t>
      </w:r>
    </w:p>
    <w:p>
      <w:pPr>
        <w:spacing w:before="40" w:after="40"/>
        <w:jc w:val="center"/>
      </w:pPr>
      <w:r>
        <w:rPr>
          <w:rFonts w:ascii="Times New Roman" w:hAnsi="Times New Roman"/>
          <w:b/>
          <w:color w:val="000000"/>
          <w:sz w:val="21"/>
        </w:rPr>
        <w:t>Akshat Singh, Mohammed Aahil Nouman, Siddiq, and Muthuraju V.</w:t>
      </w:r>
    </w:p>
    <w:p>
      <w:pPr>
        <w:spacing w:before="0" w:after="160"/>
        <w:jc w:val="center"/>
      </w:pPr>
      <w:r>
        <w:rPr>
          <w:rFonts w:ascii="Times New Roman" w:hAnsi="Times New Roman"/>
          <w:i/>
          <w:color w:val="1E293B"/>
          <w:sz w:val="17"/>
        </w:rPr>
        <w:t>Department of Computer Science and Engineering, School of Computer Science and Engineering</w:t>
        <w:br/>
        <w:t>Presidency University, Bengaluru, India</w:t>
        <w:br/>
        <w:t>{akshat.singh, aahil.nouman, siddiq}@presidencyuniversity.in, muthuraju.v@presidencyuniversity.in</w:t>
      </w:r>
    </w:p>
    <w:p>
      <w:pPr>
        <w:spacing w:after="80" w:line="252" w:lineRule="auto"/>
        <w:jc w:val="both"/>
      </w:pPr>
      <w:r>
        <w:rPr>
          <w:rFonts w:ascii="Times New Roman" w:hAnsi="Times New Roman"/>
          <w:b/>
          <w:i/>
          <w:sz w:val="19"/>
        </w:rPr>
        <w:t xml:space="preserve">Abstract — </w:t>
      </w:r>
      <w:r>
        <w:rPr>
          <w:rFonts w:ascii="Times New Roman" w:hAnsi="Times New Roman"/>
          <w:sz w:val="19"/>
        </w:rPr>
        <w:t>Personal mobility and physical security in expanding metropolitan transit environments remain severely constrained by street harassment, stalking, and isolated transit corridors. Most mobile safety apps only act as post-incident panic buttons—requiring a user to trigger an SOS after a confrontation has already begun, rather than helping commuters avoid high-risk streets beforehand. This leaves a vast amount of street intimidation unrecorded—a well-documented challenge criminologists term the "dark figure of crime." Simultaneously, standard GPS mapping services route pedestrians along shortest physical paths without considering street illumination or deserted alleys. This paper introduces SafeCity, a unified mobile and web platform bridging crowdsourced hazard reporting with proactive, safety-weighted navigation. The system pairs an anonymous, coordinate-quantized reporting workflow with administrative verification, a multi-criteria pathfinding algorithm that discounts historical spatial hazards while rewarding 24/7 safe havens and active lighting, a continuous GPS companion escort with an autonomous 180-second stationary watchdog, and an emergency audio-visual beacon. Field evaluations across Bengaluru transit corridors confirm sub-second routing response (median 310 ms), reliable 12-meter GPS tracking accuracy, a high-precision inactivity state machine, and sharp safety discrimination (scoring well-lit arterials at 94/100 versus unlit shortcuts at 48/100). Our design aligns with UN SDG targets 5, 9, and 11 by advancing gender-equitable mobility, resilient civic infrastructure, and safer urban transit corridors [10].</w:t>
      </w:r>
    </w:p>
    <w:p>
      <w:pPr>
        <w:spacing w:after="240" w:line="252" w:lineRule="auto"/>
        <w:jc w:val="both"/>
      </w:pPr>
      <w:r>
        <w:rPr>
          <w:rFonts w:ascii="Times New Roman" w:hAnsi="Times New Roman"/>
          <w:b/>
          <w:i/>
          <w:sz w:val="19"/>
        </w:rPr>
        <w:t xml:space="preserve">Keywords — </w:t>
      </w:r>
      <w:r>
        <w:rPr>
          <w:rFonts w:ascii="Times New Roman" w:hAnsi="Times New Roman"/>
          <w:sz w:val="19"/>
        </w:rPr>
        <w:t>Women's Safety, Crowdsourced Incident Reporting, Geographic Information Systems (GIS), Multi-Objective Route Optimization, Haversine Telemetry, Spatial Clustering, Geolocation API, Civic Computing.</w:t>
      </w:r>
    </w:p>
    <w:p>
      <w:pPr>
        <w:sectPr>
          <w:pgSz w:w="12240" w:h="15840"/>
          <w:pgMar w:top="1080" w:right="1008" w:bottom="1080" w:left="1008" w:header="720" w:footer="720" w:gutter="0"/>
          <w:cols w:space="720"/>
          <w:docGrid w:linePitch="360"/>
        </w:sectPr>
      </w:pPr>
    </w:p>
    <w:p>
      <w:pPr>
        <w:keepNext/>
        <w:spacing w:before="160" w:after="50"/>
        <w:jc w:val="center"/>
      </w:pPr>
      <w:r>
        <w:rPr>
          <w:rFonts w:ascii="Times New Roman" w:hAnsi="Times New Roman"/>
          <w:b/>
          <w:color w:val="000000"/>
          <w:sz w:val="20"/>
        </w:rPr>
        <w:t>I. INTRODUCTION</w:t>
      </w:r>
    </w:p>
    <w:p>
      <w:pPr>
        <w:spacing w:after="60" w:line="252" w:lineRule="auto"/>
        <w:jc w:val="both"/>
      </w:pPr>
      <w:r>
        <w:rPr>
          <w:rFonts w:ascii="Times New Roman" w:hAnsi="Times New Roman"/>
          <w:color w:val="000000"/>
          <w:sz w:val="19"/>
        </w:rPr>
        <w:t>Freedom of movement and personal security in public spaces are critical requirements for equal social and economic opportunity [1]. Even with ongoing municipal investments, women, university students, and late-night workers in fast-growing cities regularly face intimidation in unmonitored underpasses, poorly lit bus stands, and deserted connecting roads [2]. In major technological centers like Bengaluru, suburban commercial expansion has outpaced pedestrian infrastructure, leaving visible gaps in street lighting, night foot traffic, and police presence.</w:t>
      </w:r>
    </w:p>
    <w:p>
      <w:pPr>
        <w:spacing w:after="60" w:line="252" w:lineRule="auto"/>
        <w:jc w:val="both"/>
      </w:pPr>
      <w:r>
        <w:rPr>
          <w:rFonts w:ascii="Times New Roman" w:hAnsi="Times New Roman"/>
          <w:color w:val="000000"/>
          <w:sz w:val="19"/>
        </w:rPr>
        <w:t>Field studies in criminology and HCI highlight three practical limitations with reactive SOS tools [3]:</w:t>
      </w:r>
    </w:p>
    <w:p>
      <w:pPr>
        <w:spacing w:after="50" w:line="252" w:lineRule="auto"/>
        <w:ind w:left="259" w:hanging="259"/>
        <w:jc w:val="both"/>
      </w:pPr>
      <w:r>
        <w:rPr>
          <w:rFonts w:ascii="Times New Roman" w:hAnsi="Times New Roman"/>
          <w:b/>
          <w:sz w:val="19"/>
        </w:rPr>
        <w:t xml:space="preserve">• </w:t>
      </w:r>
      <w:r>
        <w:rPr>
          <w:rFonts w:ascii="Times New Roman" w:hAnsi="Times New Roman"/>
          <w:b/>
          <w:sz w:val="19"/>
        </w:rPr>
        <w:t xml:space="preserve">Panic and Physical Restraint: </w:t>
      </w:r>
      <w:r>
        <w:rPr>
          <w:rFonts w:ascii="Times New Roman" w:hAnsi="Times New Roman"/>
          <w:sz w:val="19"/>
        </w:rPr>
        <w:t>Sudden physical threats often induce panic or physical restraint, making it difficult to unlock a phone and press an alarm.</w:t>
      </w:r>
    </w:p>
    <w:p>
      <w:pPr>
        <w:spacing w:after="50" w:line="252" w:lineRule="auto"/>
        <w:ind w:left="259" w:hanging="259"/>
        <w:jc w:val="both"/>
      </w:pPr>
      <w:r>
        <w:rPr>
          <w:rFonts w:ascii="Times New Roman" w:hAnsi="Times New Roman"/>
          <w:b/>
          <w:sz w:val="19"/>
        </w:rPr>
        <w:t xml:space="preserve">• </w:t>
      </w:r>
      <w:r>
        <w:rPr>
          <w:rFonts w:ascii="Times New Roman" w:hAnsi="Times New Roman"/>
          <w:b/>
          <w:sz w:val="19"/>
        </w:rPr>
        <w:t xml:space="preserve">Absence of Pre-Trip Guidance: </w:t>
      </w:r>
      <w:r>
        <w:rPr>
          <w:rFonts w:ascii="Times New Roman" w:hAnsi="Times New Roman"/>
          <w:sz w:val="19"/>
        </w:rPr>
        <w:t>Panic buttons do not offer pre-trip hazard warnings, meaning commuters still walk into dangerous areas without realizing it.</w:t>
      </w:r>
    </w:p>
    <w:p>
      <w:pPr>
        <w:spacing w:after="50" w:line="252" w:lineRule="auto"/>
        <w:ind w:left="259" w:hanging="259"/>
        <w:jc w:val="both"/>
      </w:pPr>
      <w:r>
        <w:rPr>
          <w:rFonts w:ascii="Times New Roman" w:hAnsi="Times New Roman"/>
          <w:b/>
          <w:sz w:val="19"/>
        </w:rPr>
        <w:t xml:space="preserve">• </w:t>
      </w:r>
      <w:r>
        <w:rPr>
          <w:rFonts w:ascii="Times New Roman" w:hAnsi="Times New Roman"/>
          <w:b/>
          <w:sz w:val="19"/>
        </w:rPr>
        <w:t xml:space="preserve">The 'Dark Figure of Crime': </w:t>
      </w:r>
      <w:r>
        <w:rPr>
          <w:rFonts w:ascii="Times New Roman" w:hAnsi="Times New Roman"/>
          <w:sz w:val="19"/>
        </w:rPr>
        <w:t>They ignore everyday harassment, stalking, and catcalling that victims rarely report to law enforcement due to social stigma, procedural burden, or fear of retaliation [4].</w:t>
      </w:r>
    </w:p>
    <w:p>
      <w:pPr>
        <w:spacing w:after="60" w:line="252" w:lineRule="auto"/>
        <w:jc w:val="both"/>
      </w:pPr>
      <w:r>
        <w:rPr>
          <w:rFonts w:ascii="Times New Roman" w:hAnsi="Times New Roman"/>
          <w:color w:val="000000"/>
          <w:sz w:val="19"/>
        </w:rPr>
        <w:t>At the same time, commercial mapping tools (such as Google Maps and Apple Maps) focus almost exclusively on minimizing walking distance or transit duration [5], [6]. In dense neighborhoods, the quickest walking route often cuts through deserted alleys or unlit residential lanes, steering commuters into high-risk spots just to save a few minutes. Mainstream routing systems do not account for perceived human safety or physical visibility.</w:t>
      </w:r>
    </w:p>
    <w:p>
      <w:pPr>
        <w:spacing w:after="60" w:line="252" w:lineRule="auto"/>
        <w:jc w:val="both"/>
      </w:pPr>
      <w:r>
        <w:rPr>
          <w:rFonts w:ascii="Times New Roman" w:hAnsi="Times New Roman"/>
          <w:color w:val="000000"/>
          <w:sz w:val="19"/>
        </w:rPr>
        <w:t>To address these gaps, SafeCity introduces an integrated platform combining grassroots participatory safety reporting, risk-weighted navigation, and live companion escorts. The core contributions of this work are as follows:</w:t>
      </w:r>
    </w:p>
    <w:p>
      <w:pPr>
        <w:spacing w:after="50" w:line="252" w:lineRule="auto"/>
        <w:ind w:left="259" w:hanging="259"/>
        <w:jc w:val="both"/>
      </w:pPr>
      <w:r>
        <w:rPr>
          <w:rFonts w:ascii="Times New Roman" w:hAnsi="Times New Roman"/>
          <w:b/>
          <w:sz w:val="19"/>
        </w:rPr>
        <w:t xml:space="preserve">• </w:t>
      </w:r>
      <w:r>
        <w:rPr>
          <w:rFonts w:ascii="Times New Roman" w:hAnsi="Times New Roman"/>
          <w:b/>
          <w:sz w:val="19"/>
        </w:rPr>
        <w:t xml:space="preserve">Proactive Multi-Criteria Pathfinding: </w:t>
      </w:r>
      <w:r>
        <w:rPr>
          <w:rFonts w:ascii="Times New Roman" w:hAnsi="Times New Roman"/>
          <w:sz w:val="19"/>
        </w:rPr>
        <w:t>A route planning algorithm that balances distance, street illumination, active 24/7 civic refuge havens, and exponentially decaying spatial crime clusters, enabling commuters to deliberately trade slight distance increases for substantial crime risk reductions.</w:t>
      </w:r>
    </w:p>
    <w:p>
      <w:pPr>
        <w:spacing w:after="50" w:line="252" w:lineRule="auto"/>
        <w:ind w:left="259" w:hanging="259"/>
        <w:jc w:val="both"/>
      </w:pPr>
      <w:r>
        <w:rPr>
          <w:rFonts w:ascii="Times New Roman" w:hAnsi="Times New Roman"/>
          <w:b/>
          <w:sz w:val="19"/>
        </w:rPr>
        <w:t xml:space="preserve">• </w:t>
      </w:r>
      <w:r>
        <w:rPr>
          <w:rFonts w:ascii="Times New Roman" w:hAnsi="Times New Roman"/>
          <w:b/>
          <w:sz w:val="19"/>
        </w:rPr>
        <w:t xml:space="preserve">Privacy-Preserving Participatory Ingestion: </w:t>
      </w:r>
      <w:r>
        <w:rPr>
          <w:rFonts w:ascii="Times New Roman" w:hAnsi="Times New Roman"/>
          <w:sz w:val="19"/>
        </w:rPr>
        <w:t>An anonymous reporting pipeline that quantizes spatial coordinates to a 3-decimal grid cell (~110-meter resolution) to eliminate victim doorway identification while maintaining actionable geographic intelligence.</w:t>
      </w:r>
    </w:p>
    <w:p>
      <w:pPr>
        <w:spacing w:after="50" w:line="252" w:lineRule="auto"/>
        <w:ind w:left="259" w:hanging="259"/>
        <w:jc w:val="both"/>
      </w:pPr>
      <w:r>
        <w:rPr>
          <w:rFonts w:ascii="Times New Roman" w:hAnsi="Times New Roman"/>
          <w:b/>
          <w:sz w:val="19"/>
        </w:rPr>
        <w:t xml:space="preserve">• </w:t>
      </w:r>
      <w:r>
        <w:rPr>
          <w:rFonts w:ascii="Times New Roman" w:hAnsi="Times New Roman"/>
          <w:b/>
          <w:sz w:val="19"/>
        </w:rPr>
        <w:t xml:space="preserve">Companion Escort &amp; Inactivity Watchdog: </w:t>
      </w:r>
      <w:r>
        <w:rPr>
          <w:rFonts w:ascii="Times New Roman" w:hAnsi="Times New Roman"/>
          <w:sz w:val="19"/>
        </w:rPr>
        <w:t>A continuous GPS-driven virtual escort module featuring live telemetry tracking, speed filtering, an autonomous 180-second stationary countdown watchdog, and multi-stage acoustic-visual emergency escalation.</w:t>
      </w:r>
    </w:p>
    <w:p>
      <w:pPr>
        <w:spacing w:after="50" w:line="252" w:lineRule="auto"/>
        <w:ind w:left="259" w:hanging="259"/>
        <w:jc w:val="both"/>
      </w:pPr>
      <w:r>
        <w:rPr>
          <w:rFonts w:ascii="Times New Roman" w:hAnsi="Times New Roman"/>
          <w:b/>
          <w:sz w:val="19"/>
        </w:rPr>
        <w:t xml:space="preserve">• </w:t>
      </w:r>
      <w:r>
        <w:rPr>
          <w:rFonts w:ascii="Times New Roman" w:hAnsi="Times New Roman"/>
          <w:b/>
          <w:sz w:val="19"/>
        </w:rPr>
        <w:t xml:space="preserve">Comprehensive Civic Refuge Network: </w:t>
      </w:r>
      <w:r>
        <w:rPr>
          <w:rFonts w:ascii="Times New Roman" w:hAnsi="Times New Roman"/>
          <w:sz w:val="19"/>
        </w:rPr>
        <w:t>A verified directory of 24/7 open public sanctuaries (hospitals, petrol bunks, police assistance booths, transit desks) coupled with a two-tier administrative moderation workflow to prevent malicious misinformation.</w:t>
      </w:r>
    </w:p>
    <w:p>
      <w:pPr>
        <w:spacing w:after="60" w:line="252" w:lineRule="auto"/>
        <w:jc w:val="both"/>
      </w:pPr>
      <w:r>
        <w:rPr>
          <w:rFonts w:ascii="Times New Roman" w:hAnsi="Times New Roman"/>
          <w:color w:val="000000"/>
          <w:sz w:val="19"/>
        </w:rPr>
        <w:t>In the following sections, Section II surveys prior work across participatory crime mapping and safety routing. Section III formulates the SafeCity architecture and scoring model, Section IV details the software stack, Section V evaluates the threat model, and Section VI presents our Bengaluru corridor benchmarks.</w:t>
      </w:r>
    </w:p>
    <w:p>
      <w:pPr>
        <w:keepNext/>
        <w:spacing w:before="160" w:after="50"/>
        <w:jc w:val="center"/>
      </w:pPr>
      <w:r>
        <w:rPr>
          <w:rFonts w:ascii="Times New Roman" w:hAnsi="Times New Roman"/>
          <w:b/>
          <w:color w:val="000000"/>
          <w:sz w:val="20"/>
        </w:rPr>
        <w:t>II. RELATED WORK</w:t>
      </w:r>
    </w:p>
    <w:p>
      <w:pPr>
        <w:keepNext/>
        <w:spacing w:before="100" w:after="30"/>
        <w:jc w:val="left"/>
      </w:pPr>
      <w:r>
        <w:rPr>
          <w:rFonts w:ascii="Times New Roman" w:hAnsi="Times New Roman"/>
          <w:b/>
          <w:i/>
          <w:color w:val="000000"/>
          <w:sz w:val="19"/>
        </w:rPr>
        <w:t>A. Participatory Safety Sensing and Crowdsourced Audits</w:t>
      </w:r>
    </w:p>
    <w:p>
      <w:pPr>
        <w:spacing w:after="60" w:line="252" w:lineRule="auto"/>
        <w:jc w:val="both"/>
      </w:pPr>
      <w:r>
        <w:rPr>
          <w:rFonts w:ascii="Times New Roman" w:hAnsi="Times New Roman"/>
          <w:color w:val="000000"/>
          <w:sz w:val="19"/>
        </w:rPr>
        <w:t>Crowdsourced civic sensing has transformed modern spatial safety analysis. Early projects such as Safecity in India and Hollaback globally demonstrated that anonymous digital platforms can capture street-level harassment that never appears in official police crime statistics [2]. Solymosi et al. [4] reviewed mobile-based fear-of-crime reporting and concluded that capturing micro-spatial affective responses provides vital urban planning data, but noted that raw unvetted crowdsourcing often suffers from spatial reporting bias and noise.</w:t>
      </w:r>
    </w:p>
    <w:p>
      <w:pPr>
        <w:keepNext/>
        <w:spacing w:before="100" w:after="30"/>
        <w:jc w:val="left"/>
      </w:pPr>
      <w:r>
        <w:rPr>
          <w:rFonts w:ascii="Times New Roman" w:hAnsi="Times New Roman"/>
          <w:b/>
          <w:i/>
          <w:color w:val="000000"/>
          <w:sz w:val="19"/>
        </w:rPr>
        <w:t>B. Safety-Aware and Multi-Objective Navigation</w:t>
      </w:r>
    </w:p>
    <w:p>
      <w:pPr>
        <w:spacing w:after="60" w:line="252" w:lineRule="auto"/>
        <w:jc w:val="both"/>
      </w:pPr>
      <w:r>
        <w:rPr>
          <w:rFonts w:ascii="Times New Roman" w:hAnsi="Times New Roman"/>
          <w:color w:val="000000"/>
          <w:sz w:val="19"/>
        </w:rPr>
        <w:t>Pedestrian routing algorithms traditionally optimize for physical distance or travel time. Galbrun et al. [1] pioneered the safe-paths formulation, formalizing the trade-off between path length and crime exposure. Quercia et al. [5] proposed algorithms recommending beautiful, quiet, and happy routes based on crowdsourced perception imagery. Levy et al. [6] developed SafeRoute, utilizing deep reinforcement learning on historic municipal crime records to identify safer urban walking corridors. However, existing routing algorithms rely on historical municipal crime data that is rarely updated in real time, and none integrate 24/7 civic safe havens or dynamic street illumination as positive routing attractors.</w:t>
      </w:r>
    </w:p>
    <w:p>
      <w:pPr>
        <w:keepNext/>
        <w:spacing w:before="100" w:after="30"/>
        <w:jc w:val="left"/>
      </w:pPr>
      <w:r>
        <w:rPr>
          <w:rFonts w:ascii="Times New Roman" w:hAnsi="Times New Roman"/>
          <w:b/>
          <w:i/>
          <w:color w:val="000000"/>
          <w:sz w:val="19"/>
        </w:rPr>
        <w:t>C. Mobile Panic Buttons and Reactive Hardware</w:t>
      </w:r>
    </w:p>
    <w:p>
      <w:pPr>
        <w:spacing w:after="60" w:line="252" w:lineRule="auto"/>
        <w:jc w:val="both"/>
      </w:pPr>
      <w:r>
        <w:rPr>
          <w:rFonts w:ascii="Times New Roman" w:hAnsi="Times New Roman"/>
          <w:color w:val="000000"/>
          <w:sz w:val="19"/>
        </w:rPr>
        <w:t>Standalone mobile safety apps such as Abhaya [3] and wearable IoT panic buttons [7] focus almost entirely on post-incident distress signalling. While modern systems incorporate acoustic distress detection [8], they remain inherently reactive: they do not prevent users from walking into dangerous corridors in the first place.</w:t>
      </w:r>
    </w:p>
    <w:p>
      <w:pPr>
        <w:keepNext/>
        <w:spacing w:before="100" w:after="30"/>
        <w:jc w:val="left"/>
      </w:pPr>
      <w:r>
        <w:rPr>
          <w:rFonts w:ascii="Times New Roman" w:hAnsi="Times New Roman"/>
          <w:b/>
          <w:i/>
          <w:color w:val="000000"/>
          <w:sz w:val="19"/>
        </w:rPr>
        <w:t>D. Positioning Against Existing Literature</w:t>
      </w:r>
    </w:p>
    <w:p>
      <w:pPr>
        <w:spacing w:after="60" w:line="252" w:lineRule="auto"/>
        <w:jc w:val="both"/>
      </w:pPr>
      <w:r>
        <w:rPr>
          <w:rFonts w:ascii="Times New Roman" w:hAnsi="Times New Roman"/>
          <w:color w:val="000000"/>
          <w:sz w:val="19"/>
        </w:rPr>
        <w:t>Table I contrasts SafeCity against existing literature across primary routing objectives, live escort capabilities, spatial privacy, and civic refuge integration.</w:t>
      </w:r>
    </w:p>
    <w:p>
      <w:pPr>
        <w:keepNext/>
        <w:spacing w:before="100" w:after="40"/>
        <w:jc w:val="center"/>
      </w:pPr>
      <w:r>
        <w:rPr>
          <w:rFonts w:ascii="Times New Roman" w:hAnsi="Times New Roman"/>
          <w:b/>
          <w:sz w:val="16"/>
        </w:rPr>
        <w:t>TABLE I. POSITIONING RELATIVE TO RELATED WORK</w:t>
      </w:r>
    </w:p>
    <w:tbl>
      <w:tblPr>
        <w:tblW w:type="auto" w:w="0"/>
        <w:jc w:val="center"/>
        <w:tblLook w:firstColumn="1" w:firstRow="1" w:lastColumn="0" w:lastRow="0" w:noHBand="0" w:noVBand="1" w:val="04A0"/>
      </w:tblPr>
      <w:tblGrid>
        <w:gridCol w:w="2556"/>
        <w:gridCol w:w="2556"/>
        <w:gridCol w:w="2556"/>
        <w:gridCol w:w="2556"/>
      </w:tblGrid>
      <w:tr>
        <w:trPr>
          <w:cantSplit/>
        </w:trPr>
        <w:tc>
          <w:tcPr>
            <w:tcW w:type="dxa" w:w="864"/>
            <w:shd w:fill="1E293B"/>
            <w:tcMar>
              <w:top w:w="35" w:type="dxa"/>
              <w:bottom w:w="35" w:type="dxa"/>
              <w:left w:w="45" w:type="dxa"/>
              <w:right w:w="45" w:type="dxa"/>
            </w:tcMar>
          </w:tcPr>
          <w:p>
            <w:pPr>
              <w:keepNext/>
              <w:jc w:val="center"/>
            </w:pPr>
            <w:r>
              <w:rPr>
                <w:rFonts w:ascii="Times New Roman" w:hAnsi="Times New Roman"/>
                <w:b/>
                <w:color w:val="FFFFFF"/>
                <w:sz w:val="16"/>
              </w:rPr>
              <w:t>Ref.</w:t>
            </w:r>
          </w:p>
        </w:tc>
        <w:tc>
          <w:tcPr>
            <w:tcW w:type="dxa" w:w="2016"/>
            <w:shd w:fill="1E293B"/>
            <w:tcMar>
              <w:top w:w="35" w:type="dxa"/>
              <w:bottom w:w="35" w:type="dxa"/>
              <w:left w:w="45" w:type="dxa"/>
              <w:right w:w="45" w:type="dxa"/>
            </w:tcMar>
          </w:tcPr>
          <w:p>
            <w:pPr>
              <w:keepNext/>
              <w:jc w:val="center"/>
            </w:pPr>
            <w:r>
              <w:rPr>
                <w:rFonts w:ascii="Times New Roman" w:hAnsi="Times New Roman"/>
                <w:b/>
                <w:color w:val="FFFFFF"/>
                <w:sz w:val="16"/>
              </w:rPr>
              <w:t>Core Focus</w:t>
            </w:r>
          </w:p>
        </w:tc>
        <w:tc>
          <w:tcPr>
            <w:tcW w:type="dxa" w:w="1008"/>
            <w:shd w:fill="1E293B"/>
            <w:tcMar>
              <w:top w:w="35" w:type="dxa"/>
              <w:bottom w:w="35" w:type="dxa"/>
              <w:left w:w="45" w:type="dxa"/>
              <w:right w:w="45" w:type="dxa"/>
            </w:tcMar>
          </w:tcPr>
          <w:p>
            <w:pPr>
              <w:keepNext/>
              <w:jc w:val="center"/>
            </w:pPr>
            <w:r>
              <w:rPr>
                <w:rFonts w:ascii="Times New Roman" w:hAnsi="Times New Roman"/>
                <w:b/>
                <w:color w:val="FFFFFF"/>
                <w:sz w:val="16"/>
              </w:rPr>
              <w:t>Proactive?</w:t>
            </w:r>
          </w:p>
        </w:tc>
        <w:tc>
          <w:tcPr>
            <w:tcW w:type="dxa" w:w="1008"/>
            <w:shd w:fill="1E293B"/>
            <w:tcMar>
              <w:top w:w="35" w:type="dxa"/>
              <w:bottom w:w="35" w:type="dxa"/>
              <w:left w:w="45" w:type="dxa"/>
              <w:right w:w="45" w:type="dxa"/>
            </w:tcMar>
          </w:tcPr>
          <w:p>
            <w:pPr>
              <w:keepNext/>
              <w:jc w:val="center"/>
            </w:pPr>
            <w:r>
              <w:rPr>
                <w:rFonts w:ascii="Times New Roman" w:hAnsi="Times New Roman"/>
                <w:b/>
                <w:color w:val="FFFFFF"/>
                <w:sz w:val="16"/>
              </w:rPr>
              <w:t>Live Escort?</w:t>
            </w:r>
          </w:p>
        </w:tc>
      </w:tr>
      <w:tr>
        <w:trPr>
          <w:cantSplit/>
        </w:trPr>
        <w:tc>
          <w:tcPr>
            <w:tcW w:type="dxa" w:w="864"/>
            <w:shd w:fill="FFFFFF"/>
            <w:tcMar>
              <w:top w:w="28" w:type="dxa"/>
              <w:bottom w:w="28" w:type="dxa"/>
              <w:left w:w="40" w:type="dxa"/>
              <w:right w:w="40" w:type="dxa"/>
            </w:tcMar>
          </w:tcPr>
          <w:p>
            <w:pPr>
              <w:keepNext/>
              <w:jc w:val="center"/>
            </w:pPr>
            <w:r>
              <w:rPr>
                <w:rFonts w:ascii="Times New Roman" w:hAnsi="Times New Roman"/>
                <w:color w:val="0F172A"/>
                <w:sz w:val="15"/>
              </w:rPr>
              <w:t>[1], [2]</w:t>
            </w:r>
          </w:p>
        </w:tc>
        <w:tc>
          <w:tcPr>
            <w:tcW w:type="dxa" w:w="2016"/>
            <w:shd w:fill="FFFFFF"/>
            <w:tcMar>
              <w:top w:w="28" w:type="dxa"/>
              <w:bottom w:w="28" w:type="dxa"/>
              <w:left w:w="40" w:type="dxa"/>
              <w:right w:w="40" w:type="dxa"/>
            </w:tcMar>
          </w:tcPr>
          <w:p>
            <w:pPr>
              <w:keepNext/>
              <w:jc w:val="left"/>
            </w:pPr>
            <w:r>
              <w:rPr>
                <w:rFonts w:ascii="Times New Roman" w:hAnsi="Times New Roman"/>
                <w:color w:val="0F172A"/>
                <w:sz w:val="15"/>
              </w:rPr>
              <w:t>Safe path heuristics &amp; crowdsourcing</w:t>
            </w:r>
          </w:p>
        </w:tc>
        <w:tc>
          <w:tcPr>
            <w:tcW w:type="dxa" w:w="1008"/>
            <w:shd w:fill="FFFFFF"/>
            <w:tcMar>
              <w:top w:w="28" w:type="dxa"/>
              <w:bottom w:w="28" w:type="dxa"/>
              <w:left w:w="40" w:type="dxa"/>
              <w:right w:w="40" w:type="dxa"/>
            </w:tcMar>
          </w:tcPr>
          <w:p>
            <w:pPr>
              <w:keepNext/>
              <w:jc w:val="left"/>
            </w:pPr>
            <w:r>
              <w:rPr>
                <w:rFonts w:ascii="Times New Roman" w:hAnsi="Times New Roman"/>
                <w:color w:val="0F172A"/>
                <w:sz w:val="15"/>
              </w:rPr>
              <w:t>Heuristic</w:t>
            </w:r>
          </w:p>
        </w:tc>
        <w:tc>
          <w:tcPr>
            <w:tcW w:type="dxa" w:w="1008"/>
            <w:shd w:fill="FFFFFF"/>
            <w:tcMar>
              <w:top w:w="28" w:type="dxa"/>
              <w:bottom w:w="28" w:type="dxa"/>
              <w:left w:w="40" w:type="dxa"/>
              <w:right w:w="40" w:type="dxa"/>
            </w:tcMar>
          </w:tcPr>
          <w:p>
            <w:pPr>
              <w:keepNext/>
              <w:jc w:val="left"/>
            </w:pPr>
            <w:r>
              <w:rPr>
                <w:rFonts w:ascii="Times New Roman" w:hAnsi="Times New Roman"/>
                <w:color w:val="0F172A"/>
                <w:sz w:val="15"/>
              </w:rPr>
              <w:t>No</w:t>
            </w:r>
          </w:p>
        </w:tc>
      </w:tr>
      <w:tr>
        <w:trPr>
          <w:cantSplit/>
        </w:trPr>
        <w:tc>
          <w:tcPr>
            <w:tcW w:type="dxa" w:w="864"/>
            <w:shd w:fill="F8FAFC"/>
            <w:tcMar>
              <w:top w:w="28" w:type="dxa"/>
              <w:bottom w:w="28" w:type="dxa"/>
              <w:left w:w="40" w:type="dxa"/>
              <w:right w:w="40" w:type="dxa"/>
            </w:tcMar>
          </w:tcPr>
          <w:p>
            <w:pPr>
              <w:keepNext/>
              <w:jc w:val="center"/>
            </w:pPr>
            <w:r>
              <w:rPr>
                <w:rFonts w:ascii="Times New Roman" w:hAnsi="Times New Roman"/>
                <w:color w:val="0F172A"/>
                <w:sz w:val="15"/>
              </w:rPr>
              <w:t>[3]</w:t>
            </w:r>
          </w:p>
        </w:tc>
        <w:tc>
          <w:tcPr>
            <w:tcW w:type="dxa" w:w="2016"/>
            <w:shd w:fill="F8FAFC"/>
            <w:tcMar>
              <w:top w:w="28" w:type="dxa"/>
              <w:bottom w:w="28" w:type="dxa"/>
              <w:left w:w="40" w:type="dxa"/>
              <w:right w:w="40" w:type="dxa"/>
            </w:tcMar>
          </w:tcPr>
          <w:p>
            <w:pPr>
              <w:keepNext/>
              <w:jc w:val="left"/>
            </w:pPr>
            <w:r>
              <w:rPr>
                <w:rFonts w:ascii="Times New Roman" w:hAnsi="Times New Roman"/>
                <w:color w:val="0F172A"/>
                <w:sz w:val="15"/>
              </w:rPr>
              <w:t>Reactive mobile panic alarm (Abhaya)</w:t>
            </w:r>
          </w:p>
        </w:tc>
        <w:tc>
          <w:tcPr>
            <w:tcW w:type="dxa" w:w="1008"/>
            <w:shd w:fill="F8FAFC"/>
            <w:tcMar>
              <w:top w:w="28" w:type="dxa"/>
              <w:bottom w:w="28" w:type="dxa"/>
              <w:left w:w="40" w:type="dxa"/>
              <w:right w:w="40" w:type="dxa"/>
            </w:tcMar>
          </w:tcPr>
          <w:p>
            <w:pPr>
              <w:keepNext/>
              <w:jc w:val="left"/>
            </w:pPr>
            <w:r>
              <w:rPr>
                <w:rFonts w:ascii="Times New Roman" w:hAnsi="Times New Roman"/>
                <w:color w:val="0F172A"/>
                <w:sz w:val="15"/>
              </w:rPr>
              <w:t>No</w:t>
            </w:r>
          </w:p>
        </w:tc>
        <w:tc>
          <w:tcPr>
            <w:tcW w:type="dxa" w:w="1008"/>
            <w:shd w:fill="F8FAFC"/>
            <w:tcMar>
              <w:top w:w="28" w:type="dxa"/>
              <w:bottom w:w="28" w:type="dxa"/>
              <w:left w:w="40" w:type="dxa"/>
              <w:right w:w="40" w:type="dxa"/>
            </w:tcMar>
          </w:tcPr>
          <w:p>
            <w:pPr>
              <w:keepNext/>
              <w:jc w:val="left"/>
            </w:pPr>
            <w:r>
              <w:rPr>
                <w:rFonts w:ascii="Times New Roman" w:hAnsi="Times New Roman"/>
                <w:color w:val="0F172A"/>
                <w:sz w:val="15"/>
              </w:rPr>
              <w:t>Manual SMS</w:t>
            </w:r>
          </w:p>
        </w:tc>
      </w:tr>
      <w:tr>
        <w:trPr>
          <w:cantSplit/>
        </w:trPr>
        <w:tc>
          <w:tcPr>
            <w:tcW w:type="dxa" w:w="864"/>
            <w:shd w:fill="FFFFFF"/>
            <w:tcMar>
              <w:top w:w="28" w:type="dxa"/>
              <w:bottom w:w="28" w:type="dxa"/>
              <w:left w:w="40" w:type="dxa"/>
              <w:right w:w="40" w:type="dxa"/>
            </w:tcMar>
          </w:tcPr>
          <w:p>
            <w:pPr>
              <w:keepNext/>
              <w:jc w:val="center"/>
            </w:pPr>
            <w:r>
              <w:rPr>
                <w:rFonts w:ascii="Times New Roman" w:hAnsi="Times New Roman"/>
                <w:color w:val="0F172A"/>
                <w:sz w:val="15"/>
              </w:rPr>
              <w:t>[4]</w:t>
            </w:r>
          </w:p>
        </w:tc>
        <w:tc>
          <w:tcPr>
            <w:tcW w:type="dxa" w:w="2016"/>
            <w:shd w:fill="FFFFFF"/>
            <w:tcMar>
              <w:top w:w="28" w:type="dxa"/>
              <w:bottom w:w="28" w:type="dxa"/>
              <w:left w:w="40" w:type="dxa"/>
              <w:right w:w="40" w:type="dxa"/>
            </w:tcMar>
          </w:tcPr>
          <w:p>
            <w:pPr>
              <w:keepNext/>
              <w:jc w:val="left"/>
            </w:pPr>
            <w:r>
              <w:rPr>
                <w:rFonts w:ascii="Times New Roman" w:hAnsi="Times New Roman"/>
                <w:color w:val="0F172A"/>
                <w:sz w:val="15"/>
              </w:rPr>
              <w:t>Systematic review of fear of crime</w:t>
            </w:r>
          </w:p>
        </w:tc>
        <w:tc>
          <w:tcPr>
            <w:tcW w:type="dxa" w:w="1008"/>
            <w:shd w:fill="FFFFFF"/>
            <w:tcMar>
              <w:top w:w="28" w:type="dxa"/>
              <w:bottom w:w="28" w:type="dxa"/>
              <w:left w:w="40" w:type="dxa"/>
              <w:right w:w="40" w:type="dxa"/>
            </w:tcMar>
          </w:tcPr>
          <w:p>
            <w:pPr>
              <w:keepNext/>
              <w:jc w:val="left"/>
            </w:pPr>
            <w:r>
              <w:rPr>
                <w:rFonts w:ascii="Times New Roman" w:hAnsi="Times New Roman"/>
                <w:color w:val="0F172A"/>
                <w:sz w:val="15"/>
              </w:rPr>
              <w:t>Descriptive</w:t>
            </w:r>
          </w:p>
        </w:tc>
        <w:tc>
          <w:tcPr>
            <w:tcW w:type="dxa" w:w="1008"/>
            <w:shd w:fill="FFFFFF"/>
            <w:tcMar>
              <w:top w:w="28" w:type="dxa"/>
              <w:bottom w:w="28" w:type="dxa"/>
              <w:left w:w="40" w:type="dxa"/>
              <w:right w:w="40" w:type="dxa"/>
            </w:tcMar>
          </w:tcPr>
          <w:p>
            <w:pPr>
              <w:keepNext/>
              <w:jc w:val="left"/>
            </w:pPr>
            <w:r>
              <w:rPr>
                <w:rFonts w:ascii="Times New Roman" w:hAnsi="Times New Roman"/>
                <w:color w:val="0F172A"/>
                <w:sz w:val="15"/>
              </w:rPr>
              <w:t>No</w:t>
            </w:r>
          </w:p>
        </w:tc>
      </w:tr>
      <w:tr>
        <w:trPr>
          <w:cantSplit/>
        </w:trPr>
        <w:tc>
          <w:tcPr>
            <w:tcW w:type="dxa" w:w="864"/>
            <w:shd w:fill="F8FAFC"/>
            <w:tcMar>
              <w:top w:w="28" w:type="dxa"/>
              <w:bottom w:w="28" w:type="dxa"/>
              <w:left w:w="40" w:type="dxa"/>
              <w:right w:w="40" w:type="dxa"/>
            </w:tcMar>
          </w:tcPr>
          <w:p>
            <w:pPr>
              <w:keepNext/>
              <w:jc w:val="center"/>
            </w:pPr>
            <w:r>
              <w:rPr>
                <w:rFonts w:ascii="Times New Roman" w:hAnsi="Times New Roman"/>
                <w:color w:val="0F172A"/>
                <w:sz w:val="15"/>
              </w:rPr>
              <w:t>[5], [6]</w:t>
            </w:r>
          </w:p>
        </w:tc>
        <w:tc>
          <w:tcPr>
            <w:tcW w:type="dxa" w:w="2016"/>
            <w:shd w:fill="F8FAFC"/>
            <w:tcMar>
              <w:top w:w="28" w:type="dxa"/>
              <w:bottom w:w="28" w:type="dxa"/>
              <w:left w:w="40" w:type="dxa"/>
              <w:right w:w="40" w:type="dxa"/>
            </w:tcMar>
          </w:tcPr>
          <w:p>
            <w:pPr>
              <w:keepNext/>
              <w:jc w:val="left"/>
            </w:pPr>
            <w:r>
              <w:rPr>
                <w:rFonts w:ascii="Times New Roman" w:hAnsi="Times New Roman"/>
                <w:color w:val="0F172A"/>
                <w:sz w:val="15"/>
              </w:rPr>
              <w:t>Aesthetic &amp; safe deep learning paths</w:t>
            </w:r>
          </w:p>
        </w:tc>
        <w:tc>
          <w:tcPr>
            <w:tcW w:type="dxa" w:w="1008"/>
            <w:shd w:fill="F8FAFC"/>
            <w:tcMar>
              <w:top w:w="28" w:type="dxa"/>
              <w:bottom w:w="28" w:type="dxa"/>
              <w:left w:w="40" w:type="dxa"/>
              <w:right w:w="40" w:type="dxa"/>
            </w:tcMar>
          </w:tcPr>
          <w:p>
            <w:pPr>
              <w:keepNext/>
              <w:jc w:val="left"/>
            </w:pPr>
            <w:r>
              <w:rPr>
                <w:rFonts w:ascii="Times New Roman" w:hAnsi="Times New Roman"/>
                <w:color w:val="0F172A"/>
                <w:sz w:val="15"/>
              </w:rPr>
              <w:t>Visual</w:t>
            </w:r>
          </w:p>
        </w:tc>
        <w:tc>
          <w:tcPr>
            <w:tcW w:type="dxa" w:w="1008"/>
            <w:shd w:fill="F8FAFC"/>
            <w:tcMar>
              <w:top w:w="28" w:type="dxa"/>
              <w:bottom w:w="28" w:type="dxa"/>
              <w:left w:w="40" w:type="dxa"/>
              <w:right w:w="40" w:type="dxa"/>
            </w:tcMar>
          </w:tcPr>
          <w:p>
            <w:pPr>
              <w:keepNext/>
              <w:jc w:val="left"/>
            </w:pPr>
            <w:r>
              <w:rPr>
                <w:rFonts w:ascii="Times New Roman" w:hAnsi="Times New Roman"/>
                <w:color w:val="0F172A"/>
                <w:sz w:val="15"/>
              </w:rPr>
              <w:t>No</w:t>
            </w:r>
          </w:p>
        </w:tc>
      </w:tr>
      <w:tr>
        <w:trPr>
          <w:cantSplit/>
        </w:trPr>
        <w:tc>
          <w:tcPr>
            <w:tcW w:type="dxa" w:w="864"/>
            <w:shd w:fill="FFFFFF"/>
            <w:tcMar>
              <w:top w:w="28" w:type="dxa"/>
              <w:bottom w:w="28" w:type="dxa"/>
              <w:left w:w="40" w:type="dxa"/>
              <w:right w:w="40" w:type="dxa"/>
            </w:tcMar>
          </w:tcPr>
          <w:p>
            <w:pPr>
              <w:keepNext/>
              <w:jc w:val="center"/>
            </w:pPr>
            <w:r>
              <w:rPr>
                <w:rFonts w:ascii="Times New Roman" w:hAnsi="Times New Roman"/>
                <w:color w:val="0F172A"/>
                <w:sz w:val="15"/>
              </w:rPr>
              <w:t>[7], [8]</w:t>
            </w:r>
          </w:p>
        </w:tc>
        <w:tc>
          <w:tcPr>
            <w:tcW w:type="dxa" w:w="2016"/>
            <w:shd w:fill="FFFFFF"/>
            <w:tcMar>
              <w:top w:w="28" w:type="dxa"/>
              <w:bottom w:w="28" w:type="dxa"/>
              <w:left w:w="40" w:type="dxa"/>
              <w:right w:w="40" w:type="dxa"/>
            </w:tcMar>
          </w:tcPr>
          <w:p>
            <w:pPr>
              <w:keepNext/>
              <w:jc w:val="left"/>
            </w:pPr>
            <w:r>
              <w:rPr>
                <w:rFonts w:ascii="Times New Roman" w:hAnsi="Times New Roman"/>
                <w:color w:val="0F172A"/>
                <w:sz w:val="15"/>
              </w:rPr>
              <w:t>IoT wearables &amp; voice distress AI</w:t>
            </w:r>
          </w:p>
        </w:tc>
        <w:tc>
          <w:tcPr>
            <w:tcW w:type="dxa" w:w="1008"/>
            <w:shd w:fill="FFFFFF"/>
            <w:tcMar>
              <w:top w:w="28" w:type="dxa"/>
              <w:bottom w:w="28" w:type="dxa"/>
              <w:left w:w="40" w:type="dxa"/>
              <w:right w:w="40" w:type="dxa"/>
            </w:tcMar>
          </w:tcPr>
          <w:p>
            <w:pPr>
              <w:keepNext/>
              <w:jc w:val="left"/>
            </w:pPr>
            <w:r>
              <w:rPr>
                <w:rFonts w:ascii="Times New Roman" w:hAnsi="Times New Roman"/>
                <w:color w:val="0F172A"/>
                <w:sz w:val="15"/>
              </w:rPr>
              <w:t>Post-threat</w:t>
            </w:r>
          </w:p>
        </w:tc>
        <w:tc>
          <w:tcPr>
            <w:tcW w:type="dxa" w:w="1008"/>
            <w:shd w:fill="FFFFFF"/>
            <w:tcMar>
              <w:top w:w="28" w:type="dxa"/>
              <w:bottom w:w="28" w:type="dxa"/>
              <w:left w:w="40" w:type="dxa"/>
              <w:right w:w="40" w:type="dxa"/>
            </w:tcMar>
          </w:tcPr>
          <w:p>
            <w:pPr>
              <w:keepNext/>
              <w:jc w:val="left"/>
            </w:pPr>
            <w:r>
              <w:rPr>
                <w:rFonts w:ascii="Times New Roman" w:hAnsi="Times New Roman"/>
                <w:color w:val="0F172A"/>
                <w:sz w:val="15"/>
              </w:rPr>
              <w:t>Sensor-only</w:t>
            </w:r>
          </w:p>
        </w:tc>
      </w:tr>
      <w:tr>
        <w:trPr>
          <w:cantSplit/>
        </w:trPr>
        <w:tc>
          <w:tcPr>
            <w:tcW w:type="dxa" w:w="864"/>
            <w:shd w:fill="F8FAFC"/>
            <w:tcMar>
              <w:top w:w="28" w:type="dxa"/>
              <w:bottom w:w="28" w:type="dxa"/>
              <w:left w:w="40" w:type="dxa"/>
              <w:right w:w="40" w:type="dxa"/>
            </w:tcMar>
          </w:tcPr>
          <w:p>
            <w:pPr>
              <w:jc w:val="center"/>
            </w:pPr>
            <w:r>
              <w:rPr>
                <w:rFonts w:ascii="Times New Roman" w:hAnsi="Times New Roman"/>
                <w:color w:val="0F172A"/>
                <w:sz w:val="15"/>
              </w:rPr>
              <w:t>This work</w:t>
            </w:r>
          </w:p>
        </w:tc>
        <w:tc>
          <w:tcPr>
            <w:tcW w:type="dxa" w:w="2016"/>
            <w:shd w:fill="F8FAFC"/>
            <w:tcMar>
              <w:top w:w="28" w:type="dxa"/>
              <w:bottom w:w="28" w:type="dxa"/>
              <w:left w:w="40" w:type="dxa"/>
              <w:right w:w="40" w:type="dxa"/>
            </w:tcMar>
          </w:tcPr>
          <w:p>
            <w:pPr>
              <w:jc w:val="left"/>
            </w:pPr>
            <w:r>
              <w:rPr>
                <w:rFonts w:ascii="Times New Roman" w:hAnsi="Times New Roman"/>
                <w:color w:val="0F172A"/>
                <w:sz w:val="15"/>
              </w:rPr>
              <w:t>Multi-criteria routing + 180s Watchdog</w:t>
            </w:r>
          </w:p>
        </w:tc>
        <w:tc>
          <w:tcPr>
            <w:tcW w:type="dxa" w:w="1008"/>
            <w:shd w:fill="F8FAFC"/>
            <w:tcMar>
              <w:top w:w="28" w:type="dxa"/>
              <w:bottom w:w="28" w:type="dxa"/>
              <w:left w:w="40" w:type="dxa"/>
              <w:right w:w="40" w:type="dxa"/>
            </w:tcMar>
          </w:tcPr>
          <w:p>
            <w:pPr>
              <w:jc w:val="left"/>
            </w:pPr>
            <w:r>
              <w:rPr>
                <w:rFonts w:ascii="Times New Roman" w:hAnsi="Times New Roman"/>
                <w:color w:val="0F172A"/>
                <w:sz w:val="15"/>
              </w:rPr>
              <w:t>Yes (Decay)</w:t>
            </w:r>
          </w:p>
        </w:tc>
        <w:tc>
          <w:tcPr>
            <w:tcW w:type="dxa" w:w="1008"/>
            <w:shd w:fill="F8FAFC"/>
            <w:tcMar>
              <w:top w:w="28" w:type="dxa"/>
              <w:bottom w:w="28" w:type="dxa"/>
              <w:left w:w="40" w:type="dxa"/>
              <w:right w:w="40" w:type="dxa"/>
            </w:tcMar>
          </w:tcPr>
          <w:p>
            <w:pPr>
              <w:jc w:val="left"/>
            </w:pPr>
            <w:r>
              <w:rPr>
                <w:rFonts w:ascii="Times New Roman" w:hAnsi="Times New Roman"/>
                <w:color w:val="0F172A"/>
                <w:sz w:val="15"/>
              </w:rPr>
              <w:t>Yes (Active)</w:t>
            </w:r>
          </w:p>
        </w:tc>
      </w:tr>
    </w:tbl>
    <w:p>
      <w:pPr>
        <w:keepNext/>
        <w:spacing w:before="160" w:after="50"/>
        <w:jc w:val="center"/>
      </w:pPr>
      <w:r>
        <w:rPr>
          <w:rFonts w:ascii="Times New Roman" w:hAnsi="Times New Roman"/>
          <w:b/>
          <w:color w:val="000000"/>
          <w:sz w:val="20"/>
        </w:rPr>
        <w:t>III. PROPOSED METHODOLOGY AND SYSTEM ARCHITECTURE</w:t>
      </w:r>
    </w:p>
    <w:p>
      <w:pPr>
        <w:keepNext/>
        <w:spacing w:before="100" w:after="30"/>
        <w:jc w:val="left"/>
      </w:pPr>
      <w:r>
        <w:rPr>
          <w:rFonts w:ascii="Times New Roman" w:hAnsi="Times New Roman"/>
          <w:b/>
          <w:i/>
          <w:color w:val="000000"/>
          <w:sz w:val="19"/>
        </w:rPr>
        <w:t>A. Architecture Overview</w:t>
      </w:r>
    </w:p>
    <w:p>
      <w:pPr>
        <w:spacing w:after="60" w:line="252" w:lineRule="auto"/>
        <w:jc w:val="both"/>
      </w:pPr>
      <w:r>
        <w:rPr>
          <w:rFonts w:ascii="Times New Roman" w:hAnsi="Times New Roman"/>
          <w:color w:val="000000"/>
          <w:sz w:val="19"/>
        </w:rPr>
        <w:t>SafeCity employs a four-tier architecture designed for rapid field operation across varied mobile network environments: (i) Client PWA / Mobile Tier, (ii) Geospatial Application API Tier, (iii) Administrative Verification Engine, and (iv) High-Availability Persistence Tier. Fig. 1 illustrates the end-to-end data flow, from anonymous community incident reporting and administrative moderation to safety-weighted route generation and real-time companion tracking.</w:t>
      </w:r>
    </w:p>
    <w:p>
      <w:pPr>
        <w:sectPr>
          <w:type w:val="continuous"/>
          <w:pgSz w:w="12240" w:h="15840"/>
          <w:pgMar w:top="1080" w:right="1008" w:bottom="1080" w:left="1008" w:header="720" w:footer="720" w:gutter="0"/>
          <w:cols w:space="360" w:num="2" w:equalWidth="1"/>
          <w:docGrid w:linePitch="360"/>
        </w:sectPr>
      </w:pPr>
    </w:p>
    <w:p>
      <w:pPr>
        <w:spacing w:before="120" w:after="40"/>
        <w:jc w:val="center"/>
      </w:pPr>
    </w:p>
    <w:p>
      <w:r>
        <w:drawing>
          <wp:inline xmlns:a="http://schemas.openxmlformats.org/drawingml/2006/main" xmlns:pic="http://schemas.openxmlformats.org/drawingml/2006/picture">
            <wp:extent cx="6263640" cy="3550701"/>
            <wp:docPr id="1" name="Picture 1"/>
            <wp:cNvGraphicFramePr>
              <a:graphicFrameLocks noChangeAspect="1"/>
            </wp:cNvGraphicFramePr>
            <a:graphic>
              <a:graphicData uri="http://schemas.openxmlformats.org/drawingml/2006/picture">
                <pic:pic>
                  <pic:nvPicPr>
                    <pic:cNvPr id="0" name="fig1_system_architecture.png"/>
                    <pic:cNvPicPr/>
                  </pic:nvPicPr>
                  <pic:blipFill>
                    <a:blip r:embed="rId9"/>
                    <a:stretch>
                      <a:fillRect/>
                    </a:stretch>
                  </pic:blipFill>
                  <pic:spPr>
                    <a:xfrm>
                      <a:off x="0" y="0"/>
                      <a:ext cx="6263640" cy="3550701"/>
                    </a:xfrm>
                    <a:prstGeom prst="rect"/>
                  </pic:spPr>
                </pic:pic>
              </a:graphicData>
            </a:graphic>
          </wp:inline>
        </w:drawing>
      </w:r>
    </w:p>
    <w:p>
      <w:pPr>
        <w:spacing w:before="40" w:after="160"/>
        <w:jc w:val="center"/>
      </w:pPr>
      <w:r>
        <w:rPr>
          <w:rFonts w:ascii="Times New Roman" w:hAnsi="Times New Roman"/>
          <w:i/>
          <w:sz w:val="17"/>
        </w:rPr>
        <w:t>Fig. 1. Proposed system architecture: participatory incident reporting, administrative moderation, multi-criteria route optimization, and live companion escort.</w:t>
      </w:r>
    </w:p>
    <w:p>
      <w:pPr>
        <w:sectPr>
          <w:type w:val="continuous"/>
          <w:pgSz w:w="12240" w:h="15840"/>
          <w:pgMar w:top="1080" w:right="1008" w:bottom="1080" w:left="1008" w:header="720" w:footer="720" w:gutter="0"/>
          <w:cols w:space="360" w:num="1" w:equalWidth="1"/>
          <w:docGrid w:linePitch="360"/>
        </w:sectPr>
      </w:pPr>
    </w:p>
    <w:p>
      <w:pPr>
        <w:keepNext/>
        <w:spacing w:before="100" w:after="30"/>
        <w:jc w:val="left"/>
      </w:pPr>
      <w:r>
        <w:rPr>
          <w:rFonts w:ascii="Times New Roman" w:hAnsi="Times New Roman"/>
          <w:b/>
          <w:i/>
          <w:color w:val="000000"/>
          <w:sz w:val="19"/>
        </w:rPr>
        <w:t>B. Geospatial Incident Ingestion and Verification</w:t>
      </w:r>
    </w:p>
    <w:p>
      <w:pPr>
        <w:spacing w:after="60" w:line="252" w:lineRule="auto"/>
        <w:jc w:val="both"/>
      </w:pPr>
      <w:r>
        <w:rPr>
          <w:rFonts w:ascii="Times New Roman" w:hAnsi="Times New Roman"/>
          <w:color w:val="000000"/>
          <w:sz w:val="19"/>
        </w:rPr>
        <w:t>Citizen reports enter a multi-stage verification pipeline. To preserve reporter anonymity and protect individual privacy, GPS coordinates are truncated to 3 decimal places (~110-meter precision), preventing doorway-level identification. Each submission requires a category (harassment, unlit street, suspicious stalking, physical hazard), timestamp, severity rating, and optional textual notes. Incoming reports are routed to an administrative verification portal where verified community moderators review incoming flags, filtering out commercial spam, test entries, and duplicate records. Approved incidents immediately feed into the spatial scoring surface.</w:t>
      </w:r>
    </w:p>
    <w:p>
      <w:pPr>
        <w:keepNext/>
        <w:spacing w:before="100" w:after="30"/>
        <w:jc w:val="left"/>
      </w:pPr>
      <w:r>
        <w:rPr>
          <w:rFonts w:ascii="Times New Roman" w:hAnsi="Times New Roman"/>
          <w:b/>
          <w:i/>
          <w:color w:val="000000"/>
          <w:sz w:val="19"/>
        </w:rPr>
        <w:t>C. Multi-Criteria Safety-Aware Pathfinding Engine</w:t>
      </w:r>
    </w:p>
    <w:p>
      <w:pPr>
        <w:spacing w:after="60" w:line="252" w:lineRule="auto"/>
        <w:jc w:val="both"/>
      </w:pPr>
      <w:r>
        <w:rPr>
          <w:rFonts w:ascii="Times New Roman" w:hAnsi="Times New Roman"/>
          <w:color w:val="000000"/>
          <w:sz w:val="19"/>
        </w:rPr>
        <w:t>Unlike shortest-path Dijkstra algorithms, SafeCity optimizes for a composite Safety Score S_route(R) in [0, 100]. Let R be a candidate corridor consisting of road segments e in E. The route safety score is evaluated by subtracting spatial-temporal hazard penalties while rewarding illumination and proximity to 24/7 civic safe havens:</w:t>
      </w:r>
    </w:p>
    <w:p>
      <w:pPr>
        <w:keepNext/>
        <w:spacing w:before="70" w:after="70"/>
        <w:jc w:val="center"/>
      </w:pPr>
      <w:r>
        <w:rPr>
          <w:rFonts w:ascii="Times New Roman" w:hAnsi="Times New Roman"/>
          <w:i/>
          <w:sz w:val="18"/>
        </w:rPr>
        <w:t>S_route(R) = 100 - min(80, Sigma(w_s * C_s)) + B_haven + B_light</w:t>
      </w:r>
      <w:r>
        <w:rPr>
          <w:rFonts w:ascii="Times New Roman" w:hAnsi="Times New Roman"/>
          <w:i w:val="0"/>
          <w:sz w:val="18"/>
        </w:rPr>
        <w:t xml:space="preserve">    (1)</w:t>
      </w:r>
    </w:p>
    <w:p>
      <w:pPr>
        <w:spacing w:after="60" w:line="252" w:lineRule="auto"/>
        <w:jc w:val="both"/>
      </w:pPr>
      <w:r>
        <w:rPr>
          <w:rFonts w:ascii="Times New Roman" w:hAnsi="Times New Roman"/>
          <w:color w:val="000000"/>
          <w:sz w:val="19"/>
        </w:rPr>
        <w:t>where w_s is the incident severity weight (w_High = 15, w_Medium = 8, w_Low = 4), C_s is the spatial-temporal decay factor:</w:t>
      </w:r>
    </w:p>
    <w:p>
      <w:pPr>
        <w:keepNext/>
        <w:spacing w:before="70" w:after="70"/>
        <w:jc w:val="center"/>
      </w:pPr>
      <w:r>
        <w:rPr>
          <w:rFonts w:ascii="Times New Roman" w:hAnsi="Times New Roman"/>
          <w:i/>
          <w:sz w:val="18"/>
        </w:rPr>
        <w:t>C_s = exp(-d_s^2 / (2 * sigma^2)) * exp(-Delta t_s / tau)</w:t>
      </w:r>
      <w:r>
        <w:rPr>
          <w:rFonts w:ascii="Times New Roman" w:hAnsi="Times New Roman"/>
          <w:i w:val="0"/>
          <w:sz w:val="18"/>
        </w:rPr>
        <w:t xml:space="preserve">    (2)</w:t>
      </w:r>
    </w:p>
    <w:p>
      <w:pPr>
        <w:spacing w:after="60" w:line="252" w:lineRule="auto"/>
        <w:jc w:val="both"/>
      </w:pPr>
      <w:r>
        <w:rPr>
          <w:rFonts w:ascii="Times New Roman" w:hAnsi="Times New Roman"/>
          <w:color w:val="000000"/>
          <w:sz w:val="19"/>
        </w:rPr>
        <w:t>with spatial decay sigma = 150 m and temporal half-life tau = 30 days. B_haven in [0, 12] rewards proximity to 24/7 safe havens, and B_light in [0, 8] rewards verified street illumination. We cap the maximum route score at 98 rather than 100 to reflect that no routing algorithm can guarantee complete physical safety on public streets.</w:t>
      </w:r>
    </w:p>
    <w:p>
      <w:pPr>
        <w:keepNext/>
        <w:spacing w:before="100" w:after="30"/>
        <w:jc w:val="left"/>
      </w:pPr>
      <w:r>
        <w:rPr>
          <w:rFonts w:ascii="Times New Roman" w:hAnsi="Times New Roman"/>
          <w:b/>
          <w:i/>
          <w:color w:val="000000"/>
          <w:sz w:val="19"/>
        </w:rPr>
        <w:t>D. Walk With Me Virtual Escort and Telemetry Watchdog</w:t>
      </w:r>
    </w:p>
    <w:p>
      <w:pPr>
        <w:spacing w:after="60" w:line="252" w:lineRule="auto"/>
        <w:jc w:val="both"/>
      </w:pPr>
      <w:r>
        <w:rPr>
          <w:rFonts w:ascii="Times New Roman" w:hAnsi="Times New Roman"/>
          <w:color w:val="000000"/>
          <w:sz w:val="19"/>
        </w:rPr>
        <w:t>During active transit, the Walk With Me companion escort streams continuous GPS telemetry. Surface displacement d between consecutive GPS fixes (phi_1, lambda_1) and (phi_2, lambda_2) is calculated on a spherical earth radius R_e as:</w:t>
      </w:r>
    </w:p>
    <w:p>
      <w:pPr>
        <w:keepNext/>
        <w:spacing w:before="70" w:after="70"/>
        <w:jc w:val="center"/>
      </w:pPr>
      <w:r>
        <w:rPr>
          <w:rFonts w:ascii="Times New Roman" w:hAnsi="Times New Roman"/>
          <w:i/>
          <w:sz w:val="18"/>
        </w:rPr>
        <w:t>d = 2 * R_e * arcsin(sqrt(sin^2(Delta phi / 2) + cos(phi_1)cos(phi_2)sin^2(Delta lambda / 2)))</w:t>
      </w:r>
      <w:r>
        <w:rPr>
          <w:rFonts w:ascii="Times New Roman" w:hAnsi="Times New Roman"/>
          <w:i w:val="0"/>
          <w:sz w:val="18"/>
        </w:rPr>
        <w:t xml:space="preserve">    (3)</w:t>
      </w:r>
    </w:p>
    <w:p>
      <w:pPr>
        <w:spacing w:after="60" w:line="252" w:lineRule="auto"/>
        <w:jc w:val="both"/>
      </w:pPr>
      <w:r>
        <w:rPr>
          <w:rFonts w:ascii="Times New Roman" w:hAnsi="Times New Roman"/>
          <w:color w:val="000000"/>
          <w:sz w:val="19"/>
        </w:rPr>
        <w:t>The escort engine samples position at 3-second intervals. If displacement d &lt; 3 meters across successive intervals while in transit mode, an autonomous 180-second stationary watchdog timer activates. If no motion is registered and the user does not dismiss the prompt within 180 seconds, the client escalates: initiating an audible pulsing siren, activating high-intensity screen flash strobes, and packaging the current GPS coordinates into an emergency dispatch link.</w:t>
      </w:r>
    </w:p>
    <w:p>
      <w:pPr>
        <w:keepNext/>
        <w:spacing w:before="160" w:after="50"/>
        <w:jc w:val="center"/>
      </w:pPr>
      <w:r>
        <w:rPr>
          <w:rFonts w:ascii="Times New Roman" w:hAnsi="Times New Roman"/>
          <w:b/>
          <w:color w:val="000000"/>
          <w:sz w:val="20"/>
        </w:rPr>
        <w:t>IV. IMPLEMENTATION</w:t>
      </w:r>
    </w:p>
    <w:p>
      <w:pPr>
        <w:spacing w:after="60" w:line="252" w:lineRule="auto"/>
        <w:jc w:val="both"/>
      </w:pPr>
      <w:r>
        <w:rPr>
          <w:rFonts w:ascii="Times New Roman" w:hAnsi="Times New Roman"/>
          <w:color w:val="000000"/>
          <w:sz w:val="19"/>
        </w:rPr>
        <w:t>SafeCity is implemented as a modern full-stack web and mobile application. Table II summarizes the core components and technology frameworks across each architectural layer.</w:t>
      </w:r>
    </w:p>
    <w:p>
      <w:pPr>
        <w:keepNext/>
        <w:spacing w:before="100" w:after="40"/>
        <w:jc w:val="center"/>
      </w:pPr>
      <w:r>
        <w:rPr>
          <w:rFonts w:ascii="Times New Roman" w:hAnsi="Times New Roman"/>
          <w:b/>
          <w:sz w:val="16"/>
        </w:rPr>
        <w:t>TABLE II. TECHNOLOGY STACK BY SYSTEM LAYER</w:t>
      </w:r>
    </w:p>
    <w:tbl>
      <w:tblPr>
        <w:tblW w:type="auto" w:w="0"/>
        <w:jc w:val="center"/>
        <w:tblLook w:firstColumn="1" w:firstRow="1" w:lastColumn="0" w:lastRow="0" w:noHBand="0" w:noVBand="1" w:val="04A0"/>
      </w:tblPr>
      <w:tblGrid>
        <w:gridCol w:w="5112"/>
        <w:gridCol w:w="5112"/>
      </w:tblGrid>
      <w:tr>
        <w:trPr>
          <w:cantSplit/>
        </w:trPr>
        <w:tc>
          <w:tcPr>
            <w:tcW w:type="dxa" w:w="1512"/>
            <w:shd w:fill="1E293B"/>
            <w:tcMar>
              <w:top w:w="35" w:type="dxa"/>
              <w:bottom w:w="35" w:type="dxa"/>
              <w:left w:w="45" w:type="dxa"/>
              <w:right w:w="45" w:type="dxa"/>
            </w:tcMar>
          </w:tcPr>
          <w:p>
            <w:pPr>
              <w:keepNext/>
              <w:jc w:val="center"/>
            </w:pPr>
            <w:r>
              <w:rPr>
                <w:rFonts w:ascii="Times New Roman" w:hAnsi="Times New Roman"/>
                <w:b/>
                <w:color w:val="FFFFFF"/>
                <w:sz w:val="16"/>
              </w:rPr>
              <w:t>System Layer</w:t>
            </w:r>
          </w:p>
        </w:tc>
        <w:tc>
          <w:tcPr>
            <w:tcW w:type="dxa" w:w="3384"/>
            <w:shd w:fill="1E293B"/>
            <w:tcMar>
              <w:top w:w="35" w:type="dxa"/>
              <w:bottom w:w="35" w:type="dxa"/>
              <w:left w:w="45" w:type="dxa"/>
              <w:right w:w="45" w:type="dxa"/>
            </w:tcMar>
          </w:tcPr>
          <w:p>
            <w:pPr>
              <w:keepNext/>
              <w:jc w:val="center"/>
            </w:pPr>
            <w:r>
              <w:rPr>
                <w:rFonts w:ascii="Times New Roman" w:hAnsi="Times New Roman"/>
                <w:b/>
                <w:color w:val="FFFFFF"/>
                <w:sz w:val="16"/>
              </w:rPr>
              <w:t>Framework &amp; Technology</w:t>
            </w:r>
          </w:p>
        </w:tc>
      </w:tr>
      <w:tr>
        <w:trPr>
          <w:cantSplit/>
        </w:trPr>
        <w:tc>
          <w:tcPr>
            <w:tcW w:type="dxa" w:w="1512"/>
            <w:shd w:fill="FFFFFF"/>
            <w:tcMar>
              <w:top w:w="28" w:type="dxa"/>
              <w:bottom w:w="28" w:type="dxa"/>
              <w:left w:w="40" w:type="dxa"/>
              <w:right w:w="40" w:type="dxa"/>
            </w:tcMar>
          </w:tcPr>
          <w:p>
            <w:pPr>
              <w:keepNext/>
              <w:jc w:val="center"/>
            </w:pPr>
            <w:r>
              <w:rPr>
                <w:rFonts w:ascii="Times New Roman" w:hAnsi="Times New Roman"/>
                <w:color w:val="0F172A"/>
                <w:sz w:val="15"/>
              </w:rPr>
              <w:t>Frontend Web</w:t>
            </w:r>
          </w:p>
        </w:tc>
        <w:tc>
          <w:tcPr>
            <w:tcW w:type="dxa" w:w="3384"/>
            <w:shd w:fill="FFFFFF"/>
            <w:tcMar>
              <w:top w:w="28" w:type="dxa"/>
              <w:bottom w:w="28" w:type="dxa"/>
              <w:left w:w="40" w:type="dxa"/>
              <w:right w:w="40" w:type="dxa"/>
            </w:tcMar>
          </w:tcPr>
          <w:p>
            <w:pPr>
              <w:keepNext/>
              <w:jc w:val="left"/>
            </w:pPr>
            <w:r>
              <w:rPr>
                <w:rFonts w:ascii="Times New Roman" w:hAnsi="Times New Roman"/>
                <w:color w:val="0F172A"/>
                <w:sz w:val="15"/>
              </w:rPr>
              <w:t>HTML5, ES6+, Tailwind CSS, Leaflet 1.9</w:t>
            </w:r>
          </w:p>
        </w:tc>
      </w:tr>
      <w:tr>
        <w:trPr>
          <w:cantSplit/>
        </w:trPr>
        <w:tc>
          <w:tcPr>
            <w:tcW w:type="dxa" w:w="1512"/>
            <w:shd w:fill="F8FAFC"/>
            <w:tcMar>
              <w:top w:w="28" w:type="dxa"/>
              <w:bottom w:w="28" w:type="dxa"/>
              <w:left w:w="40" w:type="dxa"/>
              <w:right w:w="40" w:type="dxa"/>
            </w:tcMar>
          </w:tcPr>
          <w:p>
            <w:pPr>
              <w:keepNext/>
              <w:jc w:val="center"/>
            </w:pPr>
            <w:r>
              <w:rPr>
                <w:rFonts w:ascii="Times New Roman" w:hAnsi="Times New Roman"/>
                <w:color w:val="0F172A"/>
                <w:sz w:val="15"/>
              </w:rPr>
              <w:t>Mobile Runtime</w:t>
            </w:r>
          </w:p>
        </w:tc>
        <w:tc>
          <w:tcPr>
            <w:tcW w:type="dxa" w:w="3384"/>
            <w:shd w:fill="F8FAFC"/>
            <w:tcMar>
              <w:top w:w="28" w:type="dxa"/>
              <w:bottom w:w="28" w:type="dxa"/>
              <w:left w:w="40" w:type="dxa"/>
              <w:right w:w="40" w:type="dxa"/>
            </w:tcMar>
          </w:tcPr>
          <w:p>
            <w:pPr>
              <w:keepNext/>
              <w:jc w:val="left"/>
            </w:pPr>
            <w:r>
              <w:rPr>
                <w:rFonts w:ascii="Times New Roman" w:hAnsi="Times New Roman"/>
                <w:color w:val="0F172A"/>
                <w:sz w:val="15"/>
              </w:rPr>
              <w:t>Capacitor 8.5 (@capacitor/android, @capacitor/geolocation)</w:t>
            </w:r>
          </w:p>
        </w:tc>
      </w:tr>
      <w:tr>
        <w:trPr>
          <w:cantSplit/>
        </w:trPr>
        <w:tc>
          <w:tcPr>
            <w:tcW w:type="dxa" w:w="1512"/>
            <w:shd w:fill="FFFFFF"/>
            <w:tcMar>
              <w:top w:w="28" w:type="dxa"/>
              <w:bottom w:w="28" w:type="dxa"/>
              <w:left w:w="40" w:type="dxa"/>
              <w:right w:w="40" w:type="dxa"/>
            </w:tcMar>
          </w:tcPr>
          <w:p>
            <w:pPr>
              <w:keepNext/>
              <w:jc w:val="center"/>
            </w:pPr>
            <w:r>
              <w:rPr>
                <w:rFonts w:ascii="Times New Roman" w:hAnsi="Times New Roman"/>
                <w:color w:val="0F172A"/>
                <w:sz w:val="15"/>
              </w:rPr>
              <w:t>Mapping / GIS</w:t>
            </w:r>
          </w:p>
        </w:tc>
        <w:tc>
          <w:tcPr>
            <w:tcW w:type="dxa" w:w="3384"/>
            <w:shd w:fill="FFFFFF"/>
            <w:tcMar>
              <w:top w:w="28" w:type="dxa"/>
              <w:bottom w:w="28" w:type="dxa"/>
              <w:left w:w="40" w:type="dxa"/>
              <w:right w:w="40" w:type="dxa"/>
            </w:tcMar>
          </w:tcPr>
          <w:p>
            <w:pPr>
              <w:keepNext/>
              <w:jc w:val="left"/>
            </w:pPr>
            <w:r>
              <w:rPr>
                <w:rFonts w:ascii="Times New Roman" w:hAnsi="Times New Roman"/>
                <w:color w:val="0F172A"/>
                <w:sz w:val="15"/>
              </w:rPr>
              <w:t>Leaflet 1.9.4, OpenStreetMap, Turf.js</w:t>
            </w:r>
          </w:p>
        </w:tc>
      </w:tr>
      <w:tr>
        <w:trPr>
          <w:cantSplit/>
        </w:trPr>
        <w:tc>
          <w:tcPr>
            <w:tcW w:type="dxa" w:w="1512"/>
            <w:shd w:fill="F8FAFC"/>
            <w:tcMar>
              <w:top w:w="28" w:type="dxa"/>
              <w:bottom w:w="28" w:type="dxa"/>
              <w:left w:w="40" w:type="dxa"/>
              <w:right w:w="40" w:type="dxa"/>
            </w:tcMar>
          </w:tcPr>
          <w:p>
            <w:pPr>
              <w:keepNext/>
              <w:jc w:val="center"/>
            </w:pPr>
            <w:r>
              <w:rPr>
                <w:rFonts w:ascii="Times New Roman" w:hAnsi="Times New Roman"/>
                <w:color w:val="0F172A"/>
                <w:sz w:val="15"/>
              </w:rPr>
              <w:t>Backend / DB</w:t>
            </w:r>
          </w:p>
        </w:tc>
        <w:tc>
          <w:tcPr>
            <w:tcW w:type="dxa" w:w="3384"/>
            <w:shd w:fill="F8FAFC"/>
            <w:tcMar>
              <w:top w:w="28" w:type="dxa"/>
              <w:bottom w:w="28" w:type="dxa"/>
              <w:left w:w="40" w:type="dxa"/>
              <w:right w:w="40" w:type="dxa"/>
            </w:tcMar>
          </w:tcPr>
          <w:p>
            <w:pPr>
              <w:keepNext/>
              <w:jc w:val="left"/>
            </w:pPr>
            <w:r>
              <w:rPr>
                <w:rFonts w:ascii="Times New Roman" w:hAnsi="Times New Roman"/>
                <w:color w:val="0F172A"/>
                <w:sz w:val="15"/>
              </w:rPr>
              <w:t>Node.js 18+ LTS, Express 4.19, MySQL 8.0 (Spatial)</w:t>
            </w:r>
          </w:p>
        </w:tc>
      </w:tr>
      <w:tr>
        <w:trPr>
          <w:cantSplit/>
        </w:trPr>
        <w:tc>
          <w:tcPr>
            <w:tcW w:type="dxa" w:w="1512"/>
            <w:shd w:fill="FFFFFF"/>
            <w:tcMar>
              <w:top w:w="28" w:type="dxa"/>
              <w:bottom w:w="28" w:type="dxa"/>
              <w:left w:w="40" w:type="dxa"/>
              <w:right w:w="40" w:type="dxa"/>
            </w:tcMar>
          </w:tcPr>
          <w:p>
            <w:pPr>
              <w:keepNext/>
              <w:jc w:val="center"/>
            </w:pPr>
            <w:r>
              <w:rPr>
                <w:rFonts w:ascii="Times New Roman" w:hAnsi="Times New Roman"/>
                <w:color w:val="0F172A"/>
                <w:sz w:val="15"/>
              </w:rPr>
              <w:t>Escort Telemetry</w:t>
            </w:r>
          </w:p>
        </w:tc>
        <w:tc>
          <w:tcPr>
            <w:tcW w:type="dxa" w:w="3384"/>
            <w:shd w:fill="FFFFFF"/>
            <w:tcMar>
              <w:top w:w="28" w:type="dxa"/>
              <w:bottom w:w="28" w:type="dxa"/>
              <w:left w:w="40" w:type="dxa"/>
              <w:right w:w="40" w:type="dxa"/>
            </w:tcMar>
          </w:tcPr>
          <w:p>
            <w:pPr>
              <w:keepNext/>
              <w:jc w:val="left"/>
            </w:pPr>
            <w:r>
              <w:rPr>
                <w:rFonts w:ascii="Times New Roman" w:hAnsi="Times New Roman"/>
                <w:color w:val="0F172A"/>
                <w:sz w:val="15"/>
              </w:rPr>
              <w:t>W3C Geolocation API, Web Audio API (105 dB Siren)</w:t>
            </w:r>
          </w:p>
        </w:tc>
      </w:tr>
      <w:tr>
        <w:trPr>
          <w:cantSplit/>
        </w:trPr>
        <w:tc>
          <w:tcPr>
            <w:tcW w:type="dxa" w:w="1512"/>
            <w:shd w:fill="F8FAFC"/>
            <w:tcMar>
              <w:top w:w="28" w:type="dxa"/>
              <w:bottom w:w="28" w:type="dxa"/>
              <w:left w:w="40" w:type="dxa"/>
              <w:right w:w="40" w:type="dxa"/>
            </w:tcMar>
          </w:tcPr>
          <w:p>
            <w:pPr>
              <w:jc w:val="center"/>
            </w:pPr>
            <w:r>
              <w:rPr>
                <w:rFonts w:ascii="Times New Roman" w:hAnsi="Times New Roman"/>
                <w:color w:val="0F172A"/>
                <w:sz w:val="15"/>
              </w:rPr>
              <w:t>Tooling &amp; CI</w:t>
            </w:r>
          </w:p>
        </w:tc>
        <w:tc>
          <w:tcPr>
            <w:tcW w:type="dxa" w:w="3384"/>
            <w:shd w:fill="F8FAFC"/>
            <w:tcMar>
              <w:top w:w="28" w:type="dxa"/>
              <w:bottom w:w="28" w:type="dxa"/>
              <w:left w:w="40" w:type="dxa"/>
              <w:right w:w="40" w:type="dxa"/>
            </w:tcMar>
          </w:tcPr>
          <w:p>
            <w:pPr>
              <w:jc w:val="left"/>
            </w:pPr>
            <w:r>
              <w:rPr>
                <w:rFonts w:ascii="Times New Roman" w:hAnsi="Times New Roman"/>
                <w:color w:val="0F172A"/>
                <w:sz w:val="15"/>
              </w:rPr>
              <w:t>Git, GitHub, ESLint, VS Code</w:t>
            </w:r>
          </w:p>
        </w:tc>
      </w:tr>
    </w:tbl>
    <w:p>
      <w:pPr>
        <w:keepNext/>
        <w:spacing w:before="100" w:after="30"/>
        <w:jc w:val="left"/>
      </w:pPr>
      <w:r>
        <w:rPr>
          <w:rFonts w:ascii="Times New Roman" w:hAnsi="Times New Roman"/>
          <w:b/>
          <w:i/>
          <w:color w:val="000000"/>
          <w:sz w:val="19"/>
        </w:rPr>
        <w:t>A. Routing Logic and Algorithm Specification</w:t>
      </w:r>
    </w:p>
    <w:p>
      <w:pPr>
        <w:spacing w:after="60" w:line="252" w:lineRule="auto"/>
        <w:jc w:val="both"/>
      </w:pPr>
      <w:r>
        <w:rPr>
          <w:rFonts w:ascii="Times New Roman" w:hAnsi="Times New Roman"/>
          <w:color w:val="000000"/>
          <w:sz w:val="19"/>
        </w:rPr>
        <w:t>Listing 1 details the core multi-criteria route evaluation and stationary watchdog routine implemented in TypeScript.</w:t>
      </w:r>
    </w:p>
    <w:tbl>
      <w:tblPr>
        <w:tblW w:type="auto" w:w="0"/>
        <w:jc w:val="center"/>
        <w:tblLook w:firstColumn="1" w:firstRow="1" w:lastColumn="0" w:lastRow="0" w:noHBand="0" w:noVBand="1" w:val="04A0"/>
      </w:tblPr>
      <w:tblGrid>
        <w:gridCol w:w="10224"/>
      </w:tblGrid>
      <w:tr>
        <w:trPr>
          <w:cantSplit/>
        </w:trPr>
        <w:tc>
          <w:tcPr>
            <w:tcW w:type="dxa" w:w="10224"/>
            <w:shd w:fill="F8FAFC"/>
            <w:tcMar>
              <w:top w:w="30" w:type="dxa"/>
              <w:bottom w:w="30" w:type="dxa"/>
              <w:left w:w="50" w:type="dxa"/>
              <w:right w:w="50" w:type="dxa"/>
            </w:tcMar>
          </w:tcPr>
          <w:p>
            <w:pPr>
              <w:keepLines/>
              <w:spacing w:before="0" w:after="0" w:line="242" w:lineRule="auto"/>
            </w:pPr>
            <w:r>
              <w:rPr>
                <w:rFonts w:ascii="Consolas" w:hAnsi="Consolas"/>
                <w:color w:val="0F172A"/>
                <w:sz w:val="13"/>
              </w:rPr>
              <w:t>// Listing 1: Multi-Criteria Route Safety Evaluation</w:t>
              <w:br/>
              <w:t>function computeSafetyScore(corridor: RouteCorridor,</w:t>
              <w:br/>
              <w:t xml:space="preserve">  incidents: Incident[], havens: Haven[]): number {</w:t>
              <w:br/>
              <w:t xml:space="preserve">  let penalty = 0;</w:t>
              <w:br/>
              <w:t xml:space="preserve">  const now = Date.now();</w:t>
              <w:br/>
              <w:t xml:space="preserve">  for (const inc of incidents) {</w:t>
              <w:br/>
              <w:t xml:space="preserve">    const d = minDistanceToRoute(inc.coords, corridor);</w:t>
              <w:br/>
              <w:t xml:space="preserve">    if (d &lt;= 300) {</w:t>
              <w:br/>
              <w:t xml:space="preserve">      const sDecay = Math.exp(-(d**2)/(2 * 150**2));</w:t>
              <w:br/>
              <w:t xml:space="preserve">      const tDecay = Math.exp(-(now - inc.time)/30_DAYS);</w:t>
              <w:br/>
              <w:t xml:space="preserve">      penalty += inc.severityWeight * sDecay * tDecay;</w:t>
              <w:br/>
              <w:t xml:space="preserve">    }</w:t>
              <w:br/>
              <w:t xml:space="preserve">  }</w:t>
              <w:br/>
              <w:t xml:space="preserve">  const hBonus = countNearbyHavens(corridor, havens, 250) * 4;</w:t>
              <w:br/>
              <w:t xml:space="preserve">  const lBonus = corridor.isLit ? 8 : 0;</w:t>
              <w:br/>
              <w:t xml:space="preserve">  const raw = 100 - Math.min(80, penalty) + hBonus + lBonus;</w:t>
              <w:br/>
              <w:t xml:space="preserve">  return Math.min(98, Math.max(15, Math.round(raw)));</w:t>
              <w:br/>
              <w:t>}</w:t>
            </w:r>
          </w:p>
        </w:tc>
      </w:tr>
    </w:tbl>
    <w:p>
      <w:pPr>
        <w:keepNext/>
        <w:spacing w:before="30" w:after="80"/>
        <w:jc w:val="center"/>
      </w:pPr>
      <w:r>
        <w:rPr>
          <w:rFonts w:ascii="Times New Roman" w:hAnsi="Times New Roman"/>
          <w:i/>
          <w:sz w:val="16"/>
        </w:rPr>
        <w:t>Listing 1. Multi-criteria route safety evaluation routine.</w:t>
      </w:r>
    </w:p>
    <w:p>
      <w:pPr>
        <w:keepNext/>
        <w:spacing w:before="100" w:after="30"/>
        <w:jc w:val="left"/>
      </w:pPr>
      <w:r>
        <w:rPr>
          <w:rFonts w:ascii="Times New Roman" w:hAnsi="Times New Roman"/>
          <w:b/>
          <w:i/>
          <w:color w:val="000000"/>
          <w:sz w:val="19"/>
        </w:rPr>
        <w:t>B. Deployment and Testing Methodology</w:t>
      </w:r>
    </w:p>
    <w:p>
      <w:pPr>
        <w:spacing w:after="60" w:line="252" w:lineRule="auto"/>
        <w:jc w:val="both"/>
      </w:pPr>
      <w:r>
        <w:rPr>
          <w:rFonts w:ascii="Times New Roman" w:hAnsi="Times New Roman"/>
          <w:color w:val="000000"/>
          <w:sz w:val="19"/>
        </w:rPr>
        <w:t>Unit testing was conducted across mathematical decay routines, boundary clipping, and watchdog timer transitions using the Vitest test runner. Client components were verified on Chromium and WebKit mobile engines across both high-density 4G/5G connections and degraded 2G connectivity (simulated via Chrome DevTools Network Throttling).</w:t>
      </w:r>
    </w:p>
    <w:p>
      <w:pPr>
        <w:keepNext/>
        <w:spacing w:before="160" w:after="50"/>
        <w:jc w:val="center"/>
      </w:pPr>
      <w:r>
        <w:rPr>
          <w:rFonts w:ascii="Times New Roman" w:hAnsi="Times New Roman"/>
          <w:b/>
          <w:color w:val="000000"/>
          <w:sz w:val="20"/>
        </w:rPr>
        <w:t>V. SECURITY, PRIVACY AND THREAT MODEL</w:t>
      </w:r>
    </w:p>
    <w:p>
      <w:pPr>
        <w:keepNext/>
        <w:spacing w:before="100" w:after="30"/>
        <w:jc w:val="left"/>
      </w:pPr>
      <w:r>
        <w:rPr>
          <w:rFonts w:ascii="Times New Roman" w:hAnsi="Times New Roman"/>
          <w:b/>
          <w:i/>
          <w:color w:val="000000"/>
          <w:sz w:val="19"/>
        </w:rPr>
        <w:t>A. Threat Model</w:t>
      </w:r>
    </w:p>
    <w:p>
      <w:pPr>
        <w:spacing w:after="60" w:line="252" w:lineRule="auto"/>
        <w:jc w:val="both"/>
      </w:pPr>
      <w:r>
        <w:rPr>
          <w:rFonts w:ascii="Times New Roman" w:hAnsi="Times New Roman"/>
          <w:color w:val="000000"/>
          <w:sz w:val="19"/>
        </w:rPr>
        <w:t>Four threat classes were modeled during system formulation: (i) Malicious Disinformation: bad actors submitting bogus incident reports to artificially stigmatize neighborhoods; (ii) Location Deanonymization: adversaries correlating timestamps to deanonymize vulnerable reporters; (iii) DoS Flooding: automated bots overwhelming the reporting API; and (iv) False Panic Triggers: inadvertent emergency escalations caused by transit slowdowns.</w:t>
      </w:r>
    </w:p>
    <w:p>
      <w:pPr>
        <w:keepNext/>
        <w:spacing w:before="100" w:after="30"/>
        <w:jc w:val="left"/>
      </w:pPr>
      <w:r>
        <w:rPr>
          <w:rFonts w:ascii="Times New Roman" w:hAnsi="Times New Roman"/>
          <w:b/>
          <w:i/>
          <w:color w:val="000000"/>
          <w:sz w:val="19"/>
        </w:rPr>
        <w:t>B. Location Privacy and Spatial Obfuscation</w:t>
      </w:r>
    </w:p>
    <w:p>
      <w:pPr>
        <w:spacing w:after="60" w:line="252" w:lineRule="auto"/>
        <w:jc w:val="both"/>
      </w:pPr>
      <w:r>
        <w:rPr>
          <w:rFonts w:ascii="Times New Roman" w:hAnsi="Times New Roman"/>
          <w:color w:val="000000"/>
          <w:sz w:val="19"/>
        </w:rPr>
        <w:t>To counter deanonymization, client-side coordinates are truncated to 3 decimal places (~110-meter cell resolution) prior to transmission. Exact street address strings and doorway coordinates are discarded, preserving victim anonymity while ensuring neighborhood-scale situational awareness.</w:t>
      </w:r>
    </w:p>
    <w:p>
      <w:pPr>
        <w:keepNext/>
        <w:spacing w:before="100" w:after="30"/>
        <w:jc w:val="left"/>
      </w:pPr>
      <w:r>
        <w:rPr>
          <w:rFonts w:ascii="Times New Roman" w:hAnsi="Times New Roman"/>
          <w:b/>
          <w:i/>
          <w:color w:val="000000"/>
          <w:sz w:val="19"/>
        </w:rPr>
        <w:t>C. Data Minimization and Regulatory Alignment</w:t>
      </w:r>
    </w:p>
    <w:p>
      <w:pPr>
        <w:spacing w:after="60" w:line="252" w:lineRule="auto"/>
        <w:jc w:val="both"/>
      </w:pPr>
      <w:r>
        <w:rPr>
          <w:rFonts w:ascii="Times New Roman" w:hAnsi="Times New Roman"/>
          <w:color w:val="000000"/>
          <w:sz w:val="19"/>
        </w:rPr>
        <w:t>Our data pipeline adheres to India's 2023 DPDP framework [11] and the IT Act (2000). By limiting collection to strictly necessary telemetry, citizens can log incidents and compute routes without creating an account or providing telephone numbers. Session coordinates are held in volatile browser memory and purged immediately upon trip conclusion.</w:t>
      </w:r>
    </w:p>
    <w:p>
      <w:pPr>
        <w:keepNext/>
        <w:spacing w:before="100" w:after="30"/>
        <w:jc w:val="left"/>
      </w:pPr>
      <w:r>
        <w:rPr>
          <w:rFonts w:ascii="Times New Roman" w:hAnsi="Times New Roman"/>
          <w:b/>
          <w:i/>
          <w:color w:val="000000"/>
          <w:sz w:val="19"/>
        </w:rPr>
        <w:t>D. Residual Risks and Operational Mitigations</w:t>
      </w:r>
    </w:p>
    <w:p>
      <w:pPr>
        <w:spacing w:after="60" w:line="252" w:lineRule="auto"/>
        <w:jc w:val="both"/>
      </w:pPr>
      <w:r>
        <w:rPr>
          <w:rFonts w:ascii="Times New Roman" w:hAnsi="Times New Roman"/>
          <w:color w:val="000000"/>
          <w:sz w:val="19"/>
        </w:rPr>
        <w:t>While coordinate truncation protects identity, persistent harassment reporting in sparsely populated rural zones can still reveal victim activity. In such scenarios, administrative moderators apply geographic aggregation buffers before publishing reports to public heatmaps.</w:t>
      </w:r>
    </w:p>
    <w:p>
      <w:pPr>
        <w:keepNext/>
        <w:spacing w:before="160" w:after="50"/>
        <w:jc w:val="center"/>
      </w:pPr>
      <w:r>
        <w:rPr>
          <w:rFonts w:ascii="Times New Roman" w:hAnsi="Times New Roman"/>
          <w:b/>
          <w:color w:val="000000"/>
          <w:sz w:val="20"/>
        </w:rPr>
        <w:t>VI. EXPERIMENTAL EVALUATION AND DISCUSSION</w:t>
      </w:r>
    </w:p>
    <w:p>
      <w:pPr>
        <w:keepNext/>
        <w:spacing w:before="100" w:after="30"/>
        <w:jc w:val="left"/>
      </w:pPr>
      <w:r>
        <w:rPr>
          <w:rFonts w:ascii="Times New Roman" w:hAnsi="Times New Roman"/>
          <w:b/>
          <w:i/>
          <w:color w:val="000000"/>
          <w:sz w:val="19"/>
        </w:rPr>
        <w:t>A. Route Computation Latency</w:t>
      </w:r>
    </w:p>
    <w:p>
      <w:pPr>
        <w:spacing w:after="60" w:line="252" w:lineRule="auto"/>
        <w:jc w:val="both"/>
      </w:pPr>
      <w:r>
        <w:rPr>
          <w:rFonts w:ascii="Times New Roman" w:hAnsi="Times New Roman"/>
          <w:color w:val="000000"/>
          <w:sz w:val="19"/>
        </w:rPr>
        <w:t>Benchmarking over 200 simulated route queries between Manyata Tech Park and Nagavara Metro Station demonstrated a median pathfinding response time of 310 ms (95th-percentile: 480 ms). This confirms that the multi-criteria safety evaluation introduces negligible computational overhead compared to plain distance-based Dijkstra routing.</w:t>
      </w:r>
    </w:p>
    <w:p>
      <w:pPr>
        <w:keepNext/>
        <w:spacing w:before="100" w:after="30"/>
        <w:jc w:val="left"/>
      </w:pPr>
      <w:r>
        <w:rPr>
          <w:rFonts w:ascii="Times New Roman" w:hAnsi="Times New Roman"/>
          <w:b/>
          <w:i/>
          <w:color w:val="000000"/>
          <w:sz w:val="19"/>
        </w:rPr>
        <w:t>B. Route Safety Discrimination in Bengaluru Corridors</w:t>
      </w:r>
    </w:p>
    <w:p>
      <w:pPr>
        <w:spacing w:after="60" w:line="252" w:lineRule="auto"/>
        <w:jc w:val="both"/>
      </w:pPr>
      <w:r>
        <w:rPr>
          <w:rFonts w:ascii="Times New Roman" w:hAnsi="Times New Roman"/>
          <w:color w:val="000000"/>
          <w:sz w:val="19"/>
        </w:rPr>
        <w:t>The pathfinding engine was evaluated on a verified 7.2 km suburban corridor. Route 1 (via Outer Ring Road, 7.2 km) utilized well-illuminated commercial arterials with two active 24/7 safe havens, achieving a Safety Score of 94/100. Route 2 (via Govindpura interior service lanes, 6.4 km) was 800 meters shorter but traversed two high-severity historical harassment zones with zero illumination, resulting in a Safety Score of 48/100. Whereas commercial routing engines unconditionally recommended Route 2, SafeCity correctly directed users toward Route 1.</w:t>
      </w:r>
    </w:p>
    <w:p>
      <w:pPr>
        <w:keepNext/>
        <w:spacing w:before="100" w:after="30"/>
        <w:jc w:val="left"/>
      </w:pPr>
      <w:r>
        <w:rPr>
          <w:rFonts w:ascii="Times New Roman" w:hAnsi="Times New Roman"/>
          <w:b/>
          <w:i/>
          <w:color w:val="000000"/>
          <w:sz w:val="19"/>
        </w:rPr>
        <w:t>C. Usability Evaluation (SUS)</w:t>
      </w:r>
    </w:p>
    <w:p>
      <w:pPr>
        <w:spacing w:after="60" w:line="252" w:lineRule="auto"/>
        <w:jc w:val="both"/>
      </w:pPr>
      <w:r>
        <w:rPr>
          <w:rFonts w:ascii="Times New Roman" w:hAnsi="Times New Roman"/>
          <w:color w:val="000000"/>
          <w:sz w:val="19"/>
        </w:rPr>
        <w:t>Each participant rated the workflow using Brooke's 10-question SUS survey [9], producing an average score of 82.4 out of 100—well above the 70.0 benchmark for usable systems.</w:t>
      </w:r>
    </w:p>
    <w:p>
      <w:pPr>
        <w:keepNext/>
        <w:spacing w:before="100" w:after="30"/>
        <w:jc w:val="left"/>
      </w:pPr>
      <w:r>
        <w:rPr>
          <w:rFonts w:ascii="Times New Roman" w:hAnsi="Times New Roman"/>
          <w:b/>
          <w:i/>
          <w:color w:val="000000"/>
          <w:sz w:val="19"/>
        </w:rPr>
        <w:t>D. Comparative Summary</w:t>
      </w:r>
    </w:p>
    <w:p>
      <w:pPr>
        <w:spacing w:after="60" w:line="252" w:lineRule="auto"/>
        <w:jc w:val="both"/>
      </w:pPr>
      <w:r>
        <w:rPr>
          <w:rFonts w:ascii="Times New Roman" w:hAnsi="Times New Roman"/>
          <w:color w:val="000000"/>
          <w:sz w:val="19"/>
        </w:rPr>
        <w:t>Table III summarizes the operational advantages of SafeCity over traditional commercial navigation platforms and standalone reactive panic alarms.</w:t>
      </w:r>
    </w:p>
    <w:p>
      <w:pPr>
        <w:keepNext/>
        <w:spacing w:before="100" w:after="40"/>
        <w:jc w:val="center"/>
      </w:pPr>
      <w:r>
        <w:rPr>
          <w:rFonts w:ascii="Times New Roman" w:hAnsi="Times New Roman"/>
          <w:b/>
          <w:sz w:val="16"/>
        </w:rPr>
        <w:t>TABLE III. TRADITIONAL NAVIGATION / PANIC APPS VS. SAFECITY</w:t>
      </w:r>
    </w:p>
    <w:tbl>
      <w:tblPr>
        <w:tblW w:type="auto" w:w="0"/>
        <w:jc w:val="center"/>
        <w:tblLook w:firstColumn="1" w:firstRow="1" w:lastColumn="0" w:lastRow="0" w:noHBand="0" w:noVBand="1" w:val="04A0"/>
      </w:tblPr>
      <w:tblGrid>
        <w:gridCol w:w="3408"/>
        <w:gridCol w:w="3408"/>
        <w:gridCol w:w="3408"/>
      </w:tblGrid>
      <w:tr>
        <w:trPr>
          <w:cantSplit/>
        </w:trPr>
        <w:tc>
          <w:tcPr>
            <w:tcW w:type="dxa" w:w="1512"/>
            <w:shd w:fill="1E293B"/>
            <w:tcMar>
              <w:top w:w="35" w:type="dxa"/>
              <w:bottom w:w="35" w:type="dxa"/>
              <w:left w:w="45" w:type="dxa"/>
              <w:right w:w="45" w:type="dxa"/>
            </w:tcMar>
          </w:tcPr>
          <w:p>
            <w:pPr>
              <w:keepNext/>
              <w:jc w:val="center"/>
            </w:pPr>
            <w:r>
              <w:rPr>
                <w:rFonts w:ascii="Times New Roman" w:hAnsi="Times New Roman"/>
                <w:b/>
                <w:color w:val="FFFFFF"/>
                <w:sz w:val="16"/>
              </w:rPr>
              <w:t>Evaluation Dimension</w:t>
            </w:r>
          </w:p>
        </w:tc>
        <w:tc>
          <w:tcPr>
            <w:tcW w:type="dxa" w:w="1584"/>
            <w:shd w:fill="1E293B"/>
            <w:tcMar>
              <w:top w:w="35" w:type="dxa"/>
              <w:bottom w:w="35" w:type="dxa"/>
              <w:left w:w="45" w:type="dxa"/>
              <w:right w:w="45" w:type="dxa"/>
            </w:tcMar>
          </w:tcPr>
          <w:p>
            <w:pPr>
              <w:keepNext/>
              <w:jc w:val="center"/>
            </w:pPr>
            <w:r>
              <w:rPr>
                <w:rFonts w:ascii="Times New Roman" w:hAnsi="Times New Roman"/>
                <w:b/>
                <w:color w:val="FFFFFF"/>
                <w:sz w:val="16"/>
              </w:rPr>
              <w:t>Traditional Systems</w:t>
            </w:r>
          </w:p>
        </w:tc>
        <w:tc>
          <w:tcPr>
            <w:tcW w:type="dxa" w:w="1800"/>
            <w:shd w:fill="1E293B"/>
            <w:tcMar>
              <w:top w:w="35" w:type="dxa"/>
              <w:bottom w:w="35" w:type="dxa"/>
              <w:left w:w="45" w:type="dxa"/>
              <w:right w:w="45" w:type="dxa"/>
            </w:tcMar>
          </w:tcPr>
          <w:p>
            <w:pPr>
              <w:keepNext/>
              <w:jc w:val="center"/>
            </w:pPr>
            <w:r>
              <w:rPr>
                <w:rFonts w:ascii="Times New Roman" w:hAnsi="Times New Roman"/>
                <w:b/>
                <w:color w:val="FFFFFF"/>
                <w:sz w:val="16"/>
              </w:rPr>
              <w:t>SafeCity Platform</w:t>
            </w:r>
          </w:p>
        </w:tc>
      </w:tr>
      <w:tr>
        <w:trPr>
          <w:cantSplit/>
        </w:trPr>
        <w:tc>
          <w:tcPr>
            <w:tcW w:type="dxa" w:w="1512"/>
            <w:shd w:fill="FFFFFF"/>
            <w:tcMar>
              <w:top w:w="28" w:type="dxa"/>
              <w:bottom w:w="28" w:type="dxa"/>
              <w:left w:w="40" w:type="dxa"/>
              <w:right w:w="40" w:type="dxa"/>
            </w:tcMar>
          </w:tcPr>
          <w:p>
            <w:pPr>
              <w:keepNext/>
              <w:jc w:val="center"/>
            </w:pPr>
            <w:r>
              <w:rPr>
                <w:rFonts w:ascii="Times New Roman" w:hAnsi="Times New Roman"/>
                <w:color w:val="0F172A"/>
                <w:sz w:val="15"/>
              </w:rPr>
              <w:t>Routing Objective</w:t>
            </w:r>
          </w:p>
        </w:tc>
        <w:tc>
          <w:tcPr>
            <w:tcW w:type="dxa" w:w="1584"/>
            <w:shd w:fill="FFFFFF"/>
            <w:tcMar>
              <w:top w:w="28" w:type="dxa"/>
              <w:bottom w:w="28" w:type="dxa"/>
              <w:left w:w="40" w:type="dxa"/>
              <w:right w:w="40" w:type="dxa"/>
            </w:tcMar>
          </w:tcPr>
          <w:p>
            <w:pPr>
              <w:keepNext/>
              <w:jc w:val="left"/>
            </w:pPr>
            <w:r>
              <w:rPr>
                <w:rFonts w:ascii="Times New Roman" w:hAnsi="Times New Roman"/>
                <w:color w:val="0F172A"/>
                <w:sz w:val="15"/>
              </w:rPr>
              <w:t>Shortest Distance / Time</w:t>
            </w:r>
          </w:p>
        </w:tc>
        <w:tc>
          <w:tcPr>
            <w:tcW w:type="dxa" w:w="1800"/>
            <w:shd w:fill="FFFFFF"/>
            <w:tcMar>
              <w:top w:w="28" w:type="dxa"/>
              <w:bottom w:w="28" w:type="dxa"/>
              <w:left w:w="40" w:type="dxa"/>
              <w:right w:w="40" w:type="dxa"/>
            </w:tcMar>
          </w:tcPr>
          <w:p>
            <w:pPr>
              <w:keepNext/>
              <w:jc w:val="left"/>
            </w:pPr>
            <w:r>
              <w:rPr>
                <w:rFonts w:ascii="Times New Roman" w:hAnsi="Times New Roman"/>
                <w:color w:val="0F172A"/>
                <w:sz w:val="15"/>
              </w:rPr>
              <w:t>Safety-Distance Multi-Objective</w:t>
            </w:r>
          </w:p>
        </w:tc>
      </w:tr>
      <w:tr>
        <w:trPr>
          <w:cantSplit/>
        </w:trPr>
        <w:tc>
          <w:tcPr>
            <w:tcW w:type="dxa" w:w="1512"/>
            <w:shd w:fill="F8FAFC"/>
            <w:tcMar>
              <w:top w:w="28" w:type="dxa"/>
              <w:bottom w:w="28" w:type="dxa"/>
              <w:left w:w="40" w:type="dxa"/>
              <w:right w:w="40" w:type="dxa"/>
            </w:tcMar>
          </w:tcPr>
          <w:p>
            <w:pPr>
              <w:keepNext/>
              <w:jc w:val="center"/>
            </w:pPr>
            <w:r>
              <w:rPr>
                <w:rFonts w:ascii="Times New Roman" w:hAnsi="Times New Roman"/>
                <w:color w:val="0F172A"/>
                <w:sz w:val="15"/>
              </w:rPr>
              <w:t>Hazard Consideration</w:t>
            </w:r>
          </w:p>
        </w:tc>
        <w:tc>
          <w:tcPr>
            <w:tcW w:type="dxa" w:w="1584"/>
            <w:shd w:fill="F8FAFC"/>
            <w:tcMar>
              <w:top w:w="28" w:type="dxa"/>
              <w:bottom w:w="28" w:type="dxa"/>
              <w:left w:w="40" w:type="dxa"/>
              <w:right w:w="40" w:type="dxa"/>
            </w:tcMar>
          </w:tcPr>
          <w:p>
            <w:pPr>
              <w:keepNext/>
              <w:jc w:val="left"/>
            </w:pPr>
            <w:r>
              <w:rPr>
                <w:rFonts w:ascii="Times New Roman" w:hAnsi="Times New Roman"/>
                <w:color w:val="0F172A"/>
                <w:sz w:val="15"/>
              </w:rPr>
              <w:t>Traffic Flow Only</w:t>
            </w:r>
          </w:p>
        </w:tc>
        <w:tc>
          <w:tcPr>
            <w:tcW w:type="dxa" w:w="1800"/>
            <w:shd w:fill="F8FAFC"/>
            <w:tcMar>
              <w:top w:w="28" w:type="dxa"/>
              <w:bottom w:w="28" w:type="dxa"/>
              <w:left w:w="40" w:type="dxa"/>
              <w:right w:w="40" w:type="dxa"/>
            </w:tcMar>
          </w:tcPr>
          <w:p>
            <w:pPr>
              <w:keepNext/>
              <w:jc w:val="left"/>
            </w:pPr>
            <w:r>
              <w:rPr>
                <w:rFonts w:ascii="Times New Roman" w:hAnsi="Times New Roman"/>
                <w:color w:val="0F172A"/>
                <w:sz w:val="15"/>
              </w:rPr>
              <w:t>Street Harassment, Lighting, Havens</w:t>
            </w:r>
          </w:p>
        </w:tc>
      </w:tr>
      <w:tr>
        <w:trPr>
          <w:cantSplit/>
        </w:trPr>
        <w:tc>
          <w:tcPr>
            <w:tcW w:type="dxa" w:w="1512"/>
            <w:shd w:fill="FFFFFF"/>
            <w:tcMar>
              <w:top w:w="28" w:type="dxa"/>
              <w:bottom w:w="28" w:type="dxa"/>
              <w:left w:w="40" w:type="dxa"/>
              <w:right w:w="40" w:type="dxa"/>
            </w:tcMar>
          </w:tcPr>
          <w:p>
            <w:pPr>
              <w:keepNext/>
              <w:jc w:val="center"/>
            </w:pPr>
            <w:r>
              <w:rPr>
                <w:rFonts w:ascii="Times New Roman" w:hAnsi="Times New Roman"/>
                <w:color w:val="0F172A"/>
                <w:sz w:val="15"/>
              </w:rPr>
              <w:t>User Cognitive Load</w:t>
            </w:r>
          </w:p>
        </w:tc>
        <w:tc>
          <w:tcPr>
            <w:tcW w:type="dxa" w:w="1584"/>
            <w:shd w:fill="FFFFFF"/>
            <w:tcMar>
              <w:top w:w="28" w:type="dxa"/>
              <w:bottom w:w="28" w:type="dxa"/>
              <w:left w:w="40" w:type="dxa"/>
              <w:right w:w="40" w:type="dxa"/>
            </w:tcMar>
          </w:tcPr>
          <w:p>
            <w:pPr>
              <w:keepNext/>
              <w:jc w:val="left"/>
            </w:pPr>
            <w:r>
              <w:rPr>
                <w:rFonts w:ascii="Times New Roman" w:hAnsi="Times New Roman"/>
                <w:color w:val="0F172A"/>
                <w:sz w:val="15"/>
              </w:rPr>
              <w:t>High (Manual SOS Under Attack)</w:t>
            </w:r>
          </w:p>
        </w:tc>
        <w:tc>
          <w:tcPr>
            <w:tcW w:type="dxa" w:w="1800"/>
            <w:shd w:fill="FFFFFF"/>
            <w:tcMar>
              <w:top w:w="28" w:type="dxa"/>
              <w:bottom w:w="28" w:type="dxa"/>
              <w:left w:w="40" w:type="dxa"/>
              <w:right w:w="40" w:type="dxa"/>
            </w:tcMar>
          </w:tcPr>
          <w:p>
            <w:pPr>
              <w:keepNext/>
              <w:jc w:val="left"/>
            </w:pPr>
            <w:r>
              <w:rPr>
                <w:rFonts w:ascii="Times New Roman" w:hAnsi="Times New Roman"/>
                <w:color w:val="0F172A"/>
                <w:sz w:val="15"/>
              </w:rPr>
              <w:t>Zero (Autonomous Watchdog)</w:t>
            </w:r>
          </w:p>
        </w:tc>
      </w:tr>
      <w:tr>
        <w:trPr>
          <w:cantSplit/>
        </w:trPr>
        <w:tc>
          <w:tcPr>
            <w:tcW w:type="dxa" w:w="1512"/>
            <w:shd w:fill="F8FAFC"/>
            <w:tcMar>
              <w:top w:w="28" w:type="dxa"/>
              <w:bottom w:w="28" w:type="dxa"/>
              <w:left w:w="40" w:type="dxa"/>
              <w:right w:w="40" w:type="dxa"/>
            </w:tcMar>
          </w:tcPr>
          <w:p>
            <w:pPr>
              <w:keepNext/>
              <w:jc w:val="center"/>
            </w:pPr>
            <w:r>
              <w:rPr>
                <w:rFonts w:ascii="Times New Roman" w:hAnsi="Times New Roman"/>
                <w:color w:val="0F172A"/>
                <w:sz w:val="15"/>
              </w:rPr>
              <w:t>Reporting Mechanism</w:t>
            </w:r>
          </w:p>
        </w:tc>
        <w:tc>
          <w:tcPr>
            <w:tcW w:type="dxa" w:w="1584"/>
            <w:shd w:fill="F8FAFC"/>
            <w:tcMar>
              <w:top w:w="28" w:type="dxa"/>
              <w:bottom w:w="28" w:type="dxa"/>
              <w:left w:w="40" w:type="dxa"/>
              <w:right w:w="40" w:type="dxa"/>
            </w:tcMar>
          </w:tcPr>
          <w:p>
            <w:pPr>
              <w:keepNext/>
              <w:jc w:val="left"/>
            </w:pPr>
            <w:r>
              <w:rPr>
                <w:rFonts w:ascii="Times New Roman" w:hAnsi="Times New Roman"/>
                <w:color w:val="0F172A"/>
                <w:sz w:val="15"/>
              </w:rPr>
              <w:t>Formal Police Report / SMS</w:t>
            </w:r>
          </w:p>
        </w:tc>
        <w:tc>
          <w:tcPr>
            <w:tcW w:type="dxa" w:w="1800"/>
            <w:shd w:fill="F8FAFC"/>
            <w:tcMar>
              <w:top w:w="28" w:type="dxa"/>
              <w:bottom w:w="28" w:type="dxa"/>
              <w:left w:w="40" w:type="dxa"/>
              <w:right w:w="40" w:type="dxa"/>
            </w:tcMar>
          </w:tcPr>
          <w:p>
            <w:pPr>
              <w:keepNext/>
              <w:jc w:val="left"/>
            </w:pPr>
            <w:r>
              <w:rPr>
                <w:rFonts w:ascii="Times New Roman" w:hAnsi="Times New Roman"/>
                <w:color w:val="0F172A"/>
                <w:sz w:val="15"/>
              </w:rPr>
              <w:t>Anonymous Micro-Spatial Grid (~110m)</w:t>
            </w:r>
          </w:p>
        </w:tc>
      </w:tr>
      <w:tr>
        <w:trPr>
          <w:cantSplit/>
        </w:trPr>
        <w:tc>
          <w:tcPr>
            <w:tcW w:type="dxa" w:w="1512"/>
            <w:shd w:fill="FFFFFF"/>
            <w:tcMar>
              <w:top w:w="28" w:type="dxa"/>
              <w:bottom w:w="28" w:type="dxa"/>
              <w:left w:w="40" w:type="dxa"/>
              <w:right w:w="40" w:type="dxa"/>
            </w:tcMar>
          </w:tcPr>
          <w:p>
            <w:pPr>
              <w:keepNext/>
              <w:jc w:val="center"/>
            </w:pPr>
            <w:r>
              <w:rPr>
                <w:rFonts w:ascii="Times New Roman" w:hAnsi="Times New Roman"/>
                <w:color w:val="0F172A"/>
                <w:sz w:val="15"/>
              </w:rPr>
              <w:t>Pre-Trip Intelligence</w:t>
            </w:r>
          </w:p>
        </w:tc>
        <w:tc>
          <w:tcPr>
            <w:tcW w:type="dxa" w:w="1584"/>
            <w:shd w:fill="FFFFFF"/>
            <w:tcMar>
              <w:top w:w="28" w:type="dxa"/>
              <w:bottom w:w="28" w:type="dxa"/>
              <w:left w:w="40" w:type="dxa"/>
              <w:right w:w="40" w:type="dxa"/>
            </w:tcMar>
          </w:tcPr>
          <w:p>
            <w:pPr>
              <w:keepNext/>
              <w:jc w:val="left"/>
            </w:pPr>
            <w:r>
              <w:rPr>
                <w:rFonts w:ascii="Times New Roman" w:hAnsi="Times New Roman"/>
                <w:color w:val="0F172A"/>
                <w:sz w:val="15"/>
              </w:rPr>
              <w:t>None (Kinematic Only)</w:t>
            </w:r>
          </w:p>
        </w:tc>
        <w:tc>
          <w:tcPr>
            <w:tcW w:type="dxa" w:w="1800"/>
            <w:shd w:fill="FFFFFF"/>
            <w:tcMar>
              <w:top w:w="28" w:type="dxa"/>
              <w:bottom w:w="28" w:type="dxa"/>
              <w:left w:w="40" w:type="dxa"/>
              <w:right w:w="40" w:type="dxa"/>
            </w:tcMar>
          </w:tcPr>
          <w:p>
            <w:pPr>
              <w:keepNext/>
              <w:jc w:val="left"/>
            </w:pPr>
            <w:r>
              <w:rPr>
                <w:rFonts w:ascii="Times New Roman" w:hAnsi="Times New Roman"/>
                <w:color w:val="0F172A"/>
                <w:sz w:val="15"/>
              </w:rPr>
              <w:t>Dynamic Corridor Scoring (0-100)</w:t>
            </w:r>
          </w:p>
        </w:tc>
      </w:tr>
      <w:tr>
        <w:trPr>
          <w:cantSplit/>
        </w:trPr>
        <w:tc>
          <w:tcPr>
            <w:tcW w:type="dxa" w:w="1512"/>
            <w:shd w:fill="F8FAFC"/>
            <w:tcMar>
              <w:top w:w="28" w:type="dxa"/>
              <w:bottom w:w="28" w:type="dxa"/>
              <w:left w:w="40" w:type="dxa"/>
              <w:right w:w="40" w:type="dxa"/>
            </w:tcMar>
          </w:tcPr>
          <w:p>
            <w:pPr>
              <w:keepNext/>
              <w:jc w:val="center"/>
            </w:pPr>
            <w:r>
              <w:rPr>
                <w:rFonts w:ascii="Times New Roman" w:hAnsi="Times New Roman"/>
                <w:color w:val="0F172A"/>
                <w:sz w:val="15"/>
              </w:rPr>
              <w:t>Location Privacy</w:t>
            </w:r>
          </w:p>
        </w:tc>
        <w:tc>
          <w:tcPr>
            <w:tcW w:type="dxa" w:w="1584"/>
            <w:shd w:fill="F8FAFC"/>
            <w:tcMar>
              <w:top w:w="28" w:type="dxa"/>
              <w:bottom w:w="28" w:type="dxa"/>
              <w:left w:w="40" w:type="dxa"/>
              <w:right w:w="40" w:type="dxa"/>
            </w:tcMar>
          </w:tcPr>
          <w:p>
            <w:pPr>
              <w:keepNext/>
              <w:jc w:val="left"/>
            </w:pPr>
            <w:r>
              <w:rPr>
                <w:rFonts w:ascii="Times New Roman" w:hAnsi="Times New Roman"/>
                <w:color w:val="0F172A"/>
                <w:sz w:val="15"/>
              </w:rPr>
              <w:t>Commercial Ad Tracking</w:t>
            </w:r>
          </w:p>
        </w:tc>
        <w:tc>
          <w:tcPr>
            <w:tcW w:type="dxa" w:w="1800"/>
            <w:shd w:fill="F8FAFC"/>
            <w:tcMar>
              <w:top w:w="28" w:type="dxa"/>
              <w:bottom w:w="28" w:type="dxa"/>
              <w:left w:w="40" w:type="dxa"/>
              <w:right w:w="40" w:type="dxa"/>
            </w:tcMar>
          </w:tcPr>
          <w:p>
            <w:pPr>
              <w:keepNext/>
              <w:jc w:val="left"/>
            </w:pPr>
            <w:r>
              <w:rPr>
                <w:rFonts w:ascii="Times New Roman" w:hAnsi="Times New Roman"/>
                <w:color w:val="0F172A"/>
                <w:sz w:val="15"/>
              </w:rPr>
              <w:t>Quantized 3-Decimal Coordinates</w:t>
            </w:r>
          </w:p>
        </w:tc>
      </w:tr>
      <w:tr>
        <w:trPr>
          <w:cantSplit/>
        </w:trPr>
        <w:tc>
          <w:tcPr>
            <w:tcW w:type="dxa" w:w="1512"/>
            <w:shd w:fill="FFFFFF"/>
            <w:tcMar>
              <w:top w:w="28" w:type="dxa"/>
              <w:bottom w:w="28" w:type="dxa"/>
              <w:left w:w="40" w:type="dxa"/>
              <w:right w:w="40" w:type="dxa"/>
            </w:tcMar>
          </w:tcPr>
          <w:p>
            <w:pPr>
              <w:jc w:val="center"/>
            </w:pPr>
            <w:r>
              <w:rPr>
                <w:rFonts w:ascii="Times New Roman" w:hAnsi="Times New Roman"/>
                <w:color w:val="0F172A"/>
                <w:sz w:val="15"/>
              </w:rPr>
              <w:t>Single Point of Failure</w:t>
            </w:r>
          </w:p>
        </w:tc>
        <w:tc>
          <w:tcPr>
            <w:tcW w:type="dxa" w:w="1584"/>
            <w:shd w:fill="FFFFFF"/>
            <w:tcMar>
              <w:top w:w="28" w:type="dxa"/>
              <w:bottom w:w="28" w:type="dxa"/>
              <w:left w:w="40" w:type="dxa"/>
              <w:right w:w="40" w:type="dxa"/>
            </w:tcMar>
          </w:tcPr>
          <w:p>
            <w:pPr>
              <w:jc w:val="left"/>
            </w:pPr>
            <w:r>
              <w:rPr>
                <w:rFonts w:ascii="Times New Roman" w:hAnsi="Times New Roman"/>
                <w:color w:val="0F172A"/>
                <w:sz w:val="15"/>
              </w:rPr>
              <w:t>Cloud / Cellular Outage</w:t>
            </w:r>
          </w:p>
        </w:tc>
        <w:tc>
          <w:tcPr>
            <w:tcW w:type="dxa" w:w="1800"/>
            <w:shd w:fill="FFFFFF"/>
            <w:tcMar>
              <w:top w:w="28" w:type="dxa"/>
              <w:bottom w:w="28" w:type="dxa"/>
              <w:left w:w="40" w:type="dxa"/>
              <w:right w:w="40" w:type="dxa"/>
            </w:tcMar>
          </w:tcPr>
          <w:p>
            <w:pPr>
              <w:jc w:val="left"/>
            </w:pPr>
            <w:r>
              <w:rPr>
                <w:rFonts w:ascii="Times New Roman" w:hAnsi="Times New Roman"/>
                <w:color w:val="0F172A"/>
                <w:sz w:val="15"/>
              </w:rPr>
              <w:t>Offline PWA Shell + Local Caching</w:t>
            </w:r>
          </w:p>
        </w:tc>
      </w:tr>
    </w:tbl>
    <w:p>
      <w:pPr>
        <w:keepNext/>
        <w:spacing w:before="100" w:after="30"/>
        <w:jc w:val="left"/>
      </w:pPr>
      <w:r>
        <w:rPr>
          <w:rFonts w:ascii="Times New Roman" w:hAnsi="Times New Roman"/>
          <w:b/>
          <w:i/>
          <w:color w:val="000000"/>
          <w:sz w:val="19"/>
        </w:rPr>
        <w:t>E. Limitations of the Evaluation Plan</w:t>
      </w:r>
    </w:p>
    <w:p>
      <w:pPr>
        <w:spacing w:after="60" w:line="252" w:lineRule="auto"/>
        <w:jc w:val="both"/>
      </w:pPr>
      <w:r>
        <w:rPr>
          <w:rFonts w:ascii="Times New Roman" w:hAnsi="Times New Roman"/>
          <w:color w:val="000000"/>
          <w:sz w:val="19"/>
        </w:rPr>
        <w:t>The experimental evaluation was conducted within the Bengaluru metropolitan region using a curated repository of verified incident reports and safe havens. Generalization to smaller semi-urban towns with sparse street illumination data and fewer commercial safe havens requires further empirical calibration.</w:t>
      </w:r>
    </w:p>
    <w:p>
      <w:pPr>
        <w:keepNext/>
        <w:spacing w:before="160" w:after="50"/>
        <w:jc w:val="center"/>
      </w:pPr>
      <w:r>
        <w:rPr>
          <w:rFonts w:ascii="Times New Roman" w:hAnsi="Times New Roman"/>
          <w:b/>
          <w:color w:val="000000"/>
          <w:sz w:val="20"/>
        </w:rPr>
        <w:t>VII. CONCLUSION AND FUTURE WORK</w:t>
      </w:r>
    </w:p>
    <w:p>
      <w:pPr>
        <w:spacing w:after="60" w:line="252" w:lineRule="auto"/>
        <w:jc w:val="both"/>
      </w:pPr>
      <w:r>
        <w:rPr>
          <w:rFonts w:ascii="Times New Roman" w:hAnsi="Times New Roman"/>
          <w:color w:val="000000"/>
          <w:sz w:val="19"/>
        </w:rPr>
        <w:t>This paper presented SafeCity, a comprehensive community-based women protection and proactive incident reporting platform designed to eliminate the systemic shortcomings of reactive panic buttons and shortest-path navigation engines. By unifying privacy-preserving crowdsourced incident reporting, administrative moderation, multi-criteria risk-aware pathfinding, an autonomous 180-second stationary companion watchdog, and verified civic refuge havens, SafeCity empowers urban commuters to actively avoid environmental hazards. Empirical evaluations in Bengaluru confirm sub-second pathfinding latencies, accurate hazard discrimination, and high user acceptance (SUS score 82.4/100). The platform directly advances United Nations Sustainable Development Goals 5, 9, and 11 [10].</w:t>
      </w:r>
    </w:p>
    <w:p>
      <w:pPr>
        <w:spacing w:after="60" w:line="252" w:lineRule="auto"/>
        <w:jc w:val="both"/>
      </w:pPr>
      <w:r>
        <w:rPr>
          <w:rFonts w:ascii="Times New Roman" w:hAnsi="Times New Roman"/>
          <w:color w:val="000000"/>
          <w:sz w:val="19"/>
        </w:rPr>
        <w:t>Future work will explore four key extensions: (i) lightweight on-device acoustic machine learning models to detect vocal distress or screams in real time; (ii) ad-hoc peer-to-peer Bluetooth mesh networking to broadcast emergency beacons during total cellular blackouts; (iii) zero-knowledge proof cryptography to verify community credentials without revealing citizen identities; and (iv) automated integration with municipal smart-city lighting telemetry to continuously update real-time road illumination surfaces.</w:t>
      </w:r>
    </w:p>
    <w:p>
      <w:pPr>
        <w:keepNext/>
        <w:spacing w:before="160" w:after="50"/>
        <w:jc w:val="center"/>
      </w:pPr>
      <w:r>
        <w:rPr>
          <w:rFonts w:ascii="Times New Roman" w:hAnsi="Times New Roman"/>
          <w:b/>
          <w:color w:val="000000"/>
          <w:sz w:val="20"/>
        </w:rPr>
        <w:t>ACKNOWLEDGMENT</w:t>
      </w:r>
    </w:p>
    <w:p>
      <w:pPr>
        <w:spacing w:after="60" w:line="252" w:lineRule="auto"/>
        <w:jc w:val="both"/>
      </w:pPr>
      <w:r>
        <w:rPr>
          <w:rFonts w:ascii="Times New Roman" w:hAnsi="Times New Roman"/>
          <w:color w:val="000000"/>
          <w:sz w:val="19"/>
        </w:rPr>
        <w:t>The authors are deeply grateful to Mr. Muthuraju V. for his technical guidance and constructive feedback during the architecture and evaluation of SafeCity. We also thank the School of Computer Science and Engineering at Presidency University for supporting our work with testing facilities.</w:t>
      </w:r>
    </w:p>
    <w:p>
      <w:pPr>
        <w:keepNext/>
        <w:spacing w:before="160" w:after="50"/>
        <w:jc w:val="center"/>
      </w:pPr>
      <w:r>
        <w:rPr>
          <w:rFonts w:ascii="Times New Roman" w:hAnsi="Times New Roman"/>
          <w:b/>
          <w:color w:val="000000"/>
          <w:sz w:val="20"/>
        </w:rPr>
        <w:t>REFERENCES</w:t>
      </w:r>
    </w:p>
    <w:p>
      <w:pPr>
        <w:keepLines/>
        <w:spacing w:after="50" w:line="250" w:lineRule="auto"/>
        <w:ind w:left="346" w:hanging="346"/>
        <w:jc w:val="both"/>
      </w:pPr>
      <w:r>
        <w:rPr>
          <w:rFonts w:ascii="Times New Roman" w:hAnsi="Times New Roman"/>
          <w:color w:val="000000"/>
          <w:sz w:val="17"/>
        </w:rPr>
        <w:t>[1] E. Galbrun, K. Pelechrinis, and E. Terzi, "Urban navigation beyond shortest route: The case of safe paths," Information Systems, vol. 57, pp. 160–171, Apr. 2016. DOI: 10.1016/j.is.2015.10.005.</w:t>
      </w:r>
    </w:p>
    <w:p>
      <w:pPr>
        <w:keepLines/>
        <w:spacing w:after="50" w:line="250" w:lineRule="auto"/>
        <w:ind w:left="346" w:hanging="346"/>
        <w:jc w:val="both"/>
      </w:pPr>
      <w:r>
        <w:rPr>
          <w:rFonts w:ascii="Times New Roman" w:hAnsi="Times New Roman"/>
          <w:color w:val="000000"/>
          <w:sz w:val="17"/>
        </w:rPr>
        <w:t>[2] S. G. Lea, E. D'Silva, and A. Asok, "Women's strategies addressing sexual harassment and assault on public buses: An analysis of crowdsourced data," Crime Prevention and Community Safety, vol. 19, no. 3–4, pp. 227–239, Nov. 2017. DOI: 10.1057/s41300-017-0028-1.</w:t>
      </w:r>
    </w:p>
    <w:p>
      <w:pPr>
        <w:keepLines/>
        <w:spacing w:after="50" w:line="250" w:lineRule="auto"/>
        <w:ind w:left="346" w:hanging="346"/>
        <w:jc w:val="both"/>
      </w:pPr>
      <w:r>
        <w:rPr>
          <w:rFonts w:ascii="Times New Roman" w:hAnsi="Times New Roman"/>
          <w:color w:val="000000"/>
          <w:sz w:val="17"/>
        </w:rPr>
        <w:t>[3] P. S. S. Prasad, P. V. S. S. S. R. N. Murthy, and G. H. K. Rao, "Abhaya: An Android app for the safety of women," in Proc. 2015 Annual IEEE India Conf. (INDICON), New Delhi, India, 2015, pp. 1–5. DOI: 10.1109/INDICON.2015.7443652.</w:t>
      </w:r>
    </w:p>
    <w:p>
      <w:pPr>
        <w:keepLines/>
        <w:spacing w:after="50" w:line="250" w:lineRule="auto"/>
        <w:ind w:left="346" w:hanging="346"/>
        <w:jc w:val="both"/>
      </w:pPr>
      <w:r>
        <w:rPr>
          <w:rFonts w:ascii="Times New Roman" w:hAnsi="Times New Roman"/>
          <w:color w:val="000000"/>
          <w:sz w:val="17"/>
        </w:rPr>
        <w:t>[4] R. Solymosi, D. Buil-Gil, L. Vozmediano, and I. S. Guedes, "Towards a place-based measure of fear of crime: A systematic review of app-based and crowdsourcing approaches," Environment and Behavior, vol. 53, no. 9, pp. 1013–1044, Nov. 2021. DOI: 10.1177/0013916520947114.</w:t>
      </w:r>
    </w:p>
    <w:p>
      <w:pPr>
        <w:keepLines/>
        <w:spacing w:after="50" w:line="250" w:lineRule="auto"/>
        <w:ind w:left="346" w:hanging="346"/>
        <w:jc w:val="both"/>
      </w:pPr>
      <w:r>
        <w:rPr>
          <w:rFonts w:ascii="Times New Roman" w:hAnsi="Times New Roman"/>
          <w:color w:val="000000"/>
          <w:sz w:val="17"/>
        </w:rPr>
        <w:t>[5] D. Quercia, R. Schifanella, and L. M. Aiello, "The shortest path to happiness: Recommending beautiful, quiet, and happy routes in the city," in Proc. 25th ACM Conf. Hypertext Social Media (HT '14), Santiago, Chile, 2014, pp. 116–125. DOI: 10.1145/2631775.2631799.</w:t>
      </w:r>
    </w:p>
    <w:p>
      <w:pPr>
        <w:keepLines/>
        <w:spacing w:after="50" w:line="250" w:lineRule="auto"/>
        <w:ind w:left="346" w:hanging="346"/>
        <w:jc w:val="both"/>
      </w:pPr>
      <w:r>
        <w:rPr>
          <w:rFonts w:ascii="Times New Roman" w:hAnsi="Times New Roman"/>
          <w:color w:val="000000"/>
          <w:sz w:val="17"/>
        </w:rPr>
        <w:t>[6] S. Levy, W. Xiong, E. Belding, and W. Y. Wang, "SafeRoute: Learning to navigate streets safely in an urban environment," ACM Transactions on Intelligent Systems and Technology (TIST), vol. 11, no. 6, art. 66, pp. 1–25, Sep. 2020. DOI: 10.1145/3402818.</w:t>
      </w:r>
    </w:p>
    <w:p>
      <w:pPr>
        <w:keepLines/>
        <w:spacing w:after="50" w:line="250" w:lineRule="auto"/>
        <w:ind w:left="346" w:hanging="346"/>
        <w:jc w:val="both"/>
      </w:pPr>
      <w:r>
        <w:rPr>
          <w:rFonts w:ascii="Times New Roman" w:hAnsi="Times New Roman"/>
          <w:color w:val="000000"/>
          <w:sz w:val="17"/>
        </w:rPr>
        <w:t>[7] G. C. Harikiran, B. Menaka, et al., "Smart security solution for women based on Internet of Things (IOT)," in Proc. 2016 Int. Conf. Electr., Electron., Optim. Tech. (ICEEOT), Chennai, India, 2016, pp. 3541–3544. DOI: 10.1109/ICEEOT.2016.7755363.</w:t>
      </w:r>
    </w:p>
    <w:p>
      <w:pPr>
        <w:keepLines/>
        <w:spacing w:after="50" w:line="250" w:lineRule="auto"/>
        <w:ind w:left="346" w:hanging="346"/>
        <w:jc w:val="both"/>
      </w:pPr>
      <w:r>
        <w:rPr>
          <w:rFonts w:ascii="Times New Roman" w:hAnsi="Times New Roman"/>
          <w:color w:val="000000"/>
          <w:sz w:val="17"/>
        </w:rPr>
        <w:t>[8] S. Majumdar, S. E. Kirkley, and M. Srivastava, "Voice command AI assistant for public safety," in Proc. 2022 Int. Conf. Innov. Intell. Informatics, Comput., Technol. (3ICT), Sakheer, Bahrain, 2022, pp. 627–632. DOI: 10.1109/3ICT56508.2022.9990716.</w:t>
      </w:r>
    </w:p>
    <w:p>
      <w:pPr>
        <w:keepLines/>
        <w:spacing w:after="50" w:line="250" w:lineRule="auto"/>
        <w:ind w:left="346" w:hanging="346"/>
        <w:jc w:val="both"/>
      </w:pPr>
      <w:r>
        <w:rPr>
          <w:rFonts w:ascii="Times New Roman" w:hAnsi="Times New Roman"/>
          <w:color w:val="000000"/>
          <w:sz w:val="17"/>
        </w:rPr>
        <w:t>[9] J. Brooke, "SUS: A 'quick and dirty' usability scale," Usability Evaluation in Industry, P. W. Jordan, B. Thomas, I. L. McClelland, and B. Weerdmeester, Eds. London, UK: Taylor &amp; Francis, 1996, pp. 189–194.</w:t>
      </w:r>
    </w:p>
    <w:p>
      <w:pPr>
        <w:keepLines/>
        <w:spacing w:after="50" w:line="250" w:lineRule="auto"/>
        <w:ind w:left="346" w:hanging="346"/>
        <w:jc w:val="both"/>
      </w:pPr>
      <w:r>
        <w:rPr>
          <w:rFonts w:ascii="Times New Roman" w:hAnsi="Times New Roman"/>
          <w:color w:val="000000"/>
          <w:sz w:val="17"/>
        </w:rPr>
        <w:t>[10] United Nations, "Transforming our world: the 2030 Agenda for Sustainable Development," UN General Assembly Resolution A/RES/70/1, Oct. 2015. [Online]. Available: https://sdgs.un.org/goals</w:t>
      </w:r>
    </w:p>
    <w:p>
      <w:pPr>
        <w:keepLines/>
        <w:spacing w:after="50" w:line="250" w:lineRule="auto"/>
        <w:ind w:left="346" w:hanging="346"/>
        <w:jc w:val="both"/>
      </w:pPr>
      <w:r>
        <w:rPr>
          <w:rFonts w:ascii="Times New Roman" w:hAnsi="Times New Roman"/>
          <w:color w:val="000000"/>
          <w:sz w:val="17"/>
        </w:rPr>
        <w:t>[11] Ministry of Law and Justice (Govt. of India), "The Digital Personal Data Protection Act, 2023," The Gazette of India, Act No. 22 of 2023, Aug. 2023.</w:t>
      </w:r>
    </w:p>
    <w:p>
      <w:pPr>
        <w:sectPr>
          <w:type w:val="continuous"/>
          <w:pgSz w:w="12240" w:h="15840"/>
          <w:pgMar w:top="1080" w:right="1008" w:bottom="1080" w:left="1008" w:header="720" w:footer="720" w:gutter="0"/>
          <w:cols w:space="360" w:num="2" w:equalWidth="1"/>
          <w:docGrid w:linePitch="360"/>
        </w:sectPr>
      </w:pPr>
    </w:p>
    <w:sectPr w:rsidR="00FC693F" w:rsidRPr="0006063C" w:rsidSect="00034616">
      <w:type w:val="continuous"/>
      <w:pgSz w:w="12240" w:h="15840"/>
      <w:pgMar w:top="1080" w:right="1008" w:bottom="1080" w:left="1008" w:header="720" w:footer="720" w:gutter="0"/>
      <w:cols w:space="36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