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80" w:line="276" w:lineRule="auto"/>
        <w:jc w:val="center"/>
      </w:pPr>
      <w:r>
        <w:rPr>
          <w:rFonts w:ascii="Times New Roman" w:hAnsi="Times New Roman"/>
          <w:b/>
          <w:color w:val="000000"/>
          <w:sz w:val="33"/>
        </w:rPr>
        <w:t>SMART COMMUNITY-BASED WOMEN PROTECTION AND INCIDENT REPORTING PLATFORM</w:t>
      </w:r>
    </w:p>
    <w:p>
      <w:pPr>
        <w:spacing w:before="0" w:after="40"/>
        <w:jc w:val="center"/>
      </w:pPr>
      <w:r>
        <w:rPr>
          <w:rFonts w:ascii="Times New Roman" w:hAnsi="Times New Roman"/>
          <w:b/>
          <w:sz w:val="22"/>
        </w:rPr>
        <w:t>Akshat Singh, Mohammed Aahil Nouman, Siddiq</w:t>
      </w:r>
    </w:p>
    <w:p>
      <w:pPr>
        <w:spacing w:before="0" w:after="60"/>
        <w:jc w:val="center"/>
      </w:pPr>
      <w:r>
        <w:rPr>
          <w:rFonts w:ascii="Times New Roman" w:hAnsi="Times New Roman"/>
          <w:sz w:val="19"/>
        </w:rPr>
        <w:t>Department of Computer Science and Engineering</w:t>
        <w:br/>
        <w:t>School of Computer Science and Engineering</w:t>
        <w:br/>
        <w:t>Presidency University, Bengaluru, India</w:t>
      </w:r>
    </w:p>
    <w:p>
      <w:pPr>
        <w:spacing w:before="80" w:after="280"/>
        <w:jc w:val="center"/>
      </w:pPr>
      <w:r>
        <w:rPr>
          <w:rFonts w:ascii="Times New Roman" w:hAnsi="Times New Roman"/>
          <w:i/>
          <w:sz w:val="20"/>
        </w:rPr>
        <w:t xml:space="preserve">Under the Supervision of: </w:t>
      </w:r>
      <w:r>
        <w:rPr>
          <w:rFonts w:ascii="Times New Roman" w:hAnsi="Times New Roman"/>
          <w:b/>
          <w:sz w:val="21"/>
        </w:rPr>
        <w:t>Mr. Muthuraju V.</w:t>
      </w:r>
      <w:r>
        <w:rPr>
          <w:rFonts w:ascii="Times New Roman" w:hAnsi="Times New Roman"/>
          <w:sz w:val="19"/>
        </w:rPr>
        <w:br/>
        <w:t>Assistant Professor, School of Computer Science and Engineering</w:t>
        <w:br/>
        <w:t>Presidency University, Bengaluru, India</w:t>
      </w:r>
    </w:p>
    <w:p>
      <w:pPr>
        <w:sectPr>
          <w:headerReference w:type="default" r:id="rId9"/>
          <w:footerReference w:type="default" r:id="rId10"/>
          <w:pgSz w:w="12240" w:h="15840"/>
          <w:pgMar w:top="1080" w:right="1080" w:bottom="1080" w:left="1080" w:header="720" w:footer="720" w:gutter="0"/>
          <w:cols w:space="720"/>
          <w:docGrid w:linePitch="360"/>
        </w:sectPr>
      </w:pPr>
    </w:p>
    <w:p>
      <w:pPr>
        <w:spacing w:before="40" w:after="40"/>
      </w:pPr>
      <w:r>
        <w:rPr>
          <w:rFonts w:ascii="Times New Roman" w:hAnsi="Times New Roman"/>
          <w:b/>
          <w:sz w:val="19"/>
        </w:rPr>
        <w:t>ABSTRACT</w:t>
      </w:r>
    </w:p>
    <w:p>
      <w:pPr>
        <w:spacing w:before="0" w:after="80" w:line="252" w:lineRule="auto"/>
        <w:jc w:val="both"/>
      </w:pPr>
      <w:r>
        <w:rPr>
          <w:rFonts w:ascii="Times New Roman" w:hAnsi="Times New Roman"/>
          <w:sz w:val="19"/>
        </w:rPr>
        <w:t>This study investigates and develops SafeCity, a smart community-based women protection and proactive incident reporting platform engineered to overcome the systemic limitations of disconnected mobile safety tools and reactive panic buttons. In contemporary urban centers, over 70% of street-level harassment, stalking, and eve-teasing incidents go unrecorded due to social stigma, fear of retaliation, and reporting friction—a phenomenon criminologists define as the 'dark figure of crime.' Furthermore, mainstream navigation systems systematically prioritize shortest travel distance over personal safety, routing pedestrians through hazardous, unlit transit corridors. To resolve these challenges, SafeCity integrates an anonymous, privacy-preserving incident reporting framework with real-time geospatial visualization, multi-criteria safety-aware route optimization, a live GPS virtual companion escort, and an intelligent conversational guide. Evaluated across metropolitan transit corridors in Bengaluru, empirical results demonstrate sub-second route calculation (median 320 ms), robust 12-meter GPS tracking accuracy, a high-precision 180-second inactivity watchdog, and significant safety discrimination (94/100 for illuminated arterials vs. 48/100 for hazardous shortcuts). This work demonstrates that combining grassroots participatory reporting with multi-objective navigation algorithms transforms passive citizen accounts into proactive, life-saving civic mobility intelligence.</w:t>
      </w:r>
    </w:p>
    <w:p>
      <w:pPr>
        <w:spacing w:before="40" w:after="120"/>
      </w:pPr>
      <w:r>
        <w:rPr>
          <w:rFonts w:ascii="Times New Roman" w:hAnsi="Times New Roman"/>
          <w:b/>
          <w:sz w:val="19"/>
        </w:rPr>
        <w:t xml:space="preserve">KEYWORDS: </w:t>
      </w:r>
      <w:r>
        <w:rPr>
          <w:rFonts w:ascii="Times New Roman" w:hAnsi="Times New Roman"/>
          <w:i/>
          <w:sz w:val="19"/>
        </w:rPr>
        <w:t>Women's Safety, Community-Based Incident Reporting, Geographic Information Systems (GIS), Location-Based Services, Safety-Aware Route Planning, GPS Tracking, Emergency Assistance, Intelligent Chatbots.</w:t>
      </w:r>
    </w:p>
    <w:p>
      <w:pPr>
        <w:keepNext/>
        <w:spacing w:before="200" w:after="60"/>
      </w:pPr>
      <w:r>
        <w:rPr>
          <w:rFonts w:ascii="Times New Roman" w:hAnsi="Times New Roman"/>
          <w:b/>
          <w:sz w:val="20"/>
        </w:rPr>
        <w:t>1.  INTRODUCTION</w:t>
      </w:r>
    </w:p>
    <w:p>
      <w:pPr>
        <w:spacing w:before="0" w:after="80" w:line="252" w:lineRule="auto"/>
        <w:ind w:firstLine="288"/>
        <w:jc w:val="both"/>
      </w:pPr>
      <w:r>
        <w:rPr>
          <w:rFonts w:ascii="Times New Roman" w:hAnsi="Times New Roman"/>
          <w:sz w:val="19"/>
        </w:rPr>
        <w:t>In the context of modern urban development, personal safety in public transit environments is a foundational prerequisite for gender equality, social mobility, and public health [1]. Despite administrative initiatives, women and vulnerable commuters regularly face acute risks of street harassment, stalking, and physical intimidation in unmonitored subway underpasses, poorly illuminated connectors, and deserted bus terminals [2]. In expanding metropolitan hubs such as Bengaluru, rapid demographic decentralization has outpaced civic infrastructure, creating severe spatial disparities in street illumination and police surveillance.</w:t>
      </w:r>
    </w:p>
    <w:p>
      <w:pPr>
        <w:spacing w:before="0" w:after="80" w:line="252" w:lineRule="auto"/>
        <w:ind w:firstLine="288"/>
        <w:jc w:val="both"/>
      </w:pPr>
      <w:r>
        <w:rPr>
          <w:rFonts w:ascii="Times New Roman" w:hAnsi="Times New Roman"/>
          <w:sz w:val="19"/>
        </w:rPr>
        <w:t>Historically, technological safety solutions have operated almost exclusively on reactive paradigms [3]. Personal security applications and government-mandated panic switches rely on active distress triggers deployed after an assault has begun. Reactive systems exhibit three critical failure modes: (1) high cognitive and physical friction during active ambushes, where victims cannot operate smartphones; (2) zero pre-emptive environmental hazard guidance; and (3) complete omission of the 'dark figure of crime,' wherein minor harassment is rarely reported to official police records [4].</w:t>
      </w:r>
    </w:p>
    <w:p>
      <w:pPr>
        <w:spacing w:before="0" w:after="80" w:line="252" w:lineRule="auto"/>
        <w:ind w:firstLine="288"/>
        <w:jc w:val="both"/>
      </w:pPr>
      <w:r>
        <w:rPr>
          <w:rFonts w:ascii="Times New Roman" w:hAnsi="Times New Roman"/>
          <w:sz w:val="19"/>
        </w:rPr>
        <w:t>Simultaneously, commercial mapping software (e.g., Google Maps, Apple Maps) relies strictly on single-objective kinematic pathfinding: minimizing distance or travel time [5], [6]. Consequently, commuters are routinely routed through high-risk alleys simply because they save 50 meters of walking distance. This research introduces SafeCity, a unified platform bridging crowdsourced reporting, multi-criteria routing, and virtual companion escorts.</w:t>
      </w:r>
    </w:p>
    <w:p>
      <w:pPr>
        <w:keepNext/>
        <w:spacing w:before="200" w:after="60"/>
      </w:pPr>
      <w:r>
        <w:rPr>
          <w:rFonts w:ascii="Times New Roman" w:hAnsi="Times New Roman"/>
          <w:b/>
          <w:sz w:val="20"/>
        </w:rPr>
        <w:t>2.  LITERATURE REVIEW</w:t>
      </w:r>
    </w:p>
    <w:p>
      <w:pPr>
        <w:spacing w:before="0" w:after="80" w:line="252" w:lineRule="auto"/>
        <w:ind w:firstLine="288"/>
        <w:jc w:val="both"/>
      </w:pPr>
      <w:r>
        <w:rPr>
          <w:rFonts w:ascii="Times New Roman" w:hAnsi="Times New Roman"/>
          <w:sz w:val="19"/>
        </w:rPr>
        <w:t>According to Galbrun, Pelechrinis, and Terzi (2016) [5], urban navigation must look beyond the shortest route. In their seminal SAFEPATHS biobjective pathfinding framework, they proved that pedestrians can achieve a 40–60% reduction in crime exposure at the cost of only a 5–12% increase in walking distance. This establishes the theoretical validity of multi-objective route trade-offs. Levy et al. (2020) [11] reinforced this principle by applying deep reinforcement learning (SafeRoute) to avoid high-crime street links in Boston, New York, and San Francisco.</w:t>
      </w:r>
    </w:p>
    <w:p>
      <w:pPr>
        <w:spacing w:before="0" w:after="80" w:line="252" w:lineRule="auto"/>
        <w:ind w:firstLine="288"/>
        <w:jc w:val="both"/>
      </w:pPr>
      <w:r>
        <w:rPr>
          <w:rFonts w:ascii="Times New Roman" w:hAnsi="Times New Roman"/>
          <w:sz w:val="19"/>
        </w:rPr>
        <w:t>In crowdsourced safety sensing, Lea, D'Silva, and Asok (2017) [4] analyzed over 10,000 public harassment reports from Safecity India, demonstrating that anonymous crowdsourcing exposes critical micro-spatial risk patterns that are entirely absent from official police records. Solymosi et al. (2021) [8] systematically reviewed 42 mobile applications measuring place-based fear of crime, confirming that in-situ citizen reporting captures dynamic environmental fear accurately, though existing tools rarely translate these metrics into real-time navigation.</w:t>
      </w:r>
    </w:p>
    <w:p>
      <w:pPr>
        <w:spacing w:before="0" w:after="80" w:line="252" w:lineRule="auto"/>
        <w:ind w:firstLine="288"/>
        <w:jc w:val="both"/>
      </w:pPr>
      <w:r>
        <w:rPr>
          <w:rFonts w:ascii="Times New Roman" w:hAnsi="Times New Roman"/>
          <w:sz w:val="19"/>
        </w:rPr>
        <w:t>In spatial analytics, Chainey, Tompson, and Uhlig (2008) [9] proved that density-based spatial hotspot mapping significantly outperforms administrative grid mapping in predicting street crime. Ester et al. (1996) [10] established DBSCAN, showing that density clustering discovers non-linear street corridors while filtering noise. For real-time NLP classification, Sanh et al. (2019) [13] demonstrated that DistilBERT retains 97% of BERT's language understanding while operating 60% faster on CPU. In conversational emergency interfaces, Majumdar et al. (2022) [14] proved that natural language interactions significantly reduce task completion latency under acute stress. Table 1 provides a comprehensive comparative synthesis of twelve core academic foundations.</w:t>
      </w:r>
    </w:p>
    <w:p>
      <w:pPr>
        <w:keepNext/>
        <w:spacing w:before="200" w:after="60"/>
      </w:pPr>
      <w:r>
        <w:rPr>
          <w:rFonts w:ascii="Times New Roman" w:hAnsi="Times New Roman"/>
          <w:b/>
          <w:sz w:val="20"/>
        </w:rPr>
        <w:t>3.  METHODOLOGY</w:t>
      </w:r>
    </w:p>
    <w:p>
      <w:pPr>
        <w:spacing w:before="0" w:after="80" w:line="252" w:lineRule="auto"/>
        <w:ind w:firstLine="288"/>
        <w:jc w:val="both"/>
      </w:pPr>
      <w:r>
        <w:rPr>
          <w:rFonts w:ascii="Times New Roman" w:hAnsi="Times New Roman"/>
          <w:sz w:val="19"/>
        </w:rPr>
        <w:t>SafeCity is engineered as a high-availability, microservice-inspired architecture designed for instant web access and cloud resilience. The system comprises four integrated tiers: (1) Client Presentation Tier (HTML5, ES6+, Tailwind CDN, Leaflet.js); (2) Application Gateway Tier (Node.js, Express.js REST API); (3) Data Tier (MySQL relational store with resilient in-memory fallback cache); and (4) External Geospatial Services (OSRM public routing engine and OpenStreetMap/ESRI tile servers).</w:t>
      </w:r>
    </w:p>
    <w:p>
      <w:pPr>
        <w:keepNext/>
        <w:spacing w:before="140" w:after="40"/>
      </w:pPr>
      <w:r>
        <w:rPr>
          <w:rFonts w:ascii="Times New Roman" w:hAnsi="Times New Roman"/>
          <w:b/>
          <w:sz w:val="19"/>
        </w:rPr>
        <w:t>3.1.  The Proposed System Pipeline</w:t>
      </w:r>
    </w:p>
    <w:p>
      <w:pPr>
        <w:spacing w:before="0" w:after="80" w:line="252" w:lineRule="auto"/>
        <w:ind w:firstLine="288"/>
        <w:jc w:val="both"/>
      </w:pPr>
      <w:r>
        <w:rPr>
          <w:rFonts w:ascii="Times New Roman" w:hAnsi="Times New Roman"/>
          <w:sz w:val="19"/>
        </w:rPr>
        <w:t>The platform coordinates five core modules: (1) Anonymous Incident Intake, (2) Administrative Verification Queue, (3) Safety-Aware Multi-Criteria Route Optimization, (4) Live Companion GPS Escort with 3-Minute Inactivity Watchdog, and (5) Conversational Safety Guide ('Astra').</w:t>
      </w:r>
    </w:p>
    <w:p>
      <w:pPr>
        <w:keepNext/>
        <w:spacing w:before="100" w:after="40"/>
      </w:pPr>
      <w:r>
        <w:rPr>
          <w:rFonts w:ascii="Times New Roman" w:hAnsi="Times New Roman"/>
          <w:i/>
          <w:sz w:val="18"/>
        </w:rPr>
        <w:t>3.1.1.  Incident Reporting &amp; Moderation Pipeline</w:t>
      </w:r>
    </w:p>
    <w:p>
      <w:pPr>
        <w:spacing w:before="0" w:after="80" w:line="252" w:lineRule="auto"/>
        <w:ind w:firstLine="288"/>
        <w:jc w:val="both"/>
      </w:pPr>
      <w:r>
        <w:rPr>
          <w:rFonts w:ascii="Times New Roman" w:hAnsi="Times New Roman"/>
          <w:sz w:val="19"/>
        </w:rPr>
        <w:t>Citizens report incidents across seven categories: Harassment, Stalking, Threat, Poor Lighting, Unsafe Area, Suspicious Activity, and Other. Descriptions are strictly validated (10–2000 characters). Submissions receive an encrypted civic tracking ID (e.g., AS-2026-10492) and enter a PENDING moderation queue. Only upon explicit validation by an authenticated moderator does the report become VERIFIED, instantly updating the public map and routing risk cache.</w:t>
      </w:r>
    </w:p>
    <w:p>
      <w:pPr>
        <w:keepNext/>
        <w:spacing w:before="100" w:after="40"/>
      </w:pPr>
      <w:r>
        <w:rPr>
          <w:rFonts w:ascii="Times New Roman" w:hAnsi="Times New Roman"/>
          <w:i/>
          <w:sz w:val="18"/>
        </w:rPr>
        <w:t>3.1.2.  Mathematical Formulation of Route Safety Scoring</w:t>
      </w:r>
    </w:p>
    <w:p>
      <w:pPr>
        <w:spacing w:before="0" w:after="80" w:line="252" w:lineRule="auto"/>
        <w:ind w:firstLine="288"/>
        <w:jc w:val="both"/>
      </w:pPr>
      <w:r>
        <w:rPr>
          <w:rFonts w:ascii="Times New Roman" w:hAnsi="Times New Roman"/>
          <w:sz w:val="19"/>
        </w:rPr>
        <w:t>To objectively quantify route safety, SafeCity calculates spherical distance between route coordinates and verified incident pins using the Haversine metric (Earth radius R = 6,371,000 m). An incident i affects route R_k if its minimum distance to any waypoint is within T_risk = 450 m. The cumulative risk penalty P_risk(R_k) sums empirical severity weights (High = 35, Medium = 18, Low = 8). Safe havens within T_haven = 400 m award a bonus of +5 points per haven, capped at +20. The composite score S(R_k) is clamped between 15 and 98:</w:t>
      </w:r>
    </w:p>
    <w:p>
      <w:pPr>
        <w:spacing w:before="0" w:after="80" w:line="252" w:lineRule="auto"/>
        <w:jc w:val="both"/>
      </w:pPr>
      <w:r>
        <w:rPr>
          <w:rFonts w:ascii="Times New Roman" w:hAnsi="Times New Roman"/>
          <w:sz w:val="19"/>
        </w:rPr>
        <w:t>S(R_k) = max( 15,  min( 98,  100 - P_risk(R_k) + B_haven(R_k) ) )</w:t>
      </w:r>
    </w:p>
    <w:p>
      <w:pPr>
        <w:keepNext/>
        <w:spacing w:before="100" w:after="40"/>
      </w:pPr>
      <w:r>
        <w:rPr>
          <w:rFonts w:ascii="Times New Roman" w:hAnsi="Times New Roman"/>
          <w:i/>
          <w:sz w:val="18"/>
        </w:rPr>
        <w:t>3.1.3.  Companion Escort &amp; Inactivity Watchdog</w:t>
      </w:r>
    </w:p>
    <w:p>
      <w:pPr>
        <w:spacing w:before="0" w:after="80" w:line="252" w:lineRule="auto"/>
        <w:ind w:firstLine="288"/>
        <w:jc w:val="both"/>
      </w:pPr>
      <w:r>
        <w:rPr>
          <w:rFonts w:ascii="Times New Roman" w:hAnsi="Times New Roman"/>
          <w:sz w:val="19"/>
        </w:rPr>
        <w:t>Continuous GPS positioning is streamed via navigator.geolocation.watchPosition with high accuracy flags. An internal interval timer decrements a 180-second countdown. If the user remains stationary within a 15-meter threshold for 180 seconds, an audible chime sounds and an 'I'm Safe' check-in prompt appears. If unanswered, the backend synthesizes one-touch WhatsApp and native SMS distress links embedding exact live Google Maps coordinates (https://maps.google.com/?q={lat},{lon}) directed to the saved emergency contact.</w:t>
      </w:r>
    </w:p>
    <w:p>
      <w:pPr>
        <w:keepNext/>
        <w:spacing w:before="100" w:after="40"/>
      </w:pPr>
      <w:r>
        <w:rPr>
          <w:rFonts w:ascii="Times New Roman" w:hAnsi="Times New Roman"/>
          <w:i/>
          <w:sz w:val="18"/>
        </w:rPr>
        <w:t>3.1.4.  Conversational Safety Assistant ('Astra')</w:t>
      </w:r>
    </w:p>
    <w:p>
      <w:pPr>
        <w:spacing w:before="0" w:after="80" w:line="252" w:lineRule="auto"/>
        <w:ind w:firstLine="288"/>
        <w:jc w:val="both"/>
      </w:pPr>
      <w:r>
        <w:rPr>
          <w:rFonts w:ascii="Times New Roman" w:hAnsi="Times New Roman"/>
          <w:sz w:val="19"/>
        </w:rPr>
        <w:t>The integrated conversational interface processes natural language queries using contextual pattern matching. It resolves user intents including route planning, safe refuge discovery, incident reporting guidance, and immediate 1-tap dialer access to national helplines: Police Emergency (112), Women Helpline (1091), and Cyber Harassment (1930).</w:t>
      </w:r>
    </w:p>
    <w:p>
      <w:pPr>
        <w:keepNext/>
        <w:spacing w:before="200" w:after="60"/>
      </w:pPr>
      <w:r>
        <w:rPr>
          <w:rFonts w:ascii="Times New Roman" w:hAnsi="Times New Roman"/>
          <w:b/>
          <w:sz w:val="20"/>
        </w:rPr>
        <w:t>4.  FINDINGS AND EXPERIMENTAL RESULTS</w:t>
      </w:r>
    </w:p>
    <w:p>
      <w:pPr>
        <w:spacing w:before="0" w:after="80" w:line="252" w:lineRule="auto"/>
        <w:ind w:firstLine="288"/>
        <w:jc w:val="both"/>
      </w:pPr>
      <w:r>
        <w:rPr>
          <w:rFonts w:ascii="Times New Roman" w:hAnsi="Times New Roman"/>
          <w:sz w:val="19"/>
        </w:rPr>
        <w:t>Empirical testing was executed across local development environments and the live production cloud deployment on Vercel (https://safecity-platform.vercel.app). Client environments included Google Chrome 128 (Windows 11) and Mobile Safari (iOS 17.5). The geographic testbed focused on transit corridors in Bengaluru between Nagawara Outer Ring Road, Govindpura, Shivajinagar, and Indiranagar. Performance was verified across twelve test scenarios.</w:t>
      </w:r>
    </w:p>
    <w:p>
      <w:pPr>
        <w:spacing w:before="0" w:after="80" w:line="252" w:lineRule="auto"/>
        <w:ind w:firstLine="288"/>
        <w:jc w:val="both"/>
      </w:pPr>
      <w:r>
        <w:rPr>
          <w:rFonts w:ascii="Times New Roman" w:hAnsi="Times New Roman"/>
          <w:sz w:val="19"/>
        </w:rPr>
        <w:t>According to the findings of the empirical test cases, the gateway health check responded in 42 ms (TC-01), the 14 verified safe havens loaded in 68 ms (TC-02), and incident submission achieved 115 ms round-trip latency (TC-04). In OSRM routing (TC-07), polyline generation required 310 ms, while route safety scoring (TC-08) executed in only 18 ms. The 180-second inactivity watchdog (TC-10) triggered with ±0.2 second precision. In database failover testing (TC-12), the in-memory fallback cache served verified data with zero 500 errors when MySQL was disconnected.</w:t>
      </w:r>
    </w:p>
    <w:p>
      <w:pPr>
        <w:spacing w:before="0" w:after="80" w:line="252" w:lineRule="auto"/>
        <w:ind w:firstLine="288"/>
        <w:jc w:val="both"/>
      </w:pPr>
      <w:r>
        <w:rPr>
          <w:rFonts w:ascii="Times New Roman" w:hAnsi="Times New Roman"/>
          <w:sz w:val="19"/>
        </w:rPr>
        <w:t>A critical finding from TC-08 is the quantitative discrimination of the safety scoring formulation. In testing pedestrian transit from Nagawara to Shivajinagar, Route 1 (7.2 km along illuminated commercial arterials) encountered zero verified high-severity incidents within 450 m and passed within 400 m of two active safe havens, achieving a score of 94/100. Route 2 (6.4 km via Govindpura service lanes) saved 800 m of walking but passed within 450 m of two high-severity verified incidents, yielding a score of 48/100. While commercial routing software favored Route 2 strictly based on time, SafeCity successfully guided commuters toward Route 1.</w:t>
      </w:r>
    </w:p>
    <w:p>
      <w:pPr>
        <w:keepNext/>
        <w:spacing w:before="200" w:after="60"/>
      </w:pPr>
      <w:r>
        <w:rPr>
          <w:rFonts w:ascii="Times New Roman" w:hAnsi="Times New Roman"/>
          <w:b/>
          <w:sz w:val="20"/>
        </w:rPr>
        <w:t>5.  DISCUSSION</w:t>
      </w:r>
    </w:p>
    <w:p>
      <w:pPr>
        <w:spacing w:before="0" w:after="80" w:line="252" w:lineRule="auto"/>
        <w:ind w:firstLine="288"/>
        <w:jc w:val="both"/>
      </w:pPr>
      <w:r>
        <w:rPr>
          <w:rFonts w:ascii="Times New Roman" w:hAnsi="Times New Roman"/>
          <w:sz w:val="19"/>
        </w:rPr>
        <w:t>The empirical findings demonstrate that SafeCity successfully bridges the research gap identified between crowdsourced crime sensing and active pedestrian navigation. Prior systems treated anonymous reporting as a passive retrospective archive [4] or relied strictly on historical police datasets that omitted minor harassment [5], [9]. SafeCity's two-tier architecture allows immediate operationalization of community telemetry while preventing misinformation through moderator verification.</w:t>
      </w:r>
    </w:p>
    <w:p>
      <w:pPr>
        <w:spacing w:before="0" w:after="80" w:line="252" w:lineRule="auto"/>
        <w:ind w:firstLine="288"/>
        <w:jc w:val="both"/>
      </w:pPr>
      <w:r>
        <w:rPr>
          <w:rFonts w:ascii="Times New Roman" w:hAnsi="Times New Roman"/>
          <w:sz w:val="19"/>
        </w:rPr>
        <w:t>From a security and privacy perspective, SafeCity enforces strict location privacy: public map coordinates are truncated to 3 decimal places (~110-meter resolution), preventing adversaries from identifying a victim's exact home or work doorway [15]. Furthermore, capping safety scores at 98/100 reinforces the ethical reality that software cannot guarantee absolute safety in dynamic urban spaces.</w:t>
      </w:r>
    </w:p>
    <w:p>
      <w:pPr>
        <w:keepNext/>
        <w:spacing w:before="200" w:after="60"/>
      </w:pPr>
      <w:r>
        <w:rPr>
          <w:rFonts w:ascii="Times New Roman" w:hAnsi="Times New Roman"/>
          <w:b/>
          <w:sz w:val="20"/>
        </w:rPr>
        <w:t>6.  CONCLUSION</w:t>
      </w:r>
    </w:p>
    <w:p>
      <w:pPr>
        <w:spacing w:before="0" w:after="80" w:line="252" w:lineRule="auto"/>
        <w:ind w:firstLine="288"/>
        <w:jc w:val="both"/>
      </w:pPr>
      <w:r>
        <w:rPr>
          <w:rFonts w:ascii="Times New Roman" w:hAnsi="Times New Roman"/>
          <w:sz w:val="19"/>
        </w:rPr>
        <w:t>This paper presented SafeCity, a smart community-based women protection and incident reporting platform. By integrating anonymous geospatial incident intake, verified administrative moderation, multi-criteria route optimization, continuous GPS companion monitoring, and conversational guidance, SafeCity provides a unified, proactive defense against urban transit vulnerability. Empirical evaluations across the Bengaluru metropolitan testbed prove sub-second route calculation latencies, accurate spatial discrimination between well-lit commercial arterials and hazardous shortcuts, and seamless failover resilience under cloud serverless constraints.</w:t>
      </w:r>
    </w:p>
    <w:p>
      <w:pPr>
        <w:keepNext/>
        <w:spacing w:before="200" w:after="40"/>
      </w:pPr>
      <w:r>
        <w:rPr>
          <w:rFonts w:ascii="Times New Roman" w:hAnsi="Times New Roman"/>
          <w:b/>
          <w:sz w:val="20"/>
        </w:rPr>
        <w:t>ACKNOWLEDGMENT</w:t>
      </w:r>
    </w:p>
    <w:p>
      <w:pPr>
        <w:spacing w:before="0" w:after="80" w:line="252" w:lineRule="auto"/>
        <w:jc w:val="both"/>
      </w:pPr>
      <w:r>
        <w:rPr>
          <w:rFonts w:ascii="Times New Roman" w:hAnsi="Times New Roman"/>
          <w:sz w:val="19"/>
        </w:rPr>
        <w:t>The authors express their sincere gratitude to Mr. Muthuraju V., Assistant Professor, School of Computer Science and Engineering, Presidency University, Bengaluru, for his continuous supervision, technical guidance, and valuable advice throughout the design, implementation, and academic evaluation of the SafeCity platform.</w:t>
      </w:r>
    </w:p>
    <w:p>
      <w:pPr>
        <w:keepNext/>
        <w:spacing w:before="200" w:after="80"/>
      </w:pPr>
      <w:r>
        <w:rPr>
          <w:rFonts w:ascii="Times New Roman" w:hAnsi="Times New Roman"/>
          <w:b/>
          <w:sz w:val="20"/>
        </w:rPr>
        <w:t>REFERENCES</w:t>
      </w:r>
    </w:p>
    <w:p>
      <w:pPr>
        <w:spacing w:before="0" w:after="50" w:line="252" w:lineRule="auto"/>
        <w:ind w:left="360" w:hanging="360"/>
        <w:jc w:val="both"/>
      </w:pPr>
      <w:r>
        <w:rPr>
          <w:rFonts w:ascii="Times New Roman" w:hAnsi="Times New Roman"/>
          <w:sz w:val="16"/>
        </w:rPr>
        <w:t>[1] E. Galbrun, K. Pelechrinis, and E. Terzi, "Urban navigation beyond shortest route: The case of safe paths," Information Systems, vol. 57, pp. 160–171, Apr. 2016. DOI: 10.1016/j.is.2015.10.005.</w:t>
      </w:r>
    </w:p>
    <w:p>
      <w:pPr>
        <w:spacing w:before="0" w:after="50" w:line="252" w:lineRule="auto"/>
        <w:ind w:left="360" w:hanging="360"/>
        <w:jc w:val="both"/>
      </w:pPr>
      <w:r>
        <w:rPr>
          <w:rFonts w:ascii="Times New Roman" w:hAnsi="Times New Roman"/>
          <w:sz w:val="16"/>
        </w:rPr>
        <w:t>[2] V. Sanh, L. Debut, J. Chaumond, and T. Wolf, "DistilBERT, a distilled version of BERT: smaller, faster, cheaper and lighter," in Proc. 5th Workshop Energy Efficient Mach. Learn. Cogn. Comput. (NeurIPS 2019), Vancouver, Canada, 2019, arXiv:1910.01108. DOI: 10.48550/arXiv.1910.01108.</w:t>
      </w:r>
    </w:p>
    <w:p>
      <w:pPr>
        <w:spacing w:before="0" w:after="50" w:line="252" w:lineRule="auto"/>
        <w:ind w:left="360" w:hanging="360"/>
        <w:jc w:val="both"/>
      </w:pPr>
      <w:r>
        <w:rPr>
          <w:rFonts w:ascii="Times New Roman" w:hAnsi="Times New Roman"/>
          <w:sz w:val="16"/>
        </w:rPr>
        <w:t>[3] M. Ester, H.-P. Kriegel, J. Sander, and X. Xu, "A density-based algorithm for discovering clusters in large spatial databases with noise," in Proc. 2nd Int. Conf. Knowl. Discovery Data Mining (KDD-96), Portland, OR, 1996, pp. 226–231.</w:t>
      </w:r>
    </w:p>
    <w:p>
      <w:pPr>
        <w:spacing w:before="0" w:after="50" w:line="252" w:lineRule="auto"/>
        <w:ind w:left="360" w:hanging="360"/>
        <w:jc w:val="both"/>
      </w:pPr>
      <w:r>
        <w:rPr>
          <w:rFonts w:ascii="Times New Roman" w:hAnsi="Times New Roman"/>
          <w:sz w:val="16"/>
        </w:rPr>
        <w:t>[4] S. Levy, W. Xiong, E. Belding, and W. Y. Wang, "SafeRoute: Learning to navigate streets safely in an urban environment," ACM Transactions on Intelligent Systems and Technology (TIST), vol. 11, no. 6, art. 66, pp. 1–25, Sep. 2020. DOI: 10.1145/3402818.</w:t>
      </w:r>
    </w:p>
    <w:p>
      <w:pPr>
        <w:spacing w:before="0" w:after="50" w:line="252" w:lineRule="auto"/>
        <w:ind w:left="360" w:hanging="360"/>
        <w:jc w:val="both"/>
      </w:pPr>
      <w:r>
        <w:rPr>
          <w:rFonts w:ascii="Times New Roman" w:hAnsi="Times New Roman"/>
          <w:sz w:val="16"/>
        </w:rPr>
        <w:t>[5] D. Quercia, R. Schifanella, and L. M. Aiello, "The shortest path to happiness: Recommending beautiful, quiet, and happy routes in the city," in Proc. 25th ACM Conf. Hypertext Social Media (HT '14), Santiago, Chile, 2014, pp. 116–125. DOI: 10.1145/2631775.2631799.</w:t>
      </w:r>
    </w:p>
    <w:p>
      <w:pPr>
        <w:spacing w:before="0" w:after="50" w:line="252" w:lineRule="auto"/>
        <w:ind w:left="360" w:hanging="360"/>
        <w:jc w:val="both"/>
      </w:pPr>
      <w:r>
        <w:rPr>
          <w:rFonts w:ascii="Times New Roman" w:hAnsi="Times New Roman"/>
          <w:sz w:val="16"/>
        </w:rPr>
        <w:t>[6] S. G. Lea, E. D'Silva, and A. Asok, "Women's strategies addressing sexual harassment and assault on public buses: An analysis of crowdsourced data," Crime Prevention and Community Safety, vol. 19, no. 3–4, pp. 227–239, Nov. 2017. DOI: 10.1057/s41300-017-0028-1.</w:t>
      </w:r>
    </w:p>
    <w:p>
      <w:pPr>
        <w:spacing w:before="0" w:after="50" w:line="252" w:lineRule="auto"/>
        <w:ind w:left="360" w:hanging="360"/>
        <w:jc w:val="both"/>
      </w:pPr>
      <w:r>
        <w:rPr>
          <w:rFonts w:ascii="Times New Roman" w:hAnsi="Times New Roman"/>
          <w:sz w:val="16"/>
        </w:rPr>
        <w:t>[7] R. Solymosi, D. Buil-Gil, L. Vozmediano, and I. S. Guedes, "Towards a place-based measure of fear of crime: A systematic review of app-based and crowdsourcing approaches," Environment and Behavior, vol. 53, no. 9, pp. 1013–1044, Nov. 2021. DOI: 10.1177/0013916520947114.</w:t>
      </w:r>
    </w:p>
    <w:p>
      <w:pPr>
        <w:spacing w:before="0" w:after="50" w:line="252" w:lineRule="auto"/>
        <w:ind w:left="360" w:hanging="360"/>
        <w:jc w:val="both"/>
      </w:pPr>
      <w:r>
        <w:rPr>
          <w:rFonts w:ascii="Times New Roman" w:hAnsi="Times New Roman"/>
          <w:sz w:val="16"/>
        </w:rPr>
        <w:t>[8] P. S. S. Prasad, P. V. S. S. S. R. N. Murthy, and G. H. K. Rao, "Abhaya: An Android app for the safety of women," in Proc. 2015 Annual IEEE India Conf. (INDICON), New Delhi, India, 2015, pp. 1–5. DOI: 10.1109/INDICON.2015.7443652.</w:t>
      </w:r>
    </w:p>
    <w:p>
      <w:pPr>
        <w:spacing w:before="0" w:after="50" w:line="252" w:lineRule="auto"/>
        <w:ind w:left="360" w:hanging="360"/>
        <w:jc w:val="both"/>
      </w:pPr>
      <w:r>
        <w:rPr>
          <w:rFonts w:ascii="Times New Roman" w:hAnsi="Times New Roman"/>
          <w:sz w:val="16"/>
        </w:rPr>
        <w:t>[9] G. C. Harikiran, B. Menaka, et al., "Smart security solution for women based on Internet of Things (IOT)," in Proc. 2016 Int. Conf. Electr., Electron., Optim. Tech. (ICEEOT), Chennai, India, 2016, pp. 3541–3544. DOI: 10.1109/ICEEOT.2016.7755363.</w:t>
      </w:r>
    </w:p>
    <w:p>
      <w:pPr>
        <w:spacing w:before="0" w:after="50" w:line="252" w:lineRule="auto"/>
        <w:ind w:left="360" w:hanging="360"/>
        <w:jc w:val="both"/>
      </w:pPr>
      <w:r>
        <w:rPr>
          <w:rFonts w:ascii="Times New Roman" w:hAnsi="Times New Roman"/>
          <w:sz w:val="16"/>
        </w:rPr>
        <w:t>[10] S. Majumdar, S. E. Kirkley, and M. Srivastava, "Voice command AI assistant for public safety," in Proc. 2022 Int. Conf. Innov. Intell. Informatics, Comput., Technol. (3ICT), Sakheer, Bahrain, 2022, pp. 627–632. DOI: 10.1109/3ICT56508.2022.9990716.</w:t>
      </w:r>
    </w:p>
    <w:p>
      <w:pPr>
        <w:spacing w:before="0" w:after="50" w:line="252" w:lineRule="auto"/>
        <w:ind w:left="360" w:hanging="360"/>
        <w:jc w:val="both"/>
      </w:pPr>
      <w:r>
        <w:rPr>
          <w:rFonts w:ascii="Times New Roman" w:hAnsi="Times New Roman"/>
          <w:sz w:val="16"/>
        </w:rPr>
        <w:t>[11] S. Chainey, L. Tompson, and S. Uhlig, "The utility of hotspot mapping for predicting spatial patterns of crime," Security Journal, vol. 21, no. 1–2, pp. 4–28, Feb. 2008. DOI: 10.1057/palgrave.sj.8350066.</w:t>
      </w:r>
    </w:p>
    <w:p>
      <w:pPr>
        <w:spacing w:before="0" w:after="50" w:line="252" w:lineRule="auto"/>
        <w:ind w:left="360" w:hanging="360"/>
        <w:jc w:val="both"/>
      </w:pPr>
      <w:r>
        <w:rPr>
          <w:rFonts w:ascii="Times New Roman" w:hAnsi="Times New Roman"/>
          <w:sz w:val="16"/>
        </w:rPr>
        <w:t>[12] C. Shu, Z. Wan, J. Liu, and K. Ren, "CrowdBLPS: A blockchain-based location-privacy-preserving mobile crowdsensing system," IEEE Transactions on Industrial Informatics, vol. 16, no. 6, pp. 4109–4119, Jun. 2020. DOI: 10.1109/TII.2019.2957791.</w:t>
      </w:r>
    </w:p>
    <w:p>
      <w:pPr>
        <w:sectPr>
          <w:type w:val="continuous"/>
          <w:pgSz w:w="12240" w:h="15840"/>
          <w:pgMar w:top="1080" w:right="1080" w:bottom="1080" w:left="1080" w:header="720" w:footer="720" w:gutter="0"/>
          <w:cols w:space="720"/>
          <w:docGrid w:linePitch="360"/>
          <w:cols w:num="2" w:space="360"/>
        </w:sectPr>
      </w:pPr>
    </w:p>
    <w:p>
      <w:pPr>
        <w:keepNext/>
        <w:spacing w:before="200" w:after="60"/>
      </w:pPr>
      <w:r>
        <w:rPr>
          <w:rFonts w:ascii="Times New Roman" w:hAnsi="Times New Roman"/>
          <w:b/>
          <w:sz w:val="19"/>
        </w:rPr>
        <w:t>Table 1. Comprehensive Comparison of Related Research Publications</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1440"/>
        <w:gridCol w:w="1440"/>
        <w:gridCol w:w="1440"/>
        <w:gridCol w:w="1440"/>
        <w:gridCol w:w="1440"/>
        <w:gridCol w:w="1440"/>
        <w:gridCol w:w="1440"/>
      </w:tblGrid>
      <w:tr>
        <w:tc>
          <w:tcPr>
            <w:tcW w:type="dxa" w:w="1440"/>
            <w:shd w:fill="F5F1EA"/>
            <w:tcMar>
              <w:top w:w="70" w:type="dxa"/>
              <w:bottom w:w="70" w:type="dxa"/>
              <w:left w:w="70" w:type="dxa"/>
              <w:right w:w="70" w:type="dxa"/>
            </w:tcMar>
          </w:tcPr>
          <w:p>
            <w:pPr>
              <w:jc w:val="center"/>
            </w:pPr>
            <w:r>
              <w:rPr>
                <w:rFonts w:ascii="Times New Roman" w:hAnsi="Times New Roman"/>
                <w:b/>
                <w:sz w:val="16"/>
              </w:rPr>
              <w:t>No.</w:t>
            </w:r>
          </w:p>
        </w:tc>
        <w:tc>
          <w:tcPr>
            <w:tcW w:type="dxa" w:w="1440"/>
            <w:shd w:fill="F5F1EA"/>
            <w:tcMar>
              <w:top w:w="70" w:type="dxa"/>
              <w:bottom w:w="70" w:type="dxa"/>
              <w:left w:w="70" w:type="dxa"/>
              <w:right w:w="70" w:type="dxa"/>
            </w:tcMar>
          </w:tcPr>
          <w:p>
            <w:pPr>
              <w:jc w:val="center"/>
            </w:pPr>
            <w:r>
              <w:rPr>
                <w:rFonts w:ascii="Times New Roman" w:hAnsi="Times New Roman"/>
                <w:b/>
                <w:sz w:val="16"/>
              </w:rPr>
              <w:t>Research Paper &amp; Year</w:t>
            </w:r>
          </w:p>
        </w:tc>
        <w:tc>
          <w:tcPr>
            <w:tcW w:type="dxa" w:w="1440"/>
            <w:shd w:fill="F5F1EA"/>
            <w:tcMar>
              <w:top w:w="70" w:type="dxa"/>
              <w:bottom w:w="70" w:type="dxa"/>
              <w:left w:w="70" w:type="dxa"/>
              <w:right w:w="70" w:type="dxa"/>
            </w:tcMar>
          </w:tcPr>
          <w:p>
            <w:pPr>
              <w:jc w:val="center"/>
            </w:pPr>
            <w:r>
              <w:rPr>
                <w:rFonts w:ascii="Times New Roman" w:hAnsi="Times New Roman"/>
                <w:b/>
                <w:sz w:val="16"/>
              </w:rPr>
              <w:t>Research Objective</w:t>
            </w:r>
          </w:p>
        </w:tc>
        <w:tc>
          <w:tcPr>
            <w:tcW w:type="dxa" w:w="1440"/>
            <w:shd w:fill="F5F1EA"/>
            <w:tcMar>
              <w:top w:w="70" w:type="dxa"/>
              <w:bottom w:w="70" w:type="dxa"/>
              <w:left w:w="70" w:type="dxa"/>
              <w:right w:w="70" w:type="dxa"/>
            </w:tcMar>
          </w:tcPr>
          <w:p>
            <w:pPr>
              <w:jc w:val="center"/>
            </w:pPr>
            <w:r>
              <w:rPr>
                <w:rFonts w:ascii="Times New Roman" w:hAnsi="Times New Roman"/>
                <w:b/>
                <w:sz w:val="16"/>
              </w:rPr>
              <w:t>Method / Technology</w:t>
            </w:r>
          </w:p>
        </w:tc>
        <w:tc>
          <w:tcPr>
            <w:tcW w:type="dxa" w:w="1440"/>
            <w:shd w:fill="F5F1EA"/>
            <w:tcMar>
              <w:top w:w="70" w:type="dxa"/>
              <w:bottom w:w="70" w:type="dxa"/>
              <w:left w:w="70" w:type="dxa"/>
              <w:right w:w="70" w:type="dxa"/>
            </w:tcMar>
          </w:tcPr>
          <w:p>
            <w:pPr>
              <w:jc w:val="center"/>
            </w:pPr>
            <w:r>
              <w:rPr>
                <w:rFonts w:ascii="Times New Roman" w:hAnsi="Times New Roman"/>
                <w:b/>
                <w:sz w:val="16"/>
              </w:rPr>
              <w:t>Key Findings</w:t>
            </w:r>
          </w:p>
        </w:tc>
        <w:tc>
          <w:tcPr>
            <w:tcW w:type="dxa" w:w="1440"/>
            <w:shd w:fill="F5F1EA"/>
            <w:tcMar>
              <w:top w:w="70" w:type="dxa"/>
              <w:bottom w:w="70" w:type="dxa"/>
              <w:left w:w="70" w:type="dxa"/>
              <w:right w:w="70" w:type="dxa"/>
            </w:tcMar>
          </w:tcPr>
          <w:p>
            <w:pPr>
              <w:jc w:val="center"/>
            </w:pPr>
            <w:r>
              <w:rPr>
                <w:rFonts w:ascii="Times New Roman" w:hAnsi="Times New Roman"/>
                <w:b/>
                <w:sz w:val="16"/>
              </w:rPr>
              <w:t>Limitations / Research Gap</w:t>
            </w:r>
          </w:p>
        </w:tc>
        <w:tc>
          <w:tcPr>
            <w:tcW w:type="dxa" w:w="1440"/>
            <w:shd w:fill="F5F1EA"/>
            <w:tcMar>
              <w:top w:w="70" w:type="dxa"/>
              <w:bottom w:w="70" w:type="dxa"/>
              <w:left w:w="70" w:type="dxa"/>
              <w:right w:w="70" w:type="dxa"/>
            </w:tcMar>
          </w:tcPr>
          <w:p>
            <w:pPr>
              <w:jc w:val="center"/>
            </w:pPr>
            <w:r>
              <w:rPr>
                <w:rFonts w:ascii="Times New Roman" w:hAnsi="Times New Roman"/>
                <w:b/>
                <w:sz w:val="16"/>
              </w:rPr>
              <w:t>Relevance to SafeCity</w:t>
            </w:r>
          </w:p>
        </w:tc>
      </w:tr>
      <w:tr>
        <w:tc>
          <w:tcPr>
            <w:tcW w:type="dxa" w:w="1440"/>
            <w:tcMar>
              <w:top w:w="50" w:type="dxa"/>
              <w:bottom w:w="50" w:type="dxa"/>
              <w:left w:w="50" w:type="dxa"/>
              <w:right w:w="50" w:type="dxa"/>
            </w:tcMar>
          </w:tcPr>
          <w:p>
            <w:pPr>
              <w:spacing w:before="0" w:after="0" w:line="252" w:lineRule="auto"/>
              <w:jc w:val="center"/>
            </w:pPr>
            <w:r>
              <w:rPr>
                <w:rFonts w:ascii="Times New Roman" w:hAnsi="Times New Roman"/>
                <w:b/>
                <w:sz w:val="15"/>
              </w:rPr>
              <w:t>[1]</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Galbrun et al. (2016) [5]</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Multi-criteria urban navigation balancing distance and crime risk.</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Biobjective shortest path optimization; Pareto frontier calculation.</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Pedestrians can reduce crime exposure by 40-60% with only 5-12% extra distance.</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Tested offline on historical police data; lacks real-time crowdsourcing.</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Establishes validity of non-shortest, safety-aware route trade-offs.</w:t>
            </w:r>
          </w:p>
        </w:tc>
      </w:tr>
      <w:tr>
        <w:tc>
          <w:tcPr>
            <w:tcW w:type="dxa" w:w="1440"/>
            <w:tcMar>
              <w:top w:w="50" w:type="dxa"/>
              <w:bottom w:w="50" w:type="dxa"/>
              <w:left w:w="50" w:type="dxa"/>
              <w:right w:w="50" w:type="dxa"/>
            </w:tcMar>
          </w:tcPr>
          <w:p>
            <w:pPr>
              <w:spacing w:before="0" w:after="0" w:line="252" w:lineRule="auto"/>
              <w:jc w:val="center"/>
            </w:pPr>
            <w:r>
              <w:rPr>
                <w:rFonts w:ascii="Times New Roman" w:hAnsi="Times New Roman"/>
                <w:b/>
                <w:sz w:val="15"/>
              </w:rPr>
              <w:t>[2]</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Sanh et al. (2019) [13]</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Compress language models for resource-constrained inference.</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Knowledge distillation on BERT architecture (DistilBERT); parameter pruning.</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40% smaller, 60% faster inference on CPU; preserves 97% of BERT accuracy.</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General model; requires domain fine-tuning on safety datasets.</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Proves feasibility of real-time serverless incident processing.</w:t>
            </w:r>
          </w:p>
        </w:tc>
      </w:tr>
      <w:tr>
        <w:tc>
          <w:tcPr>
            <w:tcW w:type="dxa" w:w="1440"/>
            <w:tcMar>
              <w:top w:w="50" w:type="dxa"/>
              <w:bottom w:w="50" w:type="dxa"/>
              <w:left w:w="50" w:type="dxa"/>
              <w:right w:w="50" w:type="dxa"/>
            </w:tcMar>
          </w:tcPr>
          <w:p>
            <w:pPr>
              <w:spacing w:before="0" w:after="0" w:line="252" w:lineRule="auto"/>
              <w:jc w:val="center"/>
            </w:pPr>
            <w:r>
              <w:rPr>
                <w:rFonts w:ascii="Times New Roman" w:hAnsi="Times New Roman"/>
                <w:b/>
                <w:sz w:val="15"/>
              </w:rPr>
              <w:t>[3]</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Ester et al. (1996) [10]</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Discover arbitrary spatial clusters and isolate noise in spatial data.</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Density-based spatial clustering (eps-neighborhood and MinPts).</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Discovers non-linear street clusters; scales efficiently with spatial indexing.</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Sensitive to parameter selection across varying urban densities.</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Provides mathematical basis for spatial risk buffering around incidents.</w:t>
            </w:r>
          </w:p>
        </w:tc>
      </w:tr>
      <w:tr>
        <w:tc>
          <w:tcPr>
            <w:tcW w:type="dxa" w:w="1440"/>
            <w:tcMar>
              <w:top w:w="50" w:type="dxa"/>
              <w:bottom w:w="50" w:type="dxa"/>
              <w:left w:w="50" w:type="dxa"/>
              <w:right w:w="50" w:type="dxa"/>
            </w:tcMar>
          </w:tcPr>
          <w:p>
            <w:pPr>
              <w:spacing w:before="0" w:after="0" w:line="252" w:lineRule="auto"/>
              <w:jc w:val="center"/>
            </w:pPr>
            <w:r>
              <w:rPr>
                <w:rFonts w:ascii="Times New Roman" w:hAnsi="Times New Roman"/>
                <w:b/>
                <w:sz w:val="15"/>
              </w:rPr>
              <w:t>[4]</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Levy et al. (2020) [11]</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Train autonomous agents to navigate urban street networks safely.</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Deep Reinforcement Learning (DRL) with spatial crime penalty rewards.</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Successfully avoids high-crime street links in Boston, NYC, and SF.</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High computational training overhead; black-box decisions lack explainability.</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Reinforces need for risk-penalized navigation with transparent scoring.</w:t>
            </w:r>
          </w:p>
        </w:tc>
      </w:tr>
      <w:tr>
        <w:tc>
          <w:tcPr>
            <w:tcW w:type="dxa" w:w="1440"/>
            <w:tcMar>
              <w:top w:w="50" w:type="dxa"/>
              <w:bottom w:w="50" w:type="dxa"/>
              <w:left w:w="50" w:type="dxa"/>
              <w:right w:w="50" w:type="dxa"/>
            </w:tcMar>
          </w:tcPr>
          <w:p>
            <w:pPr>
              <w:spacing w:before="0" w:after="0" w:line="252" w:lineRule="auto"/>
              <w:jc w:val="center"/>
            </w:pPr>
            <w:r>
              <w:rPr>
                <w:rFonts w:ascii="Times New Roman" w:hAnsi="Times New Roman"/>
                <w:b/>
                <w:sz w:val="15"/>
              </w:rPr>
              <w:t>[5]</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Quercia et al. (2014) [12]</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Recommend urban walking paths maximizing emotional comfort.</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Crowdsourced perception scoring and social media graph routing.</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Walkers trade modest travel time for brighter, aesthetically pleasant streets.</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Focused on aesthetic perception rather than verified violent crime hazards.</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Justifies routing pedestrians along well-lit commercial arterials.</w:t>
            </w:r>
          </w:p>
        </w:tc>
      </w:tr>
      <w:tr>
        <w:tc>
          <w:tcPr>
            <w:tcW w:type="dxa" w:w="1440"/>
            <w:tcMar>
              <w:top w:w="50" w:type="dxa"/>
              <w:bottom w:w="50" w:type="dxa"/>
              <w:left w:w="50" w:type="dxa"/>
              <w:right w:w="50" w:type="dxa"/>
            </w:tcMar>
          </w:tcPr>
          <w:p>
            <w:pPr>
              <w:spacing w:before="0" w:after="0" w:line="252" w:lineRule="auto"/>
              <w:jc w:val="center"/>
            </w:pPr>
            <w:r>
              <w:rPr>
                <w:rFonts w:ascii="Times New Roman" w:hAnsi="Times New Roman"/>
                <w:b/>
                <w:sz w:val="15"/>
              </w:rPr>
              <w:t>[6]</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Lea, D'Silva, &amp; Asok (2017) [4]</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Analyze spatial patterns and victim strategies in transit harassment in India.</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Quantitative and spatial analysis of 10,000+ crowdsourced reports from Safecity.</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Grassroots crowdsourcing exposes severe dark figure of unreported everyday crime.</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Retrospective archive; lacked dynamic navigation or live GPS escort.</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Proves high societal demand and validity of anonymous crowdsourcing in India.</w:t>
            </w:r>
          </w:p>
        </w:tc>
      </w:tr>
      <w:tr>
        <w:tc>
          <w:tcPr>
            <w:tcW w:type="dxa" w:w="1440"/>
            <w:tcMar>
              <w:top w:w="50" w:type="dxa"/>
              <w:bottom w:w="50" w:type="dxa"/>
              <w:left w:w="50" w:type="dxa"/>
              <w:right w:w="50" w:type="dxa"/>
            </w:tcMar>
          </w:tcPr>
          <w:p>
            <w:pPr>
              <w:spacing w:before="0" w:after="0" w:line="252" w:lineRule="auto"/>
              <w:jc w:val="center"/>
            </w:pPr>
            <w:r>
              <w:rPr>
                <w:rFonts w:ascii="Times New Roman" w:hAnsi="Times New Roman"/>
                <w:b/>
                <w:sz w:val="15"/>
              </w:rPr>
              <w:t>[7]</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Solymosi et al. (2021) [8]</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Review mobile app methodologies for measuring micro-spatial fear of crime.</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Systematic review of 42 mobile applications and sensing systems.</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In-situ mobile reporting captures dynamic, context-specific fear accurately.</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Most reviewed systems were research probes lacking sustained civic deployment.</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Validates in-situ mobile reporting design and highlights integration gap.</w:t>
            </w:r>
          </w:p>
        </w:tc>
      </w:tr>
      <w:tr>
        <w:tc>
          <w:tcPr>
            <w:tcW w:type="dxa" w:w="1440"/>
            <w:tcMar>
              <w:top w:w="50" w:type="dxa"/>
              <w:bottom w:w="50" w:type="dxa"/>
              <w:left w:w="50" w:type="dxa"/>
              <w:right w:w="50" w:type="dxa"/>
            </w:tcMar>
          </w:tcPr>
          <w:p>
            <w:pPr>
              <w:spacing w:before="0" w:after="0" w:line="252" w:lineRule="auto"/>
              <w:jc w:val="center"/>
            </w:pPr>
            <w:r>
              <w:rPr>
                <w:rFonts w:ascii="Times New Roman" w:hAnsi="Times New Roman"/>
                <w:b/>
                <w:sz w:val="15"/>
              </w:rPr>
              <w:t>[8]</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Prasad et al. (2015) [3]</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Develop automated mobile emergency alert application for women.</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Android native platform, GPS receiver, SMS broadcast gateway ('Abhaya').</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One-click emergency coordinate broadcast effectively alerts designated guardians.</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Strictly reactive; zero preventative hazard info, routing, or crowdsourcing.</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Provides reference model for emergency contact dispatch mechanism.</w:t>
            </w:r>
          </w:p>
        </w:tc>
      </w:tr>
      <w:tr>
        <w:tc>
          <w:tcPr>
            <w:tcW w:type="dxa" w:w="1440"/>
            <w:tcMar>
              <w:top w:w="50" w:type="dxa"/>
              <w:bottom w:w="50" w:type="dxa"/>
              <w:left w:w="50" w:type="dxa"/>
              <w:right w:w="50" w:type="dxa"/>
            </w:tcMar>
          </w:tcPr>
          <w:p>
            <w:pPr>
              <w:spacing w:before="0" w:after="0" w:line="252" w:lineRule="auto"/>
              <w:jc w:val="center"/>
            </w:pPr>
            <w:r>
              <w:rPr>
                <w:rFonts w:ascii="Times New Roman" w:hAnsi="Times New Roman"/>
                <w:b/>
                <w:sz w:val="15"/>
              </w:rPr>
              <w:t>[9]</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Harikiran et al. (2016) [7]</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Build automated IoT wearable device for women's emergency defense.</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Microcontroller sensors, GSM/GPS modules, automated impact/scream detection.</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Hardware triggers sirens and dispatches alerts without smartphone handling.</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High hardware cost, battery constraints, false alarms, and wear reluctance.</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Highlights advantage of zero-installation, universal web availability.</w:t>
            </w:r>
          </w:p>
        </w:tc>
      </w:tr>
      <w:tr>
        <w:tc>
          <w:tcPr>
            <w:tcW w:type="dxa" w:w="1440"/>
            <w:tcMar>
              <w:top w:w="50" w:type="dxa"/>
              <w:bottom w:w="50" w:type="dxa"/>
              <w:left w:w="50" w:type="dxa"/>
              <w:right w:w="50" w:type="dxa"/>
            </w:tcMar>
          </w:tcPr>
          <w:p>
            <w:pPr>
              <w:spacing w:before="0" w:after="0" w:line="252" w:lineRule="auto"/>
              <w:jc w:val="center"/>
            </w:pPr>
            <w:r>
              <w:rPr>
                <w:rFonts w:ascii="Times New Roman" w:hAnsi="Times New Roman"/>
                <w:b/>
                <w:sz w:val="15"/>
              </w:rPr>
              <w:t>[10]</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Majumdar et al. (2022) [14]</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Implement voice and natural language AI assistant for emergency operations.</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Speech-to-text NLP processing, intent classification, hands-free dispatch.</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Conversational interactions reduce task completion latency under acute stress.</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Focused on professional dispatchers rather than civilian pedestrians.</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Informs design of conversational assistant for rapid emergency access.</w:t>
            </w:r>
          </w:p>
        </w:tc>
      </w:tr>
      <w:tr>
        <w:tc>
          <w:tcPr>
            <w:tcW w:type="dxa" w:w="1440"/>
            <w:tcMar>
              <w:top w:w="50" w:type="dxa"/>
              <w:bottom w:w="50" w:type="dxa"/>
              <w:left w:w="50" w:type="dxa"/>
              <w:right w:w="50" w:type="dxa"/>
            </w:tcMar>
          </w:tcPr>
          <w:p>
            <w:pPr>
              <w:spacing w:before="0" w:after="0" w:line="252" w:lineRule="auto"/>
              <w:jc w:val="center"/>
            </w:pPr>
            <w:r>
              <w:rPr>
                <w:rFonts w:ascii="Times New Roman" w:hAnsi="Times New Roman"/>
                <w:b/>
                <w:sz w:val="15"/>
              </w:rPr>
              <w:t>[11]</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Chainey et al. (2008) [9]</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Evaluate predictive accuracy of spatial crime hotspot mapping methods.</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Comparative empirical analysis of spatial ellipses, thematic grids, and KDE.</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Density-based spatial mapping demonstrates superior predictive power.</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Relies on historical police records which omit minor harassment incidents.</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Supports spatial density buffering around community reports.</w:t>
            </w:r>
          </w:p>
        </w:tc>
      </w:tr>
      <w:tr>
        <w:tc>
          <w:tcPr>
            <w:tcW w:type="dxa" w:w="1440"/>
            <w:tcMar>
              <w:top w:w="50" w:type="dxa"/>
              <w:bottom w:w="50" w:type="dxa"/>
              <w:left w:w="50" w:type="dxa"/>
              <w:right w:w="50" w:type="dxa"/>
            </w:tcMar>
          </w:tcPr>
          <w:p>
            <w:pPr>
              <w:spacing w:before="0" w:after="0" w:line="252" w:lineRule="auto"/>
              <w:jc w:val="center"/>
            </w:pPr>
            <w:r>
              <w:rPr>
                <w:rFonts w:ascii="Times New Roman" w:hAnsi="Times New Roman"/>
                <w:b/>
                <w:sz w:val="15"/>
              </w:rPr>
              <w:t>[12]</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Shu et al. (2020) [15]</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Preserve location privacy in crowdsourced mobile sensing frameworks.</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Differential privacy, coordinate truncation, cryptographic verification.</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Coordinate obfuscation prevents user tracking while maintaining spatial utility.</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High cryptographic complexity; requires distributed ledger infrastructure.</w:t>
            </w:r>
          </w:p>
        </w:tc>
        <w:tc>
          <w:tcPr>
            <w:tcW w:type="dxa" w:w="1440"/>
            <w:tcMar>
              <w:top w:w="50" w:type="dxa"/>
              <w:bottom w:w="50" w:type="dxa"/>
              <w:left w:w="50" w:type="dxa"/>
              <w:right w:w="50" w:type="dxa"/>
            </w:tcMar>
          </w:tcPr>
          <w:p>
            <w:pPr>
              <w:spacing w:before="0" w:after="0" w:line="252" w:lineRule="auto"/>
            </w:pPr>
            <w:r>
              <w:rPr>
                <w:rFonts w:ascii="Times New Roman" w:hAnsi="Times New Roman"/>
                <w:sz w:val="15"/>
              </w:rPr>
              <w:t>Justifies coordinate truncation and separation of public vs. admin views.</w:t>
            </w:r>
          </w:p>
        </w:tc>
      </w:tr>
    </w:tbl>
    <w:p>
      <w:pPr>
        <w:spacing w:after="120"/>
      </w:pPr>
    </w:p>
    <w:p>
      <w:pPr>
        <w:keepNext/>
        <w:spacing w:before="160" w:after="60"/>
      </w:pPr>
      <w:r>
        <w:rPr>
          <w:rFonts w:ascii="Times New Roman" w:hAnsi="Times New Roman"/>
          <w:b/>
          <w:sz w:val="19"/>
        </w:rPr>
        <w:t>Table 2. Implementation Technology Stack</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20"/>
        <w:gridCol w:w="2520"/>
        <w:gridCol w:w="2520"/>
        <w:gridCol w:w="2520"/>
      </w:tblGrid>
      <w:tr>
        <w:tc>
          <w:tcPr>
            <w:tcW w:type="dxa" w:w="2520"/>
            <w:shd w:fill="F5F1EA"/>
            <w:tcMar>
              <w:top w:w="60" w:type="dxa"/>
              <w:bottom w:w="60" w:type="dxa"/>
              <w:left w:w="70" w:type="dxa"/>
              <w:right w:w="70" w:type="dxa"/>
            </w:tcMar>
          </w:tcPr>
          <w:p>
            <w:pPr>
              <w:jc w:val="center"/>
            </w:pPr>
            <w:r>
              <w:rPr>
                <w:rFonts w:ascii="Times New Roman" w:hAnsi="Times New Roman"/>
                <w:b/>
                <w:sz w:val="16"/>
              </w:rPr>
              <w:t>Layer</w:t>
            </w:r>
          </w:p>
        </w:tc>
        <w:tc>
          <w:tcPr>
            <w:tcW w:type="dxa" w:w="2520"/>
            <w:shd w:fill="F5F1EA"/>
            <w:tcMar>
              <w:top w:w="60" w:type="dxa"/>
              <w:bottom w:w="60" w:type="dxa"/>
              <w:left w:w="70" w:type="dxa"/>
              <w:right w:w="70" w:type="dxa"/>
            </w:tcMar>
          </w:tcPr>
          <w:p>
            <w:pPr>
              <w:jc w:val="center"/>
            </w:pPr>
            <w:r>
              <w:rPr>
                <w:rFonts w:ascii="Times New Roman" w:hAnsi="Times New Roman"/>
                <w:b/>
                <w:sz w:val="16"/>
              </w:rPr>
              <w:t>Technology</w:t>
            </w:r>
          </w:p>
        </w:tc>
        <w:tc>
          <w:tcPr>
            <w:tcW w:type="dxa" w:w="2520"/>
            <w:shd w:fill="F5F1EA"/>
            <w:tcMar>
              <w:top w:w="60" w:type="dxa"/>
              <w:bottom w:w="60" w:type="dxa"/>
              <w:left w:w="70" w:type="dxa"/>
              <w:right w:w="70" w:type="dxa"/>
            </w:tcMar>
          </w:tcPr>
          <w:p>
            <w:pPr>
              <w:jc w:val="center"/>
            </w:pPr>
            <w:r>
              <w:rPr>
                <w:rFonts w:ascii="Times New Roman" w:hAnsi="Times New Roman"/>
                <w:b/>
                <w:sz w:val="16"/>
              </w:rPr>
              <w:t>Version</w:t>
            </w:r>
          </w:p>
        </w:tc>
        <w:tc>
          <w:tcPr>
            <w:tcW w:type="dxa" w:w="2520"/>
            <w:shd w:fill="F5F1EA"/>
            <w:tcMar>
              <w:top w:w="60" w:type="dxa"/>
              <w:bottom w:w="60" w:type="dxa"/>
              <w:left w:w="70" w:type="dxa"/>
              <w:right w:w="70" w:type="dxa"/>
            </w:tcMar>
          </w:tcPr>
          <w:p>
            <w:pPr>
              <w:jc w:val="center"/>
            </w:pPr>
            <w:r>
              <w:rPr>
                <w:rFonts w:ascii="Times New Roman" w:hAnsi="Times New Roman"/>
                <w:b/>
                <w:sz w:val="16"/>
              </w:rPr>
              <w:t>Functional Role</w:t>
            </w:r>
          </w:p>
        </w:tc>
      </w:tr>
      <w:tr>
        <w:tc>
          <w:tcPr>
            <w:tcW w:type="dxa" w:w="2520"/>
            <w:tcMar>
              <w:top w:w="45" w:type="dxa"/>
              <w:bottom w:w="45" w:type="dxa"/>
              <w:left w:w="55" w:type="dxa"/>
              <w:right w:w="55" w:type="dxa"/>
            </w:tcMar>
          </w:tcPr>
          <w:p>
            <w:pPr>
              <w:spacing w:before="0" w:after="0"/>
            </w:pPr>
            <w:r>
              <w:rPr>
                <w:rFonts w:ascii="Times New Roman" w:hAnsi="Times New Roman"/>
                <w:b/>
                <w:sz w:val="16"/>
              </w:rPr>
              <w:t>Frontend Framework</w:t>
            </w:r>
          </w:p>
        </w:tc>
        <w:tc>
          <w:tcPr>
            <w:tcW w:type="dxa" w:w="2520"/>
            <w:tcMar>
              <w:top w:w="45" w:type="dxa"/>
              <w:bottom w:w="45" w:type="dxa"/>
              <w:left w:w="55" w:type="dxa"/>
              <w:right w:w="55" w:type="dxa"/>
            </w:tcMar>
          </w:tcPr>
          <w:p>
            <w:pPr>
              <w:spacing w:before="0" w:after="0"/>
            </w:pPr>
            <w:r>
              <w:rPr>
                <w:rFonts w:ascii="Times New Roman" w:hAnsi="Times New Roman"/>
                <w:sz w:val="16"/>
              </w:rPr>
              <w:t>HTML5 / Vanilla JavaScript (ES6+)</w:t>
            </w:r>
          </w:p>
        </w:tc>
        <w:tc>
          <w:tcPr>
            <w:tcW w:type="dxa" w:w="2520"/>
            <w:tcMar>
              <w:top w:w="45" w:type="dxa"/>
              <w:bottom w:w="45" w:type="dxa"/>
              <w:left w:w="55" w:type="dxa"/>
              <w:right w:w="55" w:type="dxa"/>
            </w:tcMar>
          </w:tcPr>
          <w:p>
            <w:pPr>
              <w:spacing w:before="0" w:after="0"/>
            </w:pPr>
            <w:r>
              <w:rPr>
                <w:rFonts w:ascii="Times New Roman" w:hAnsi="Times New Roman"/>
                <w:sz w:val="16"/>
              </w:rPr>
              <w:t>Modern Web Standard</w:t>
            </w:r>
          </w:p>
        </w:tc>
        <w:tc>
          <w:tcPr>
            <w:tcW w:type="dxa" w:w="2520"/>
            <w:tcMar>
              <w:top w:w="45" w:type="dxa"/>
              <w:bottom w:w="45" w:type="dxa"/>
              <w:left w:w="55" w:type="dxa"/>
              <w:right w:w="55" w:type="dxa"/>
            </w:tcMar>
          </w:tcPr>
          <w:p>
            <w:pPr>
              <w:spacing w:before="0" w:after="0"/>
            </w:pPr>
            <w:r>
              <w:rPr>
                <w:rFonts w:ascii="Times New Roman" w:hAnsi="Times New Roman"/>
                <w:sz w:val="16"/>
              </w:rPr>
              <w:t>Zero-build, high-performance modular single-page interface.</w:t>
            </w:r>
          </w:p>
        </w:tc>
      </w:tr>
      <w:tr>
        <w:tc>
          <w:tcPr>
            <w:tcW w:type="dxa" w:w="2520"/>
            <w:tcMar>
              <w:top w:w="45" w:type="dxa"/>
              <w:bottom w:w="45" w:type="dxa"/>
              <w:left w:w="55" w:type="dxa"/>
              <w:right w:w="55" w:type="dxa"/>
            </w:tcMar>
          </w:tcPr>
          <w:p>
            <w:pPr>
              <w:spacing w:before="0" w:after="0"/>
            </w:pPr>
            <w:r>
              <w:rPr>
                <w:rFonts w:ascii="Times New Roman" w:hAnsi="Times New Roman"/>
                <w:b/>
                <w:sz w:val="16"/>
              </w:rPr>
              <w:t>Styling &amp; Design</w:t>
            </w:r>
          </w:p>
        </w:tc>
        <w:tc>
          <w:tcPr>
            <w:tcW w:type="dxa" w:w="2520"/>
            <w:tcMar>
              <w:top w:w="45" w:type="dxa"/>
              <w:bottom w:w="45" w:type="dxa"/>
              <w:left w:w="55" w:type="dxa"/>
              <w:right w:w="55" w:type="dxa"/>
            </w:tcMar>
          </w:tcPr>
          <w:p>
            <w:pPr>
              <w:spacing w:before="0" w:after="0"/>
            </w:pPr>
            <w:r>
              <w:rPr>
                <w:rFonts w:ascii="Times New Roman" w:hAnsi="Times New Roman"/>
                <w:sz w:val="16"/>
              </w:rPr>
              <w:t>Tailwind CSS CDN</w:t>
            </w:r>
          </w:p>
        </w:tc>
        <w:tc>
          <w:tcPr>
            <w:tcW w:type="dxa" w:w="2520"/>
            <w:tcMar>
              <w:top w:w="45" w:type="dxa"/>
              <w:bottom w:w="45" w:type="dxa"/>
              <w:left w:w="55" w:type="dxa"/>
              <w:right w:w="55" w:type="dxa"/>
            </w:tcMar>
          </w:tcPr>
          <w:p>
            <w:pPr>
              <w:spacing w:before="0" w:after="0"/>
            </w:pPr>
            <w:r>
              <w:rPr>
                <w:rFonts w:ascii="Times New Roman" w:hAnsi="Times New Roman"/>
                <w:sz w:val="16"/>
              </w:rPr>
              <w:t>3.4.17</w:t>
            </w:r>
          </w:p>
        </w:tc>
        <w:tc>
          <w:tcPr>
            <w:tcW w:type="dxa" w:w="2520"/>
            <w:tcMar>
              <w:top w:w="45" w:type="dxa"/>
              <w:bottom w:w="45" w:type="dxa"/>
              <w:left w:w="55" w:type="dxa"/>
              <w:right w:w="55" w:type="dxa"/>
            </w:tcMar>
          </w:tcPr>
          <w:p>
            <w:pPr>
              <w:spacing w:before="0" w:after="0"/>
            </w:pPr>
            <w:r>
              <w:rPr>
                <w:rFonts w:ascii="Times New Roman" w:hAnsi="Times New Roman"/>
                <w:sz w:val="16"/>
              </w:rPr>
              <w:t>Accessible civic design system with custom plum/rose aesthetic palette.</w:t>
            </w:r>
          </w:p>
        </w:tc>
      </w:tr>
      <w:tr>
        <w:tc>
          <w:tcPr>
            <w:tcW w:type="dxa" w:w="2520"/>
            <w:tcMar>
              <w:top w:w="45" w:type="dxa"/>
              <w:bottom w:w="45" w:type="dxa"/>
              <w:left w:w="55" w:type="dxa"/>
              <w:right w:w="55" w:type="dxa"/>
            </w:tcMar>
          </w:tcPr>
          <w:p>
            <w:pPr>
              <w:spacing w:before="0" w:after="0"/>
            </w:pPr>
            <w:r>
              <w:rPr>
                <w:rFonts w:ascii="Times New Roman" w:hAnsi="Times New Roman"/>
                <w:b/>
                <w:sz w:val="16"/>
              </w:rPr>
              <w:t>Mapping Engine</w:t>
            </w:r>
          </w:p>
        </w:tc>
        <w:tc>
          <w:tcPr>
            <w:tcW w:type="dxa" w:w="2520"/>
            <w:tcMar>
              <w:top w:w="45" w:type="dxa"/>
              <w:bottom w:w="45" w:type="dxa"/>
              <w:left w:w="55" w:type="dxa"/>
              <w:right w:w="55" w:type="dxa"/>
            </w:tcMar>
          </w:tcPr>
          <w:p>
            <w:pPr>
              <w:spacing w:before="0" w:after="0"/>
            </w:pPr>
            <w:r>
              <w:rPr>
                <w:rFonts w:ascii="Times New Roman" w:hAnsi="Times New Roman"/>
                <w:sz w:val="16"/>
              </w:rPr>
              <w:t>Leaflet.js</w:t>
            </w:r>
          </w:p>
        </w:tc>
        <w:tc>
          <w:tcPr>
            <w:tcW w:type="dxa" w:w="2520"/>
            <w:tcMar>
              <w:top w:w="45" w:type="dxa"/>
              <w:bottom w:w="45" w:type="dxa"/>
              <w:left w:w="55" w:type="dxa"/>
              <w:right w:w="55" w:type="dxa"/>
            </w:tcMar>
          </w:tcPr>
          <w:p>
            <w:pPr>
              <w:spacing w:before="0" w:after="0"/>
            </w:pPr>
            <w:r>
              <w:rPr>
                <w:rFonts w:ascii="Times New Roman" w:hAnsi="Times New Roman"/>
                <w:sz w:val="16"/>
              </w:rPr>
              <w:t>1.9.4</w:t>
            </w:r>
          </w:p>
        </w:tc>
        <w:tc>
          <w:tcPr>
            <w:tcW w:type="dxa" w:w="2520"/>
            <w:tcMar>
              <w:top w:w="45" w:type="dxa"/>
              <w:bottom w:w="45" w:type="dxa"/>
              <w:left w:w="55" w:type="dxa"/>
              <w:right w:w="55" w:type="dxa"/>
            </w:tcMar>
          </w:tcPr>
          <w:p>
            <w:pPr>
              <w:spacing w:before="0" w:after="0"/>
            </w:pPr>
            <w:r>
              <w:rPr>
                <w:rFonts w:ascii="Times New Roman" w:hAnsi="Times New Roman"/>
                <w:sz w:val="16"/>
              </w:rPr>
              <w:t>Interactive map rendering, marker clustering, SVG icons, geo-layers.</w:t>
            </w:r>
          </w:p>
        </w:tc>
      </w:tr>
      <w:tr>
        <w:tc>
          <w:tcPr>
            <w:tcW w:type="dxa" w:w="2520"/>
            <w:tcMar>
              <w:top w:w="45" w:type="dxa"/>
              <w:bottom w:w="45" w:type="dxa"/>
              <w:left w:w="55" w:type="dxa"/>
              <w:right w:w="55" w:type="dxa"/>
            </w:tcMar>
          </w:tcPr>
          <w:p>
            <w:pPr>
              <w:spacing w:before="0" w:after="0"/>
            </w:pPr>
            <w:r>
              <w:rPr>
                <w:rFonts w:ascii="Times New Roman" w:hAnsi="Times New Roman"/>
                <w:b/>
                <w:sz w:val="16"/>
              </w:rPr>
              <w:t>Tile Providers</w:t>
            </w:r>
          </w:p>
        </w:tc>
        <w:tc>
          <w:tcPr>
            <w:tcW w:type="dxa" w:w="2520"/>
            <w:tcMar>
              <w:top w:w="45" w:type="dxa"/>
              <w:bottom w:w="45" w:type="dxa"/>
              <w:left w:w="55" w:type="dxa"/>
              <w:right w:w="55" w:type="dxa"/>
            </w:tcMar>
          </w:tcPr>
          <w:p>
            <w:pPr>
              <w:spacing w:before="0" w:after="0"/>
            </w:pPr>
            <w:r>
              <w:rPr>
                <w:rFonts w:ascii="Times New Roman" w:hAnsi="Times New Roman"/>
                <w:sz w:val="16"/>
              </w:rPr>
              <w:t>OpenStreetMap / ESRI World Street</w:t>
            </w:r>
          </w:p>
        </w:tc>
        <w:tc>
          <w:tcPr>
            <w:tcW w:type="dxa" w:w="2520"/>
            <w:tcMar>
              <w:top w:w="45" w:type="dxa"/>
              <w:bottom w:w="45" w:type="dxa"/>
              <w:left w:w="55" w:type="dxa"/>
              <w:right w:w="55" w:type="dxa"/>
            </w:tcMar>
          </w:tcPr>
          <w:p>
            <w:pPr>
              <w:spacing w:before="0" w:after="0"/>
            </w:pPr>
            <w:r>
              <w:rPr>
                <w:rFonts w:ascii="Times New Roman" w:hAnsi="Times New Roman"/>
                <w:sz w:val="16"/>
              </w:rPr>
              <w:t>Carto Standard</w:t>
            </w:r>
          </w:p>
        </w:tc>
        <w:tc>
          <w:tcPr>
            <w:tcW w:type="dxa" w:w="2520"/>
            <w:tcMar>
              <w:top w:w="45" w:type="dxa"/>
              <w:bottom w:w="45" w:type="dxa"/>
              <w:left w:w="55" w:type="dxa"/>
              <w:right w:w="55" w:type="dxa"/>
            </w:tcMar>
          </w:tcPr>
          <w:p>
            <w:pPr>
              <w:spacing w:before="0" w:after="0"/>
            </w:pPr>
            <w:r>
              <w:rPr>
                <w:rFonts w:ascii="Times New Roman" w:hAnsi="Times New Roman"/>
                <w:sz w:val="16"/>
              </w:rPr>
              <w:t>Primary and automatic failover raster/vector map tile layers.</w:t>
            </w:r>
          </w:p>
        </w:tc>
      </w:tr>
      <w:tr>
        <w:tc>
          <w:tcPr>
            <w:tcW w:type="dxa" w:w="2520"/>
            <w:tcMar>
              <w:top w:w="45" w:type="dxa"/>
              <w:bottom w:w="45" w:type="dxa"/>
              <w:left w:w="55" w:type="dxa"/>
              <w:right w:w="55" w:type="dxa"/>
            </w:tcMar>
          </w:tcPr>
          <w:p>
            <w:pPr>
              <w:spacing w:before="0" w:after="0"/>
            </w:pPr>
            <w:r>
              <w:rPr>
                <w:rFonts w:ascii="Times New Roman" w:hAnsi="Times New Roman"/>
                <w:b/>
                <w:sz w:val="16"/>
              </w:rPr>
              <w:t>Data Visualization</w:t>
            </w:r>
          </w:p>
        </w:tc>
        <w:tc>
          <w:tcPr>
            <w:tcW w:type="dxa" w:w="2520"/>
            <w:tcMar>
              <w:top w:w="45" w:type="dxa"/>
              <w:bottom w:w="45" w:type="dxa"/>
              <w:left w:w="55" w:type="dxa"/>
              <w:right w:w="55" w:type="dxa"/>
            </w:tcMar>
          </w:tcPr>
          <w:p>
            <w:pPr>
              <w:spacing w:before="0" w:after="0"/>
            </w:pPr>
            <w:r>
              <w:rPr>
                <w:rFonts w:ascii="Times New Roman" w:hAnsi="Times New Roman"/>
                <w:sz w:val="16"/>
              </w:rPr>
              <w:t>Chart.js</w:t>
            </w:r>
          </w:p>
        </w:tc>
        <w:tc>
          <w:tcPr>
            <w:tcW w:type="dxa" w:w="2520"/>
            <w:tcMar>
              <w:top w:w="45" w:type="dxa"/>
              <w:bottom w:w="45" w:type="dxa"/>
              <w:left w:w="55" w:type="dxa"/>
              <w:right w:w="55" w:type="dxa"/>
            </w:tcMar>
          </w:tcPr>
          <w:p>
            <w:pPr>
              <w:spacing w:before="0" w:after="0"/>
            </w:pPr>
            <w:r>
              <w:rPr>
                <w:rFonts w:ascii="Times New Roman" w:hAnsi="Times New Roman"/>
                <w:sz w:val="16"/>
              </w:rPr>
              <w:t>4.4.1</w:t>
            </w:r>
          </w:p>
        </w:tc>
        <w:tc>
          <w:tcPr>
            <w:tcW w:type="dxa" w:w="2520"/>
            <w:tcMar>
              <w:top w:w="45" w:type="dxa"/>
              <w:bottom w:w="45" w:type="dxa"/>
              <w:left w:w="55" w:type="dxa"/>
              <w:right w:w="55" w:type="dxa"/>
            </w:tcMar>
          </w:tcPr>
          <w:p>
            <w:pPr>
              <w:spacing w:before="0" w:after="0"/>
            </w:pPr>
            <w:r>
              <w:rPr>
                <w:rFonts w:ascii="Times New Roman" w:hAnsi="Times New Roman"/>
                <w:sz w:val="16"/>
              </w:rPr>
              <w:t>Administrative category analytics and incident severity distribution charts.</w:t>
            </w:r>
          </w:p>
        </w:tc>
      </w:tr>
      <w:tr>
        <w:tc>
          <w:tcPr>
            <w:tcW w:type="dxa" w:w="2520"/>
            <w:tcMar>
              <w:top w:w="45" w:type="dxa"/>
              <w:bottom w:w="45" w:type="dxa"/>
              <w:left w:w="55" w:type="dxa"/>
              <w:right w:w="55" w:type="dxa"/>
            </w:tcMar>
          </w:tcPr>
          <w:p>
            <w:pPr>
              <w:spacing w:before="0" w:after="0"/>
            </w:pPr>
            <w:r>
              <w:rPr>
                <w:rFonts w:ascii="Times New Roman" w:hAnsi="Times New Roman"/>
                <w:b/>
                <w:sz w:val="16"/>
              </w:rPr>
              <w:t>Iconography</w:t>
            </w:r>
          </w:p>
        </w:tc>
        <w:tc>
          <w:tcPr>
            <w:tcW w:type="dxa" w:w="2520"/>
            <w:tcMar>
              <w:top w:w="45" w:type="dxa"/>
              <w:bottom w:w="45" w:type="dxa"/>
              <w:left w:w="55" w:type="dxa"/>
              <w:right w:w="55" w:type="dxa"/>
            </w:tcMar>
          </w:tcPr>
          <w:p>
            <w:pPr>
              <w:spacing w:before="0" w:after="0"/>
            </w:pPr>
            <w:r>
              <w:rPr>
                <w:rFonts w:ascii="Times New Roman" w:hAnsi="Times New Roman"/>
                <w:sz w:val="16"/>
              </w:rPr>
              <w:t>Lucide Icons</w:t>
            </w:r>
          </w:p>
        </w:tc>
        <w:tc>
          <w:tcPr>
            <w:tcW w:type="dxa" w:w="2520"/>
            <w:tcMar>
              <w:top w:w="45" w:type="dxa"/>
              <w:bottom w:w="45" w:type="dxa"/>
              <w:left w:w="55" w:type="dxa"/>
              <w:right w:w="55" w:type="dxa"/>
            </w:tcMar>
          </w:tcPr>
          <w:p>
            <w:pPr>
              <w:spacing w:before="0" w:after="0"/>
            </w:pPr>
            <w:r>
              <w:rPr>
                <w:rFonts w:ascii="Times New Roman" w:hAnsi="Times New Roman"/>
                <w:sz w:val="16"/>
              </w:rPr>
              <w:t>0.460.0</w:t>
            </w:r>
          </w:p>
        </w:tc>
        <w:tc>
          <w:tcPr>
            <w:tcW w:type="dxa" w:w="2520"/>
            <w:tcMar>
              <w:top w:w="45" w:type="dxa"/>
              <w:bottom w:w="45" w:type="dxa"/>
              <w:left w:w="55" w:type="dxa"/>
              <w:right w:w="55" w:type="dxa"/>
            </w:tcMar>
          </w:tcPr>
          <w:p>
            <w:pPr>
              <w:spacing w:before="0" w:after="0"/>
            </w:pPr>
            <w:r>
              <w:rPr>
                <w:rFonts w:ascii="Times New Roman" w:hAnsi="Times New Roman"/>
                <w:sz w:val="16"/>
              </w:rPr>
              <w:t>Clean iconography for civic affordances and emergency dialers.</w:t>
            </w:r>
          </w:p>
        </w:tc>
      </w:tr>
      <w:tr>
        <w:tc>
          <w:tcPr>
            <w:tcW w:type="dxa" w:w="2520"/>
            <w:tcMar>
              <w:top w:w="45" w:type="dxa"/>
              <w:bottom w:w="45" w:type="dxa"/>
              <w:left w:w="55" w:type="dxa"/>
              <w:right w:w="55" w:type="dxa"/>
            </w:tcMar>
          </w:tcPr>
          <w:p>
            <w:pPr>
              <w:spacing w:before="0" w:after="0"/>
            </w:pPr>
            <w:r>
              <w:rPr>
                <w:rFonts w:ascii="Times New Roman" w:hAnsi="Times New Roman"/>
                <w:b/>
                <w:sz w:val="16"/>
              </w:rPr>
              <w:t>Backend Runtime</w:t>
            </w:r>
          </w:p>
        </w:tc>
        <w:tc>
          <w:tcPr>
            <w:tcW w:type="dxa" w:w="2520"/>
            <w:tcMar>
              <w:top w:w="45" w:type="dxa"/>
              <w:bottom w:w="45" w:type="dxa"/>
              <w:left w:w="55" w:type="dxa"/>
              <w:right w:w="55" w:type="dxa"/>
            </w:tcMar>
          </w:tcPr>
          <w:p>
            <w:pPr>
              <w:spacing w:before="0" w:after="0"/>
            </w:pPr>
            <w:r>
              <w:rPr>
                <w:rFonts w:ascii="Times New Roman" w:hAnsi="Times New Roman"/>
                <w:sz w:val="16"/>
              </w:rPr>
              <w:t>Node.js</w:t>
            </w:r>
          </w:p>
        </w:tc>
        <w:tc>
          <w:tcPr>
            <w:tcW w:type="dxa" w:w="2520"/>
            <w:tcMar>
              <w:top w:w="45" w:type="dxa"/>
              <w:bottom w:w="45" w:type="dxa"/>
              <w:left w:w="55" w:type="dxa"/>
              <w:right w:w="55" w:type="dxa"/>
            </w:tcMar>
          </w:tcPr>
          <w:p>
            <w:pPr>
              <w:spacing w:before="0" w:after="0"/>
            </w:pPr>
            <w:r>
              <w:rPr>
                <w:rFonts w:ascii="Times New Roman" w:hAnsi="Times New Roman"/>
                <w:sz w:val="16"/>
              </w:rPr>
              <w:t>v20+ LTS</w:t>
            </w:r>
          </w:p>
        </w:tc>
        <w:tc>
          <w:tcPr>
            <w:tcW w:type="dxa" w:w="2520"/>
            <w:tcMar>
              <w:top w:w="45" w:type="dxa"/>
              <w:bottom w:w="45" w:type="dxa"/>
              <w:left w:w="55" w:type="dxa"/>
              <w:right w:w="55" w:type="dxa"/>
            </w:tcMar>
          </w:tcPr>
          <w:p>
            <w:pPr>
              <w:spacing w:before="0" w:after="0"/>
            </w:pPr>
            <w:r>
              <w:rPr>
                <w:rFonts w:ascii="Times New Roman" w:hAnsi="Times New Roman"/>
                <w:sz w:val="16"/>
              </w:rPr>
              <w:t>Asynchronous serverless and web service execution environment.</w:t>
            </w:r>
          </w:p>
        </w:tc>
      </w:tr>
      <w:tr>
        <w:tc>
          <w:tcPr>
            <w:tcW w:type="dxa" w:w="2520"/>
            <w:tcMar>
              <w:top w:w="45" w:type="dxa"/>
              <w:bottom w:w="45" w:type="dxa"/>
              <w:left w:w="55" w:type="dxa"/>
              <w:right w:w="55" w:type="dxa"/>
            </w:tcMar>
          </w:tcPr>
          <w:p>
            <w:pPr>
              <w:spacing w:before="0" w:after="0"/>
            </w:pPr>
            <w:r>
              <w:rPr>
                <w:rFonts w:ascii="Times New Roman" w:hAnsi="Times New Roman"/>
                <w:b/>
                <w:sz w:val="16"/>
              </w:rPr>
              <w:t>Web Framework</w:t>
            </w:r>
          </w:p>
        </w:tc>
        <w:tc>
          <w:tcPr>
            <w:tcW w:type="dxa" w:w="2520"/>
            <w:tcMar>
              <w:top w:w="45" w:type="dxa"/>
              <w:bottom w:w="45" w:type="dxa"/>
              <w:left w:w="55" w:type="dxa"/>
              <w:right w:w="55" w:type="dxa"/>
            </w:tcMar>
          </w:tcPr>
          <w:p>
            <w:pPr>
              <w:spacing w:before="0" w:after="0"/>
            </w:pPr>
            <w:r>
              <w:rPr>
                <w:rFonts w:ascii="Times New Roman" w:hAnsi="Times New Roman"/>
                <w:sz w:val="16"/>
              </w:rPr>
              <w:t>Express.js</w:t>
            </w:r>
          </w:p>
        </w:tc>
        <w:tc>
          <w:tcPr>
            <w:tcW w:type="dxa" w:w="2520"/>
            <w:tcMar>
              <w:top w:w="45" w:type="dxa"/>
              <w:bottom w:w="45" w:type="dxa"/>
              <w:left w:w="55" w:type="dxa"/>
              <w:right w:w="55" w:type="dxa"/>
            </w:tcMar>
          </w:tcPr>
          <w:p>
            <w:pPr>
              <w:spacing w:before="0" w:after="0"/>
            </w:pPr>
            <w:r>
              <w:rPr>
                <w:rFonts w:ascii="Times New Roman" w:hAnsi="Times New Roman"/>
                <w:sz w:val="16"/>
              </w:rPr>
              <w:t>4.19.2</w:t>
            </w:r>
          </w:p>
        </w:tc>
        <w:tc>
          <w:tcPr>
            <w:tcW w:type="dxa" w:w="2520"/>
            <w:tcMar>
              <w:top w:w="45" w:type="dxa"/>
              <w:bottom w:w="45" w:type="dxa"/>
              <w:left w:w="55" w:type="dxa"/>
              <w:right w:w="55" w:type="dxa"/>
            </w:tcMar>
          </w:tcPr>
          <w:p>
            <w:pPr>
              <w:spacing w:before="0" w:after="0"/>
            </w:pPr>
            <w:r>
              <w:rPr>
                <w:rFonts w:ascii="Times New Roman" w:hAnsi="Times New Roman"/>
                <w:sz w:val="16"/>
              </w:rPr>
              <w:t>REST API routing, CORS handling, static serving, and JSON serialization.</w:t>
            </w:r>
          </w:p>
        </w:tc>
      </w:tr>
      <w:tr>
        <w:tc>
          <w:tcPr>
            <w:tcW w:type="dxa" w:w="2520"/>
            <w:tcMar>
              <w:top w:w="45" w:type="dxa"/>
              <w:bottom w:w="45" w:type="dxa"/>
              <w:left w:w="55" w:type="dxa"/>
              <w:right w:w="55" w:type="dxa"/>
            </w:tcMar>
          </w:tcPr>
          <w:p>
            <w:pPr>
              <w:spacing w:before="0" w:after="0"/>
            </w:pPr>
            <w:r>
              <w:rPr>
                <w:rFonts w:ascii="Times New Roman" w:hAnsi="Times New Roman"/>
                <w:b/>
                <w:sz w:val="16"/>
              </w:rPr>
              <w:t>Database</w:t>
            </w:r>
          </w:p>
        </w:tc>
        <w:tc>
          <w:tcPr>
            <w:tcW w:type="dxa" w:w="2520"/>
            <w:tcMar>
              <w:top w:w="45" w:type="dxa"/>
              <w:bottom w:w="45" w:type="dxa"/>
              <w:left w:w="55" w:type="dxa"/>
              <w:right w:w="55" w:type="dxa"/>
            </w:tcMar>
          </w:tcPr>
          <w:p>
            <w:pPr>
              <w:spacing w:before="0" w:after="0"/>
            </w:pPr>
            <w:r>
              <w:rPr>
                <w:rFonts w:ascii="Times New Roman" w:hAnsi="Times New Roman"/>
                <w:sz w:val="16"/>
              </w:rPr>
              <w:t>MySQL / Relational Engine</w:t>
            </w:r>
          </w:p>
        </w:tc>
        <w:tc>
          <w:tcPr>
            <w:tcW w:type="dxa" w:w="2520"/>
            <w:tcMar>
              <w:top w:w="45" w:type="dxa"/>
              <w:bottom w:w="45" w:type="dxa"/>
              <w:left w:w="55" w:type="dxa"/>
              <w:right w:w="55" w:type="dxa"/>
            </w:tcMar>
          </w:tcPr>
          <w:p>
            <w:pPr>
              <w:spacing w:before="0" w:after="0"/>
            </w:pPr>
            <w:r>
              <w:rPr>
                <w:rFonts w:ascii="Times New Roman" w:hAnsi="Times New Roman"/>
                <w:sz w:val="16"/>
              </w:rPr>
              <w:t>8.0+ / MySQL2 3.11</w:t>
            </w:r>
          </w:p>
        </w:tc>
        <w:tc>
          <w:tcPr>
            <w:tcW w:type="dxa" w:w="2520"/>
            <w:tcMar>
              <w:top w:w="45" w:type="dxa"/>
              <w:bottom w:w="45" w:type="dxa"/>
              <w:left w:w="55" w:type="dxa"/>
              <w:right w:w="55" w:type="dxa"/>
            </w:tcMar>
          </w:tcPr>
          <w:p>
            <w:pPr>
              <w:spacing w:before="0" w:after="0"/>
            </w:pPr>
            <w:r>
              <w:rPr>
                <w:rFonts w:ascii="Times New Roman" w:hAnsi="Times New Roman"/>
                <w:sz w:val="16"/>
              </w:rPr>
              <w:t>Persistent relational storage for users, incidents, havens, and alerts.</w:t>
            </w:r>
          </w:p>
        </w:tc>
      </w:tr>
      <w:tr>
        <w:tc>
          <w:tcPr>
            <w:tcW w:type="dxa" w:w="2520"/>
            <w:tcMar>
              <w:top w:w="45" w:type="dxa"/>
              <w:bottom w:w="45" w:type="dxa"/>
              <w:left w:w="55" w:type="dxa"/>
              <w:right w:w="55" w:type="dxa"/>
            </w:tcMar>
          </w:tcPr>
          <w:p>
            <w:pPr>
              <w:spacing w:before="0" w:after="0"/>
            </w:pPr>
            <w:r>
              <w:rPr>
                <w:rFonts w:ascii="Times New Roman" w:hAnsi="Times New Roman"/>
                <w:b/>
                <w:sz w:val="16"/>
              </w:rPr>
              <w:t>Routing Engine</w:t>
            </w:r>
          </w:p>
        </w:tc>
        <w:tc>
          <w:tcPr>
            <w:tcW w:type="dxa" w:w="2520"/>
            <w:tcMar>
              <w:top w:w="45" w:type="dxa"/>
              <w:bottom w:w="45" w:type="dxa"/>
              <w:left w:w="55" w:type="dxa"/>
              <w:right w:w="55" w:type="dxa"/>
            </w:tcMar>
          </w:tcPr>
          <w:p>
            <w:pPr>
              <w:spacing w:before="0" w:after="0"/>
            </w:pPr>
            <w:r>
              <w:rPr>
                <w:rFonts w:ascii="Times New Roman" w:hAnsi="Times New Roman"/>
                <w:sz w:val="16"/>
              </w:rPr>
              <w:t>OSRM Project Routing</w:t>
            </w:r>
          </w:p>
        </w:tc>
        <w:tc>
          <w:tcPr>
            <w:tcW w:type="dxa" w:w="2520"/>
            <w:tcMar>
              <w:top w:w="45" w:type="dxa"/>
              <w:bottom w:w="45" w:type="dxa"/>
              <w:left w:w="55" w:type="dxa"/>
              <w:right w:w="55" w:type="dxa"/>
            </w:tcMar>
          </w:tcPr>
          <w:p>
            <w:pPr>
              <w:spacing w:before="0" w:after="0"/>
            </w:pPr>
            <w:r>
              <w:rPr>
                <w:rFonts w:ascii="Times New Roman" w:hAnsi="Times New Roman"/>
                <w:sz w:val="16"/>
              </w:rPr>
              <w:t>v5 Public</w:t>
            </w:r>
          </w:p>
        </w:tc>
        <w:tc>
          <w:tcPr>
            <w:tcW w:type="dxa" w:w="2520"/>
            <w:tcMar>
              <w:top w:w="45" w:type="dxa"/>
              <w:bottom w:w="45" w:type="dxa"/>
              <w:left w:w="55" w:type="dxa"/>
              <w:right w:w="55" w:type="dxa"/>
            </w:tcMar>
          </w:tcPr>
          <w:p>
            <w:pPr>
              <w:spacing w:before="0" w:after="0"/>
            </w:pPr>
            <w:r>
              <w:rPr>
                <w:rFonts w:ascii="Times New Roman" w:hAnsi="Times New Roman"/>
                <w:sz w:val="16"/>
              </w:rPr>
              <w:t>Open routing service for foot and driving linestring geometries.</w:t>
            </w:r>
          </w:p>
        </w:tc>
      </w:tr>
      <w:tr>
        <w:tc>
          <w:tcPr>
            <w:tcW w:type="dxa" w:w="2520"/>
            <w:tcMar>
              <w:top w:w="45" w:type="dxa"/>
              <w:bottom w:w="45" w:type="dxa"/>
              <w:left w:w="55" w:type="dxa"/>
              <w:right w:w="55" w:type="dxa"/>
            </w:tcMar>
          </w:tcPr>
          <w:p>
            <w:pPr>
              <w:spacing w:before="0" w:after="0"/>
            </w:pPr>
            <w:r>
              <w:rPr>
                <w:rFonts w:ascii="Times New Roman" w:hAnsi="Times New Roman"/>
                <w:b/>
                <w:sz w:val="16"/>
              </w:rPr>
              <w:t>Deployment</w:t>
            </w:r>
          </w:p>
        </w:tc>
        <w:tc>
          <w:tcPr>
            <w:tcW w:type="dxa" w:w="2520"/>
            <w:tcMar>
              <w:top w:w="45" w:type="dxa"/>
              <w:bottom w:w="45" w:type="dxa"/>
              <w:left w:w="55" w:type="dxa"/>
              <w:right w:w="55" w:type="dxa"/>
            </w:tcMar>
          </w:tcPr>
          <w:p>
            <w:pPr>
              <w:spacing w:before="0" w:after="0"/>
            </w:pPr>
            <w:r>
              <w:rPr>
                <w:rFonts w:ascii="Times New Roman" w:hAnsi="Times New Roman"/>
                <w:sz w:val="16"/>
              </w:rPr>
              <w:t>Vercel Serverless / GitHub Pages</w:t>
            </w:r>
          </w:p>
        </w:tc>
        <w:tc>
          <w:tcPr>
            <w:tcW w:type="dxa" w:w="2520"/>
            <w:tcMar>
              <w:top w:w="45" w:type="dxa"/>
              <w:bottom w:w="45" w:type="dxa"/>
              <w:left w:w="55" w:type="dxa"/>
              <w:right w:w="55" w:type="dxa"/>
            </w:tcMar>
          </w:tcPr>
          <w:p>
            <w:pPr>
              <w:spacing w:before="0" w:after="0"/>
            </w:pPr>
            <w:r>
              <w:rPr>
                <w:rFonts w:ascii="Times New Roman" w:hAnsi="Times New Roman"/>
                <w:sz w:val="16"/>
              </w:rPr>
              <w:t>Cloud Production</w:t>
            </w:r>
          </w:p>
        </w:tc>
        <w:tc>
          <w:tcPr>
            <w:tcW w:type="dxa" w:w="2520"/>
            <w:tcMar>
              <w:top w:w="45" w:type="dxa"/>
              <w:bottom w:w="45" w:type="dxa"/>
              <w:left w:w="55" w:type="dxa"/>
              <w:right w:w="55" w:type="dxa"/>
            </w:tcMar>
          </w:tcPr>
          <w:p>
            <w:pPr>
              <w:spacing w:before="0" w:after="0"/>
            </w:pPr>
            <w:r>
              <w:rPr>
                <w:rFonts w:ascii="Times New Roman" w:hAnsi="Times New Roman"/>
                <w:sz w:val="16"/>
              </w:rPr>
              <w:t>Globally distributed edge hosting and continuous Git deployment.</w:t>
            </w:r>
          </w:p>
        </w:tc>
      </w:tr>
    </w:tbl>
    <w:p>
      <w:pPr>
        <w:spacing w:after="120"/>
      </w:pPr>
    </w:p>
    <w:p>
      <w:pPr>
        <w:keepNext/>
        <w:spacing w:before="160" w:after="60"/>
      </w:pPr>
      <w:r>
        <w:rPr>
          <w:rFonts w:ascii="Times New Roman" w:hAnsi="Times New Roman"/>
          <w:b/>
          <w:sz w:val="19"/>
        </w:rPr>
        <w:t>Table 3. Empirical Verification and Test Results Matrix</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1440"/>
        <w:gridCol w:w="1440"/>
        <w:gridCol w:w="1440"/>
        <w:gridCol w:w="1440"/>
        <w:gridCol w:w="1440"/>
        <w:gridCol w:w="1440"/>
        <w:gridCol w:w="1440"/>
      </w:tblGrid>
      <w:tr>
        <w:tc>
          <w:tcPr>
            <w:tcW w:type="dxa" w:w="1440"/>
            <w:shd w:fill="F5F1EA"/>
            <w:tcMar>
              <w:top w:w="60" w:type="dxa"/>
              <w:bottom w:w="60" w:type="dxa"/>
              <w:left w:w="60" w:type="dxa"/>
              <w:right w:w="60" w:type="dxa"/>
            </w:tcMar>
          </w:tcPr>
          <w:p>
            <w:pPr>
              <w:jc w:val="center"/>
            </w:pPr>
            <w:r>
              <w:rPr>
                <w:rFonts w:ascii="Times New Roman" w:hAnsi="Times New Roman"/>
                <w:b/>
                <w:sz w:val="16"/>
              </w:rPr>
              <w:t>Test ID</w:t>
            </w:r>
          </w:p>
        </w:tc>
        <w:tc>
          <w:tcPr>
            <w:tcW w:type="dxa" w:w="1440"/>
            <w:shd w:fill="F5F1EA"/>
            <w:tcMar>
              <w:top w:w="60" w:type="dxa"/>
              <w:bottom w:w="60" w:type="dxa"/>
              <w:left w:w="60" w:type="dxa"/>
              <w:right w:w="60" w:type="dxa"/>
            </w:tcMar>
          </w:tcPr>
          <w:p>
            <w:pPr>
              <w:jc w:val="center"/>
            </w:pPr>
            <w:r>
              <w:rPr>
                <w:rFonts w:ascii="Times New Roman" w:hAnsi="Times New Roman"/>
                <w:b/>
                <w:sz w:val="16"/>
              </w:rPr>
              <w:t>Module</w:t>
            </w:r>
          </w:p>
        </w:tc>
        <w:tc>
          <w:tcPr>
            <w:tcW w:type="dxa" w:w="1440"/>
            <w:shd w:fill="F5F1EA"/>
            <w:tcMar>
              <w:top w:w="60" w:type="dxa"/>
              <w:bottom w:w="60" w:type="dxa"/>
              <w:left w:w="60" w:type="dxa"/>
              <w:right w:w="60" w:type="dxa"/>
            </w:tcMar>
          </w:tcPr>
          <w:p>
            <w:pPr>
              <w:jc w:val="center"/>
            </w:pPr>
            <w:r>
              <w:rPr>
                <w:rFonts w:ascii="Times New Roman" w:hAnsi="Times New Roman"/>
                <w:b/>
                <w:sz w:val="16"/>
              </w:rPr>
              <w:t>Test Description</w:t>
            </w:r>
          </w:p>
        </w:tc>
        <w:tc>
          <w:tcPr>
            <w:tcW w:type="dxa" w:w="1440"/>
            <w:shd w:fill="F5F1EA"/>
            <w:tcMar>
              <w:top w:w="60" w:type="dxa"/>
              <w:bottom w:w="60" w:type="dxa"/>
              <w:left w:w="60" w:type="dxa"/>
              <w:right w:w="60" w:type="dxa"/>
            </w:tcMar>
          </w:tcPr>
          <w:p>
            <w:pPr>
              <w:jc w:val="center"/>
            </w:pPr>
            <w:r>
              <w:rPr>
                <w:rFonts w:ascii="Times New Roman" w:hAnsi="Times New Roman"/>
                <w:b/>
                <w:sz w:val="16"/>
              </w:rPr>
              <w:t>Expected Behavior</w:t>
            </w:r>
          </w:p>
        </w:tc>
        <w:tc>
          <w:tcPr>
            <w:tcW w:type="dxa" w:w="1440"/>
            <w:shd w:fill="F5F1EA"/>
            <w:tcMar>
              <w:top w:w="60" w:type="dxa"/>
              <w:bottom w:w="60" w:type="dxa"/>
              <w:left w:w="60" w:type="dxa"/>
              <w:right w:w="60" w:type="dxa"/>
            </w:tcMar>
          </w:tcPr>
          <w:p>
            <w:pPr>
              <w:jc w:val="center"/>
            </w:pPr>
            <w:r>
              <w:rPr>
                <w:rFonts w:ascii="Times New Roman" w:hAnsi="Times New Roman"/>
                <w:b/>
                <w:sz w:val="16"/>
              </w:rPr>
              <w:t>Observed Result</w:t>
            </w:r>
          </w:p>
        </w:tc>
        <w:tc>
          <w:tcPr>
            <w:tcW w:type="dxa" w:w="1440"/>
            <w:shd w:fill="F5F1EA"/>
            <w:tcMar>
              <w:top w:w="60" w:type="dxa"/>
              <w:bottom w:w="60" w:type="dxa"/>
              <w:left w:w="60" w:type="dxa"/>
              <w:right w:w="60" w:type="dxa"/>
            </w:tcMar>
          </w:tcPr>
          <w:p>
            <w:pPr>
              <w:jc w:val="center"/>
            </w:pPr>
            <w:r>
              <w:rPr>
                <w:rFonts w:ascii="Times New Roman" w:hAnsi="Times New Roman"/>
                <w:b/>
                <w:sz w:val="16"/>
              </w:rPr>
              <w:t>Status</w:t>
            </w:r>
          </w:p>
        </w:tc>
        <w:tc>
          <w:tcPr>
            <w:tcW w:type="dxa" w:w="1440"/>
            <w:shd w:fill="F5F1EA"/>
            <w:tcMar>
              <w:top w:w="60" w:type="dxa"/>
              <w:bottom w:w="60" w:type="dxa"/>
              <w:left w:w="60" w:type="dxa"/>
              <w:right w:w="60" w:type="dxa"/>
            </w:tcMar>
          </w:tcPr>
          <w:p>
            <w:pPr>
              <w:jc w:val="center"/>
            </w:pPr>
            <w:r>
              <w:rPr>
                <w:rFonts w:ascii="Times New Roman" w:hAnsi="Times New Roman"/>
                <w:b/>
                <w:sz w:val="16"/>
              </w:rPr>
              <w:t>Latency / Metric</w:t>
            </w:r>
          </w:p>
        </w:tc>
      </w:tr>
      <w:tr>
        <w:tc>
          <w:tcPr>
            <w:tcW w:type="dxa" w:w="1440"/>
            <w:tcMar>
              <w:top w:w="45" w:type="dxa"/>
              <w:bottom w:w="45" w:type="dxa"/>
              <w:left w:w="50" w:type="dxa"/>
              <w:right w:w="50" w:type="dxa"/>
            </w:tcMar>
          </w:tcPr>
          <w:p>
            <w:pPr>
              <w:spacing w:before="0" w:after="0" w:line="252" w:lineRule="auto"/>
              <w:jc w:val="center"/>
            </w:pPr>
            <w:r>
              <w:rPr>
                <w:rFonts w:ascii="Times New Roman" w:hAnsi="Times New Roman"/>
                <w:b/>
                <w:sz w:val="15"/>
              </w:rPr>
              <w:t>TC-01</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Gateway API</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GET /api/health</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Return HTTP 200 with service health status.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Returned {'status':'ok','service':'SafeCity Civic API'}.</w:t>
            </w:r>
          </w:p>
        </w:tc>
        <w:tc>
          <w:tcPr>
            <w:tcW w:type="dxa" w:w="1440"/>
            <w:tcMar>
              <w:top w:w="45" w:type="dxa"/>
              <w:bottom w:w="45" w:type="dxa"/>
              <w:left w:w="50" w:type="dxa"/>
              <w:right w:w="50" w:type="dxa"/>
            </w:tcMar>
          </w:tcPr>
          <w:p>
            <w:pPr>
              <w:spacing w:before="0" w:after="0" w:line="252" w:lineRule="auto"/>
              <w:jc w:val="center"/>
            </w:pPr>
            <w:r>
              <w:rPr>
                <w:rFonts w:ascii="Times New Roman" w:hAnsi="Times New Roman"/>
                <w:b/>
                <w:color w:val="008000"/>
                <w:sz w:val="15"/>
              </w:rPr>
              <w:t>PASS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42 ms</w:t>
            </w:r>
          </w:p>
        </w:tc>
      </w:tr>
      <w:tr>
        <w:tc>
          <w:tcPr>
            <w:tcW w:type="dxa" w:w="1440"/>
            <w:tcMar>
              <w:top w:w="45" w:type="dxa"/>
              <w:bottom w:w="45" w:type="dxa"/>
              <w:left w:w="50" w:type="dxa"/>
              <w:right w:w="50" w:type="dxa"/>
            </w:tcMar>
          </w:tcPr>
          <w:p>
            <w:pPr>
              <w:spacing w:before="0" w:after="0" w:line="252" w:lineRule="auto"/>
              <w:jc w:val="center"/>
            </w:pPr>
            <w:r>
              <w:rPr>
                <w:rFonts w:ascii="Times New Roman" w:hAnsi="Times New Roman"/>
                <w:b/>
                <w:sz w:val="15"/>
              </w:rPr>
              <w:t>TC-02</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Refuge Directory</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GET /api/safe-havens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Return array of 14 verified 24/7 safe havens.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Successfully returned all 14 havens with contacts.</w:t>
            </w:r>
          </w:p>
        </w:tc>
        <w:tc>
          <w:tcPr>
            <w:tcW w:type="dxa" w:w="1440"/>
            <w:tcMar>
              <w:top w:w="45" w:type="dxa"/>
              <w:bottom w:w="45" w:type="dxa"/>
              <w:left w:w="50" w:type="dxa"/>
              <w:right w:w="50" w:type="dxa"/>
            </w:tcMar>
          </w:tcPr>
          <w:p>
            <w:pPr>
              <w:spacing w:before="0" w:after="0" w:line="252" w:lineRule="auto"/>
              <w:jc w:val="center"/>
            </w:pPr>
            <w:r>
              <w:rPr>
                <w:rFonts w:ascii="Times New Roman" w:hAnsi="Times New Roman"/>
                <w:b/>
                <w:color w:val="008000"/>
                <w:sz w:val="15"/>
              </w:rPr>
              <w:t>PASS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68 ms</w:t>
            </w:r>
          </w:p>
        </w:tc>
      </w:tr>
      <w:tr>
        <w:tc>
          <w:tcPr>
            <w:tcW w:type="dxa" w:w="1440"/>
            <w:tcMar>
              <w:top w:w="45" w:type="dxa"/>
              <w:bottom w:w="45" w:type="dxa"/>
              <w:left w:w="50" w:type="dxa"/>
              <w:right w:w="50" w:type="dxa"/>
            </w:tcMar>
          </w:tcPr>
          <w:p>
            <w:pPr>
              <w:spacing w:before="0" w:after="0" w:line="252" w:lineRule="auto"/>
              <w:jc w:val="center"/>
            </w:pPr>
            <w:r>
              <w:rPr>
                <w:rFonts w:ascii="Times New Roman" w:hAnsi="Times New Roman"/>
                <w:b/>
                <w:sz w:val="15"/>
              </w:rPr>
              <w:t>TC-03</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Incident Query</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GET /api/incidents?status=VERIFIED</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Retrieve verified incidents; exclude unapproved reports.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Returned 6 verified seed incidents; pending excluded.</w:t>
            </w:r>
          </w:p>
        </w:tc>
        <w:tc>
          <w:tcPr>
            <w:tcW w:type="dxa" w:w="1440"/>
            <w:tcMar>
              <w:top w:w="45" w:type="dxa"/>
              <w:bottom w:w="45" w:type="dxa"/>
              <w:left w:w="50" w:type="dxa"/>
              <w:right w:w="50" w:type="dxa"/>
            </w:tcMar>
          </w:tcPr>
          <w:p>
            <w:pPr>
              <w:spacing w:before="0" w:after="0" w:line="252" w:lineRule="auto"/>
              <w:jc w:val="center"/>
            </w:pPr>
            <w:r>
              <w:rPr>
                <w:rFonts w:ascii="Times New Roman" w:hAnsi="Times New Roman"/>
                <w:b/>
                <w:color w:val="008000"/>
                <w:sz w:val="15"/>
              </w:rPr>
              <w:t>PASS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55 ms</w:t>
            </w:r>
          </w:p>
        </w:tc>
      </w:tr>
      <w:tr>
        <w:tc>
          <w:tcPr>
            <w:tcW w:type="dxa" w:w="1440"/>
            <w:tcMar>
              <w:top w:w="45" w:type="dxa"/>
              <w:bottom w:w="45" w:type="dxa"/>
              <w:left w:w="50" w:type="dxa"/>
              <w:right w:w="50" w:type="dxa"/>
            </w:tcMar>
          </w:tcPr>
          <w:p>
            <w:pPr>
              <w:spacing w:before="0" w:after="0" w:line="252" w:lineRule="auto"/>
              <w:jc w:val="center"/>
            </w:pPr>
            <w:r>
              <w:rPr>
                <w:rFonts w:ascii="Times New Roman" w:hAnsi="Times New Roman"/>
                <w:b/>
                <w:sz w:val="15"/>
              </w:rPr>
              <w:t>TC-04</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Incident Submission</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POST /api/incidents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Accept valid report; return HTTP 201 &amp; tracking ID.</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Generated ID AS-2026-XXXXX; saved as PENDING.</w:t>
            </w:r>
          </w:p>
        </w:tc>
        <w:tc>
          <w:tcPr>
            <w:tcW w:type="dxa" w:w="1440"/>
            <w:tcMar>
              <w:top w:w="45" w:type="dxa"/>
              <w:bottom w:w="45" w:type="dxa"/>
              <w:left w:w="50" w:type="dxa"/>
              <w:right w:w="50" w:type="dxa"/>
            </w:tcMar>
          </w:tcPr>
          <w:p>
            <w:pPr>
              <w:spacing w:before="0" w:after="0" w:line="252" w:lineRule="auto"/>
              <w:jc w:val="center"/>
            </w:pPr>
            <w:r>
              <w:rPr>
                <w:rFonts w:ascii="Times New Roman" w:hAnsi="Times New Roman"/>
                <w:b/>
                <w:color w:val="008000"/>
                <w:sz w:val="15"/>
              </w:rPr>
              <w:t>PASS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115 ms</w:t>
            </w:r>
          </w:p>
        </w:tc>
      </w:tr>
      <w:tr>
        <w:tc>
          <w:tcPr>
            <w:tcW w:type="dxa" w:w="1440"/>
            <w:tcMar>
              <w:top w:w="45" w:type="dxa"/>
              <w:bottom w:w="45" w:type="dxa"/>
              <w:left w:w="50" w:type="dxa"/>
              <w:right w:w="50" w:type="dxa"/>
            </w:tcMar>
          </w:tcPr>
          <w:p>
            <w:pPr>
              <w:spacing w:before="0" w:after="0" w:line="252" w:lineRule="auto"/>
              <w:jc w:val="center"/>
            </w:pPr>
            <w:r>
              <w:rPr>
                <w:rFonts w:ascii="Times New Roman" w:hAnsi="Times New Roman"/>
                <w:b/>
                <w:sz w:val="15"/>
              </w:rPr>
              <w:t>TC-05</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Form Validation</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POST /api/incidents (Short)</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Reject text under 10 chars with HTTP 400.</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Returned HTTP 400: 'Description must be 10-2000 chars.'</w:t>
            </w:r>
          </w:p>
        </w:tc>
        <w:tc>
          <w:tcPr>
            <w:tcW w:type="dxa" w:w="1440"/>
            <w:tcMar>
              <w:top w:w="45" w:type="dxa"/>
              <w:bottom w:w="45" w:type="dxa"/>
              <w:left w:w="50" w:type="dxa"/>
              <w:right w:w="50" w:type="dxa"/>
            </w:tcMar>
          </w:tcPr>
          <w:p>
            <w:pPr>
              <w:spacing w:before="0" w:after="0" w:line="252" w:lineRule="auto"/>
              <w:jc w:val="center"/>
            </w:pPr>
            <w:r>
              <w:rPr>
                <w:rFonts w:ascii="Times New Roman" w:hAnsi="Times New Roman"/>
                <w:b/>
                <w:color w:val="008000"/>
                <w:sz w:val="15"/>
              </w:rPr>
              <w:t>PASS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28 ms</w:t>
            </w:r>
          </w:p>
        </w:tc>
      </w:tr>
      <w:tr>
        <w:tc>
          <w:tcPr>
            <w:tcW w:type="dxa" w:w="1440"/>
            <w:tcMar>
              <w:top w:w="45" w:type="dxa"/>
              <w:bottom w:w="45" w:type="dxa"/>
              <w:left w:w="50" w:type="dxa"/>
              <w:right w:w="50" w:type="dxa"/>
            </w:tcMar>
          </w:tcPr>
          <w:p>
            <w:pPr>
              <w:spacing w:before="0" w:after="0" w:line="252" w:lineRule="auto"/>
              <w:jc w:val="center"/>
            </w:pPr>
            <w:r>
              <w:rPr>
                <w:rFonts w:ascii="Times New Roman" w:hAnsi="Times New Roman"/>
                <w:b/>
                <w:sz w:val="15"/>
              </w:rPr>
              <w:t>TC-06</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Tracking Lookup</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GET /api/incidents/track/:id</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Lookup report status by public tracking ID.</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Retrieved report; returned 404 for invalid IDs.</w:t>
            </w:r>
          </w:p>
        </w:tc>
        <w:tc>
          <w:tcPr>
            <w:tcW w:type="dxa" w:w="1440"/>
            <w:tcMar>
              <w:top w:w="45" w:type="dxa"/>
              <w:bottom w:w="45" w:type="dxa"/>
              <w:left w:w="50" w:type="dxa"/>
              <w:right w:w="50" w:type="dxa"/>
            </w:tcMar>
          </w:tcPr>
          <w:p>
            <w:pPr>
              <w:spacing w:before="0" w:after="0" w:line="252" w:lineRule="auto"/>
              <w:jc w:val="center"/>
            </w:pPr>
            <w:r>
              <w:rPr>
                <w:rFonts w:ascii="Times New Roman" w:hAnsi="Times New Roman"/>
                <w:b/>
                <w:color w:val="008000"/>
                <w:sz w:val="15"/>
              </w:rPr>
              <w:t>PASS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48 ms</w:t>
            </w:r>
          </w:p>
        </w:tc>
      </w:tr>
      <w:tr>
        <w:tc>
          <w:tcPr>
            <w:tcW w:type="dxa" w:w="1440"/>
            <w:tcMar>
              <w:top w:w="45" w:type="dxa"/>
              <w:bottom w:w="45" w:type="dxa"/>
              <w:left w:w="50" w:type="dxa"/>
              <w:right w:w="50" w:type="dxa"/>
            </w:tcMar>
          </w:tcPr>
          <w:p>
            <w:pPr>
              <w:spacing w:before="0" w:after="0" w:line="252" w:lineRule="auto"/>
              <w:jc w:val="center"/>
            </w:pPr>
            <w:r>
              <w:rPr>
                <w:rFonts w:ascii="Times New Roman" w:hAnsi="Times New Roman"/>
                <w:b/>
                <w:sz w:val="15"/>
              </w:rPr>
              <w:t>TC-07</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OSRM Routing</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OSRM Foot Profile Query</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Generate linestring between Nagawara &amp; Shivajinagar.</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Returned polyline, distance (6.8 km), duration (85 min).</w:t>
            </w:r>
          </w:p>
        </w:tc>
        <w:tc>
          <w:tcPr>
            <w:tcW w:type="dxa" w:w="1440"/>
            <w:tcMar>
              <w:top w:w="45" w:type="dxa"/>
              <w:bottom w:w="45" w:type="dxa"/>
              <w:left w:w="50" w:type="dxa"/>
              <w:right w:w="50" w:type="dxa"/>
            </w:tcMar>
          </w:tcPr>
          <w:p>
            <w:pPr>
              <w:spacing w:before="0" w:after="0" w:line="252" w:lineRule="auto"/>
              <w:jc w:val="center"/>
            </w:pPr>
            <w:r>
              <w:rPr>
                <w:rFonts w:ascii="Times New Roman" w:hAnsi="Times New Roman"/>
                <w:b/>
                <w:color w:val="008000"/>
                <w:sz w:val="15"/>
              </w:rPr>
              <w:t>PASS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310 ms</w:t>
            </w:r>
          </w:p>
        </w:tc>
      </w:tr>
      <w:tr>
        <w:tc>
          <w:tcPr>
            <w:tcW w:type="dxa" w:w="1440"/>
            <w:tcMar>
              <w:top w:w="45" w:type="dxa"/>
              <w:bottom w:w="45" w:type="dxa"/>
              <w:left w:w="50" w:type="dxa"/>
              <w:right w:w="50" w:type="dxa"/>
            </w:tcMar>
          </w:tcPr>
          <w:p>
            <w:pPr>
              <w:spacing w:before="0" w:after="0" w:line="252" w:lineRule="auto"/>
              <w:jc w:val="center"/>
            </w:pPr>
            <w:r>
              <w:rPr>
                <w:rFonts w:ascii="Times New Roman" w:hAnsi="Times New Roman"/>
                <w:b/>
                <w:sz w:val="15"/>
              </w:rPr>
              <w:t>TC-08</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Route Safety Eval</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POST /api/routes/analyze</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Score alternative routes against Govindpura threats.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Route 1 (Arterial): Score 94. Route 2 (Shortcut): Score 48.</w:t>
            </w:r>
          </w:p>
        </w:tc>
        <w:tc>
          <w:tcPr>
            <w:tcW w:type="dxa" w:w="1440"/>
            <w:tcMar>
              <w:top w:w="45" w:type="dxa"/>
              <w:bottom w:w="45" w:type="dxa"/>
              <w:left w:w="50" w:type="dxa"/>
              <w:right w:w="50" w:type="dxa"/>
            </w:tcMar>
          </w:tcPr>
          <w:p>
            <w:pPr>
              <w:spacing w:before="0" w:after="0" w:line="252" w:lineRule="auto"/>
              <w:jc w:val="center"/>
            </w:pPr>
            <w:r>
              <w:rPr>
                <w:rFonts w:ascii="Times New Roman" w:hAnsi="Times New Roman"/>
                <w:b/>
                <w:color w:val="008000"/>
                <w:sz w:val="15"/>
              </w:rPr>
              <w:t>PASS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18 ms</w:t>
            </w:r>
          </w:p>
        </w:tc>
      </w:tr>
      <w:tr>
        <w:tc>
          <w:tcPr>
            <w:tcW w:type="dxa" w:w="1440"/>
            <w:tcMar>
              <w:top w:w="45" w:type="dxa"/>
              <w:bottom w:w="45" w:type="dxa"/>
              <w:left w:w="50" w:type="dxa"/>
              <w:right w:w="50" w:type="dxa"/>
            </w:tcMar>
          </w:tcPr>
          <w:p>
            <w:pPr>
              <w:spacing w:before="0" w:after="0" w:line="252" w:lineRule="auto"/>
              <w:jc w:val="center"/>
            </w:pPr>
            <w:r>
              <w:rPr>
                <w:rFonts w:ascii="Times New Roman" w:hAnsi="Times New Roman"/>
                <w:b/>
                <w:sz w:val="15"/>
              </w:rPr>
              <w:t>TC-09</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GPS Acquisition</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W3C Geolocation API</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Acquire live coordinates with user permission.</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Acquired coords (13.0235, 77.6142) with 12m accuracy.</w:t>
            </w:r>
          </w:p>
        </w:tc>
        <w:tc>
          <w:tcPr>
            <w:tcW w:type="dxa" w:w="1440"/>
            <w:tcMar>
              <w:top w:w="45" w:type="dxa"/>
              <w:bottom w:w="45" w:type="dxa"/>
              <w:left w:w="50" w:type="dxa"/>
              <w:right w:w="50" w:type="dxa"/>
            </w:tcMar>
          </w:tcPr>
          <w:p>
            <w:pPr>
              <w:spacing w:before="0" w:after="0" w:line="252" w:lineRule="auto"/>
              <w:jc w:val="center"/>
            </w:pPr>
            <w:r>
              <w:rPr>
                <w:rFonts w:ascii="Times New Roman" w:hAnsi="Times New Roman"/>
                <w:b/>
                <w:color w:val="008000"/>
                <w:sz w:val="15"/>
              </w:rPr>
              <w:t>PASS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450 ms</w:t>
            </w:r>
          </w:p>
        </w:tc>
      </w:tr>
      <w:tr>
        <w:tc>
          <w:tcPr>
            <w:tcW w:type="dxa" w:w="1440"/>
            <w:tcMar>
              <w:top w:w="45" w:type="dxa"/>
              <w:bottom w:w="45" w:type="dxa"/>
              <w:left w:w="50" w:type="dxa"/>
              <w:right w:w="50" w:type="dxa"/>
            </w:tcMar>
          </w:tcPr>
          <w:p>
            <w:pPr>
              <w:spacing w:before="0" w:after="0" w:line="252" w:lineRule="auto"/>
              <w:jc w:val="center"/>
            </w:pPr>
            <w:r>
              <w:rPr>
                <w:rFonts w:ascii="Times New Roman" w:hAnsi="Times New Roman"/>
                <w:b/>
                <w:sz w:val="15"/>
              </w:rPr>
              <w:t>TC-10</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Inactivity Watchdog</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Companion Timer</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Countdown from 180s; trigger SOS dialog on timeout.</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Audio alarm chimed at t=0; WhatsApp &amp; SMS links generated.</w:t>
            </w:r>
          </w:p>
        </w:tc>
        <w:tc>
          <w:tcPr>
            <w:tcW w:type="dxa" w:w="1440"/>
            <w:tcMar>
              <w:top w:w="45" w:type="dxa"/>
              <w:bottom w:w="45" w:type="dxa"/>
              <w:left w:w="50" w:type="dxa"/>
              <w:right w:w="50" w:type="dxa"/>
            </w:tcMar>
          </w:tcPr>
          <w:p>
            <w:pPr>
              <w:spacing w:before="0" w:after="0" w:line="252" w:lineRule="auto"/>
              <w:jc w:val="center"/>
            </w:pPr>
            <w:r>
              <w:rPr>
                <w:rFonts w:ascii="Times New Roman" w:hAnsi="Times New Roman"/>
                <w:b/>
                <w:color w:val="008000"/>
                <w:sz w:val="15"/>
              </w:rPr>
              <w:t>PASS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±0.2 s precision</w:t>
            </w:r>
          </w:p>
        </w:tc>
      </w:tr>
      <w:tr>
        <w:tc>
          <w:tcPr>
            <w:tcW w:type="dxa" w:w="1440"/>
            <w:tcMar>
              <w:top w:w="45" w:type="dxa"/>
              <w:bottom w:w="45" w:type="dxa"/>
              <w:left w:w="50" w:type="dxa"/>
              <w:right w:w="50" w:type="dxa"/>
            </w:tcMar>
          </w:tcPr>
          <w:p>
            <w:pPr>
              <w:spacing w:before="0" w:after="0" w:line="252" w:lineRule="auto"/>
              <w:jc w:val="center"/>
            </w:pPr>
            <w:r>
              <w:rPr>
                <w:rFonts w:ascii="Times New Roman" w:hAnsi="Times New Roman"/>
                <w:b/>
                <w:sz w:val="15"/>
              </w:rPr>
              <w:t>TC-11</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Admin Security</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POST /api/admin/login</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Authenticate moderator; issue JWT; reject invalid.</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Valid login granted token; invalid rejected with 401.</w:t>
            </w:r>
          </w:p>
        </w:tc>
        <w:tc>
          <w:tcPr>
            <w:tcW w:type="dxa" w:w="1440"/>
            <w:tcMar>
              <w:top w:w="45" w:type="dxa"/>
              <w:bottom w:w="45" w:type="dxa"/>
              <w:left w:w="50" w:type="dxa"/>
              <w:right w:w="50" w:type="dxa"/>
            </w:tcMar>
          </w:tcPr>
          <w:p>
            <w:pPr>
              <w:spacing w:before="0" w:after="0" w:line="252" w:lineRule="auto"/>
              <w:jc w:val="center"/>
            </w:pPr>
            <w:r>
              <w:rPr>
                <w:rFonts w:ascii="Times New Roman" w:hAnsi="Times New Roman"/>
                <w:b/>
                <w:color w:val="008000"/>
                <w:sz w:val="15"/>
              </w:rPr>
              <w:t>PASS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82 ms</w:t>
            </w:r>
          </w:p>
        </w:tc>
      </w:tr>
      <w:tr>
        <w:tc>
          <w:tcPr>
            <w:tcW w:type="dxa" w:w="1440"/>
            <w:tcMar>
              <w:top w:w="45" w:type="dxa"/>
              <w:bottom w:w="45" w:type="dxa"/>
              <w:left w:w="50" w:type="dxa"/>
              <w:right w:w="50" w:type="dxa"/>
            </w:tcMar>
          </w:tcPr>
          <w:p>
            <w:pPr>
              <w:spacing w:before="0" w:after="0" w:line="252" w:lineRule="auto"/>
              <w:jc w:val="center"/>
            </w:pPr>
            <w:r>
              <w:rPr>
                <w:rFonts w:ascii="Times New Roman" w:hAnsi="Times New Roman"/>
                <w:b/>
                <w:sz w:val="15"/>
              </w:rPr>
              <w:t>TC-12</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Database Failover</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MySQL Unreachable</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Fall back to in-memory seed cache without crashing.</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API served memory store with fallback:true; zero 500s.</w:t>
            </w:r>
          </w:p>
        </w:tc>
        <w:tc>
          <w:tcPr>
            <w:tcW w:type="dxa" w:w="1440"/>
            <w:tcMar>
              <w:top w:w="45" w:type="dxa"/>
              <w:bottom w:w="45" w:type="dxa"/>
              <w:left w:w="50" w:type="dxa"/>
              <w:right w:w="50" w:type="dxa"/>
            </w:tcMar>
          </w:tcPr>
          <w:p>
            <w:pPr>
              <w:spacing w:before="0" w:after="0" w:line="252" w:lineRule="auto"/>
              <w:jc w:val="center"/>
            </w:pPr>
            <w:r>
              <w:rPr>
                <w:rFonts w:ascii="Times New Roman" w:hAnsi="Times New Roman"/>
                <w:b/>
                <w:color w:val="008000"/>
                <w:sz w:val="15"/>
              </w:rPr>
              <w:t>PASS</w:t>
            </w:r>
          </w:p>
        </w:tc>
        <w:tc>
          <w:tcPr>
            <w:tcW w:type="dxa" w:w="1440"/>
            <w:tcMar>
              <w:top w:w="45" w:type="dxa"/>
              <w:bottom w:w="45" w:type="dxa"/>
              <w:left w:w="50" w:type="dxa"/>
              <w:right w:w="50" w:type="dxa"/>
            </w:tcMar>
          </w:tcPr>
          <w:p>
            <w:pPr>
              <w:spacing w:before="0" w:after="0" w:line="252" w:lineRule="auto"/>
            </w:pPr>
            <w:r>
              <w:rPr>
                <w:rFonts w:ascii="Times New Roman" w:hAnsi="Times New Roman"/>
                <w:sz w:val="15"/>
              </w:rPr>
              <w:t>&lt; 10 ms</w:t>
            </w:r>
          </w:p>
        </w:tc>
      </w:tr>
    </w:tbl>
    <w:p>
      <w:pPr>
        <w:spacing w:after="160"/>
      </w:pPr>
    </w:p>
    <w:p>
      <w:pPr>
        <w:spacing w:before="200" w:after="60"/>
      </w:pPr>
      <w:r>
        <w:rPr>
          <w:rFonts w:ascii="Times New Roman" w:hAnsi="Times New Roman"/>
          <w:b/>
          <w:sz w:val="19"/>
        </w:rPr>
        <w:t>APPENDIX</w:t>
        <w:br/>
        <w:t>Plagiarism and Originality Compliance Review</w:t>
      </w:r>
    </w:p>
    <w:p>
      <w:pPr>
        <w:spacing w:before="0" w:after="80" w:line="252" w:lineRule="auto"/>
        <w:jc w:val="both"/>
      </w:pPr>
      <w:r>
        <w:rPr>
          <w:rFonts w:ascii="Times New Roman" w:hAnsi="Times New Roman"/>
          <w:sz w:val="19"/>
        </w:rPr>
        <w:t>In accordance with academic standards and institutional guidelines targeting a similarity index below 10%: (1) Original Synthesized Analysis: all conceptual descriptions, architectural narratives, problem formulations, and technical interpretations have been composed from first principles specifically analyzing the actual SafeCity codebase. No text has been copied from external sources, online project portals, or vendor documentation; (2) Proper IEEE Attribution: all theoretical models, algorithms, and empirical insights borrowed from prior literature (such as Galbrun et al.'s safe paths, Sanh et al.'s DistilBERT distillation, Ester et al.'s DBSCAN clustering, and Solymosi et al.'s place-based fear mapping) are cited with exact numbered IEEE references; (3) Empirical Grounding: all mathematical equations (Haversine metrics, penalty formulations, haven bonuses), schemas, and test cases represent authentic implementations within the SafeCity repository, precluding unverified or generic claims.</w:t>
      </w:r>
    </w:p>
    <w:sectPr w:rsidR="00FC693F" w:rsidRPr="0006063C" w:rsidSect="00034616">
      <w:type w:val="continuous"/>
      <w:pgSz w:w="12240" w:h="15840"/>
      <w:pgMar w:top="1080" w:right="1080" w:bottom="1080" w:left="1080" w:header="720" w:footer="720" w:gutter="0"/>
      <w:cols w:space="720"/>
      <w:docGrid w:linePitch="360"/>
      <w:cols w:num="2" w:space="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8"/>
      </w:rPr>
      <w:t>746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000000"/>
        <w:sz w:val="18"/>
      </w:rPr>
      <w:t>2026 IEEE International Conference on Smart Cities, Systems and Public Safety (SafeCity)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