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A132C"/>
          <w:sz w:val="40"/>
        </w:rPr>
        <w:t>Smart Community-Based Women Protection and Incident Reporting Platform</w:t>
      </w:r>
    </w:p>
    <w:p>
      <w:pPr>
        <w:spacing w:before="0" w:after="280"/>
        <w:jc w:val="center"/>
      </w:pPr>
      <w:r>
        <w:rPr>
          <w:rFonts w:ascii="Times New Roman" w:hAnsi="Times New Roman"/>
          <w:i/>
          <w:color w:val="5C2B61"/>
          <w:sz w:val="22"/>
        </w:rPr>
        <w:t>A Unified Geospatial Architecture Integrating Crowdsourced Safety Intelligence, Multi-Criteria Route Optimization, and Live Escort Watchdogs (Platform: SafeCity)</w:t>
      </w:r>
    </w:p>
    <w:tbl>
      <w:tblPr>
        <w:tblW w:type="auto" w:w="0"/>
        <w:jc w:val="center"/>
        <w:tblLook w:firstColumn="1" w:firstRow="1" w:lastColumn="0" w:lastRow="0" w:noHBand="0" w:noVBand="1" w:val="04A0"/>
        <w:tblBorders>
          <w:top w:val="none" w:sz="0" w:space="0" w:color="FFFFFF"/>
          <w:bottom w:val="none" w:sz="0" w:space="0" w:color="FFFFFF"/>
          <w:left w:val="none"/>
          <w:right w:val="none"/>
          <w:insideH w:val="none" w:sz="0" w:space="0" w:color="FFFFFF"/>
          <w:insideV w:val="none"/>
        </w:tblBorders>
      </w:tblPr>
      <w:tblGrid>
        <w:gridCol w:w="3120"/>
        <w:gridCol w:w="3120"/>
        <w:gridCol w:w="3120"/>
      </w:tblGrid>
      <w:tr>
        <w:tc>
          <w:tcPr>
            <w:tcW w:type="dxa" w:w="3120"/>
            <w:tcMar>
              <w:top w:w="40" w:type="dxa"/>
              <w:bottom w:w="20" w:type="dxa"/>
              <w:left w:w="80" w:type="dxa"/>
              <w:right w:w="80" w:type="dxa"/>
            </w:tcMar>
          </w:tcPr>
          <w:p>
            <w:pPr>
              <w:jc w:val="center"/>
            </w:pPr>
            <w:r>
              <w:rPr>
                <w:rFonts w:ascii="Times New Roman" w:hAnsi="Times New Roman"/>
                <w:b/>
                <w:color w:val="2A132C"/>
                <w:sz w:val="21"/>
              </w:rPr>
              <w:t>AKSHAT SINGH</w:t>
            </w:r>
          </w:p>
        </w:tc>
        <w:tc>
          <w:tcPr>
            <w:tcW w:type="dxa" w:w="3120"/>
            <w:tcMar>
              <w:top w:w="40" w:type="dxa"/>
              <w:bottom w:w="20" w:type="dxa"/>
              <w:left w:w="80" w:type="dxa"/>
              <w:right w:w="80" w:type="dxa"/>
            </w:tcMar>
          </w:tcPr>
          <w:p>
            <w:pPr>
              <w:jc w:val="center"/>
            </w:pPr>
            <w:r>
              <w:rPr>
                <w:rFonts w:ascii="Times New Roman" w:hAnsi="Times New Roman"/>
                <w:b/>
                <w:color w:val="2A132C"/>
                <w:sz w:val="21"/>
              </w:rPr>
              <w:t>MOHAMMED AAHIL NOUMAN</w:t>
            </w:r>
          </w:p>
        </w:tc>
        <w:tc>
          <w:tcPr>
            <w:tcW w:type="dxa" w:w="3120"/>
            <w:tcMar>
              <w:top w:w="40" w:type="dxa"/>
              <w:bottom w:w="20" w:type="dxa"/>
              <w:left w:w="80" w:type="dxa"/>
              <w:right w:w="80" w:type="dxa"/>
            </w:tcMar>
          </w:tcPr>
          <w:p>
            <w:pPr>
              <w:jc w:val="center"/>
            </w:pPr>
            <w:r>
              <w:rPr>
                <w:rFonts w:ascii="Times New Roman" w:hAnsi="Times New Roman"/>
                <w:b/>
                <w:color w:val="2A132C"/>
                <w:sz w:val="21"/>
              </w:rPr>
              <w:t>SIDDIQ</w:t>
            </w:r>
          </w:p>
        </w:tc>
      </w:tr>
      <w:tr>
        <w:tc>
          <w:tcPr>
            <w:tcW w:type="dxa" w:w="3120"/>
            <w:tcMar>
              <w:top w:w="20" w:type="dxa"/>
              <w:bottom w:w="60" w:type="dxa"/>
              <w:left w:w="80" w:type="dxa"/>
              <w:right w:w="80" w:type="dxa"/>
            </w:tcMar>
          </w:tcPr>
          <w:p>
            <w:pPr>
              <w:jc w:val="center"/>
            </w:pPr>
            <w:r>
              <w:rPr>
                <w:rFonts w:ascii="Times New Roman" w:hAnsi="Times New Roman"/>
                <w:color w:val="504B46"/>
                <w:sz w:val="18"/>
              </w:rPr>
              <w:t>School of Computer Science and Engineering</w:t>
              <w:br/>
              <w:t>Presidency University, Bengaluru</w:t>
              <w:br/>
              <w:t>Email: author1@institution.edu</w:t>
            </w:r>
          </w:p>
        </w:tc>
        <w:tc>
          <w:tcPr>
            <w:tcW w:type="dxa" w:w="3120"/>
            <w:tcMar>
              <w:top w:w="20" w:type="dxa"/>
              <w:bottom w:w="60" w:type="dxa"/>
              <w:left w:w="80" w:type="dxa"/>
              <w:right w:w="80" w:type="dxa"/>
            </w:tcMar>
          </w:tcPr>
          <w:p>
            <w:pPr>
              <w:jc w:val="center"/>
            </w:pPr>
            <w:r>
              <w:rPr>
                <w:rFonts w:ascii="Times New Roman" w:hAnsi="Times New Roman"/>
                <w:color w:val="504B46"/>
                <w:sz w:val="18"/>
              </w:rPr>
              <w:t>School of Computer Science and Engineering</w:t>
              <w:br/>
              <w:t>Presidency University, Bengaluru</w:t>
              <w:br/>
              <w:t>Email: author2@institution.edu</w:t>
            </w:r>
          </w:p>
        </w:tc>
        <w:tc>
          <w:tcPr>
            <w:tcW w:type="dxa" w:w="3120"/>
            <w:tcMar>
              <w:top w:w="20" w:type="dxa"/>
              <w:bottom w:w="60" w:type="dxa"/>
              <w:left w:w="80" w:type="dxa"/>
              <w:right w:w="80" w:type="dxa"/>
            </w:tcMar>
          </w:tcPr>
          <w:p>
            <w:pPr>
              <w:jc w:val="center"/>
            </w:pPr>
            <w:r>
              <w:rPr>
                <w:rFonts w:ascii="Times New Roman" w:hAnsi="Times New Roman"/>
                <w:color w:val="504B46"/>
                <w:sz w:val="18"/>
              </w:rPr>
              <w:t>School of Computer Science and Engineering</w:t>
              <w:br/>
              <w:t>Presidency University, Bengaluru</w:t>
              <w:br/>
              <w:t>Email: author3@institution.edu</w:t>
            </w:r>
          </w:p>
        </w:tc>
      </w:tr>
    </w:tbl>
    <w:p>
      <w:pPr>
        <w:spacing w:before="160" w:after="320"/>
        <w:jc w:val="center"/>
      </w:pPr>
      <w:r>
        <w:rPr>
          <w:b/>
          <w:sz w:val="20"/>
        </w:rPr>
        <w:t xml:space="preserve">Project Guide: </w:t>
      </w:r>
      <w:r>
        <w:rPr>
          <w:color w:val="3C3732"/>
          <w:sz w:val="20"/>
        </w:rPr>
        <w:t>Mr. Muthuraju V., Assistant Professor, School of Computer Science and Engineering</w:t>
      </w:r>
    </w:p>
    <w:tbl>
      <w:tblPr>
        <w:tblW w:type="auto" w:w="0"/>
        <w:jc w:val="center"/>
        <w:tblLook w:firstColumn="1" w:firstRow="1" w:lastColumn="0" w:lastRow="0" w:noHBand="0" w:noVBand="1" w:val="04A0"/>
        <w:tblBorders>
          <w:top w:val="single" w:sz="8" w:space="0" w:color="91479A"/>
          <w:bottom w:val="single" w:sz="8" w:space="0" w:color="91479A"/>
          <w:left w:val="none"/>
          <w:right w:val="none"/>
          <w:insideH w:val="single" w:sz="8" w:space="0" w:color="91479A"/>
          <w:insideV w:val="none"/>
        </w:tblBorders>
      </w:tblPr>
      <w:tblGrid>
        <w:gridCol w:w="9360"/>
      </w:tblGrid>
      <w:tr>
        <w:tc>
          <w:tcPr>
            <w:tcW w:type="dxa" w:w="9360"/>
            <w:shd w:fill="FAF5FB"/>
            <w:tcMar>
              <w:top w:w="160" w:type="dxa"/>
              <w:bottom w:w="160" w:type="dxa"/>
              <w:left w:w="200" w:type="dxa"/>
              <w:right w:w="200" w:type="dxa"/>
            </w:tcMar>
          </w:tcPr>
          <w:p>
            <w:pPr>
              <w:spacing w:before="0" w:after="120"/>
            </w:pPr>
            <w:r>
              <w:rPr>
                <w:rFonts w:ascii="Times New Roman" w:hAnsi="Times New Roman"/>
                <w:b/>
                <w:color w:val="2A132C"/>
                <w:sz w:val="20"/>
              </w:rPr>
              <w:t>Abstract—</w:t>
            </w:r>
            <w:r>
              <w:rPr>
                <w:rFonts w:ascii="Times New Roman" w:hAnsi="Times New Roman"/>
                <w:i/>
                <w:sz w:val="19"/>
              </w:rPr>
              <w:t>Personal safety in rapidly expanding urban centers remains one of the most pressing civic and public health challenges globally, with street harassment, stalking, and unlit urban transit corridors disproportionately affecting women and night commuters. Existing technological interventions are largely reactive, relying on manual distress triggers or panic buttons that are deployed only after an imminent assault or physical confrontation has commenced. Furthermore, official municipal crime records suffer from a severe 'dark figure of crime,' wherein more than 70% of street-level harassment incidents go unrecorded due to social stigma, fear of retaliation, and administrative reporting friction. This paper presents SafeCity, a smart, community-driven women's protection and proactive incident reporting platform engineered to bridge the gap between crowdsourced safety intelligence and pre-emptive civic navigation.</w:t>
              <w:br/>
              <w:br/>
              <w:t>SafeCity combines anonymous, privacy-preserving incident reporting with real-time geospatial visualization, safety-aware multi-criteria route optimization, live GPS companion tracking, and conversational AI guidance. Built on a modular full-stack architecture comprising a responsive frontend interface, a resilient Node.js/Express REST API gateway, and relational spatial data stores, SafeCity evaluates pedestrian routes against an empirical risk matrix incorporating verified incident proximity and a curated network of 24/7 safe refuge havens (including police stations, trauma centers, and continuous pharmacies). Empirical system evaluations across suburban and commercial corridors in Bengaluru demonstrate sub-second dynamic route generation (median response time of 320 ms), resilient high-accuracy GPS corridor tracking, and transparent route safety scoring. By systematically integrating grassroots citizen telemetry with preventative transit guidance, SafeCity demonstrates how civic web technologies can empower commuters before dangerous environments are entered.</w:t>
            </w:r>
          </w:p>
          <w:p>
            <w:pPr>
              <w:spacing w:before="80" w:after="0"/>
            </w:pPr>
            <w:r>
              <w:rPr>
                <w:b/>
                <w:color w:val="2A132C"/>
                <w:sz w:val="19"/>
              </w:rPr>
              <w:t>Keywords—</w:t>
            </w:r>
            <w:r>
              <w:rPr>
                <w:color w:val="3C3732"/>
                <w:sz w:val="19"/>
              </w:rPr>
              <w:t>Women's Safety, Community-Based Incident Reporting, Geographic Information Systems (GIS), Location-Based Services, Safety-Aware Route Planning, GPS Tracking, Emergency Assistance, Intelligent Chatbots.</w:t>
            </w:r>
          </w:p>
        </w:tc>
      </w:tr>
    </w:tbl>
    <w:p>
      <w:pPr>
        <w:spacing w:after="160"/>
      </w:pPr>
    </w:p>
    <w:p>
      <w:pPr>
        <w:keepNext/>
        <w:spacing w:before="280" w:after="80"/>
      </w:pPr>
      <w:r>
        <w:rPr>
          <w:rFonts w:ascii="Times New Roman" w:hAnsi="Times New Roman"/>
          <w:b/>
          <w:color w:val="2A132C"/>
          <w:sz w:val="22"/>
        </w:rPr>
        <w:t>1. INTRODUCTION</w:t>
      </w:r>
    </w:p>
    <w:p>
      <w:pPr>
        <w:spacing w:before="0" w:after="100" w:line="276" w:lineRule="auto"/>
      </w:pPr>
      <w:r>
        <w:rPr>
          <w:rFonts w:ascii="Times New Roman" w:hAnsi="Times New Roman"/>
          <w:sz w:val="20"/>
        </w:rPr>
        <w:t>Ensuring freedom of movement and physical security for women in urban public spaces is a foundational prerequisite for social equity, economic participation, and public health [1]. Despite legislative measures and law enforcement initiatives, urban transit environments—including bus terminals, pedestrian underpasses, deserted arterial roads, and poorly illuminated residential connectors—frequently present elevated risks of verbal harassment, stalking, intimidation, and physical violence [2]. In metropolitan regions such as Bengaluru, India, the rapid decentralization of tech corridors and industrial hubs has outpaced municipal infrastructure development, creating severe spatial disparities in street lighting, police surveillance, and public transit connectivity.</w:t>
      </w:r>
    </w:p>
    <w:p>
      <w:pPr>
        <w:spacing w:before="0" w:after="100" w:line="276" w:lineRule="auto"/>
      </w:pPr>
      <w:r>
        <w:rPr>
          <w:rFonts w:ascii="Times New Roman" w:hAnsi="Times New Roman"/>
          <w:sz w:val="20"/>
        </w:rPr>
        <w:t>Historically, mobile safety technologies designed for women have predominantly adopted reactive paradigms. Commercial personal safety applications and government-mandated panic switches generally operate on an emergency-dispatch model: when a user perceives an immediate, acute threat, they press a physical or on-screen button to transmit distress SMS alerts or dial emergency dispatchers [3]. While indispensable during severe emergencies, reactive systems suffer from critical operational limitations: (1) in active confrontation or ambush scenarios, victims often lack the physical liberty, time, or presence of mind to unlock a mobile device and trigger an alarm; (2) panic systems do not alter the environmental conditions that facilitated the confrontation, nor do they assist commuters in avoiding hazardous corridors prior to entry; and (3) official crime statistics capture only a minute fraction of everyday street harassment, creating a pervasive information void that prevents urban planners and other commuters from identifying localized safety deficits [4].</w:t>
      </w:r>
    </w:p>
    <w:p>
      <w:pPr>
        <w:spacing w:before="0" w:after="100" w:line="276" w:lineRule="auto"/>
      </w:pPr>
      <w:r>
        <w:rPr>
          <w:rFonts w:ascii="Times New Roman" w:hAnsi="Times New Roman"/>
          <w:sz w:val="20"/>
        </w:rPr>
        <w:t>Concurrently, mainstream navigation systems (e.g., Google Maps, Apple Maps, OpenStreetMap routing engines) are fundamentally optimized around single-objective kinematic metrics: minimizing travel distance or minimizing travel time [5], [6]. These algorithms route pedestrians along narrow, unlit alleys, deserted service lanes, or high-incident zones simply because they represent the mathematically shortest trajectory between origin and destination.</w:t>
      </w:r>
    </w:p>
    <w:p>
      <w:pPr>
        <w:spacing w:before="0" w:after="100" w:line="276" w:lineRule="auto"/>
      </w:pPr>
      <w:r>
        <w:rPr>
          <w:rFonts w:ascii="Times New Roman" w:hAnsi="Times New Roman"/>
          <w:sz w:val="20"/>
        </w:rPr>
        <w:t>To address these systemic deficiencies, this paper presents SafeCity, an integrated, smart community-based women's protection and proactive incident reporting platform. SafeCity unifies crowdsourced, confidential incident intake, dynamic safety-aware route optimization, real-time GPS companion tracking, 24/7 verified civic refuge directories, and conversational guidance into an accessible web platform.</w:t>
      </w:r>
    </w:p>
    <w:p>
      <w:pPr>
        <w:keepNext/>
        <w:spacing w:before="280" w:after="80"/>
      </w:pPr>
      <w:r>
        <w:rPr>
          <w:rFonts w:ascii="Times New Roman" w:hAnsi="Times New Roman"/>
          <w:b/>
          <w:color w:val="2A132C"/>
          <w:sz w:val="22"/>
        </w:rPr>
        <w:t>2. PROBLEM STATEMENT</w:t>
      </w:r>
    </w:p>
    <w:p>
      <w:pPr>
        <w:spacing w:before="0" w:after="100" w:line="276" w:lineRule="auto"/>
      </w:pPr>
      <w:r>
        <w:rPr>
          <w:rFonts w:ascii="Times New Roman" w:hAnsi="Times New Roman"/>
          <w:sz w:val="20"/>
        </w:rPr>
        <w:t>Modern urban women and vulnerable commuters navigate cities under conditions of severe information asymmetry and fragmented safety resources. This overarching challenge manifests across four core engineering and societal dimensions:</w:t>
      </w:r>
    </w:p>
    <w:p>
      <w:pPr>
        <w:spacing w:before="0" w:after="100" w:line="276" w:lineRule="auto"/>
      </w:pPr>
      <w:r>
        <w:rPr>
          <w:rFonts w:ascii="Times New Roman" w:hAnsi="Times New Roman"/>
          <w:sz w:val="20"/>
        </w:rPr>
        <w:t>1. Information Fragmentation and Underreporting: Everyday safety hazards—such as non-functioning street illumination, persistent catcalling, stalking at subway exits, and unlicensed loitering—are rarely reported to police stations due to lengthy bureaucratic procedures, fear of victim blaming, and perceived police inaction [4]. Consequently, there is no centralized, real-time civic repository capturing localized, ground-truth street safety conditions.</w:t>
      </w:r>
    </w:p>
    <w:p>
      <w:pPr>
        <w:spacing w:before="0" w:after="100" w:line="276" w:lineRule="auto"/>
      </w:pPr>
      <w:r>
        <w:rPr>
          <w:rFonts w:ascii="Times New Roman" w:hAnsi="Times New Roman"/>
          <w:sz w:val="20"/>
        </w:rPr>
        <w:t>2. Safety-Agnostic Urban Navigation: Commercial routing engines treat all walkable street segments uniformly based solely on distance, topological connectivity, and estimated pedestrian speed [6]. Consequently, night commuters are frequently routed through hazardous, unmonitored alleys simply because they save 50 meters of walking distance, directly exacerbating vulnerability.</w:t>
      </w:r>
    </w:p>
    <w:p>
      <w:pPr>
        <w:spacing w:before="0" w:after="100" w:line="276" w:lineRule="auto"/>
      </w:pPr>
      <w:r>
        <w:rPr>
          <w:rFonts w:ascii="Times New Roman" w:hAnsi="Times New Roman"/>
          <w:sz w:val="20"/>
        </w:rPr>
        <w:t>3. Absence of Proactive Escort Mechanisms: Solo night commuters walking from transit stops to their residences lack continuous journey-monitoring tools. Standard messaging apps require active manual check-ins. If a commuter is incapacitated, disoriented, or cornered, they are unable to send updates, leading to catastrophic delays in family or guardian awareness.</w:t>
      </w:r>
    </w:p>
    <w:p>
      <w:pPr>
        <w:spacing w:before="0" w:after="100" w:line="276" w:lineRule="auto"/>
      </w:pPr>
      <w:r>
        <w:rPr>
          <w:rFonts w:ascii="Times New Roman" w:hAnsi="Times New Roman"/>
          <w:sz w:val="20"/>
        </w:rPr>
        <w:t>4. Disjointed Emergency Refuge Access: During an escalating street threat, a fleeing individual does not know the exact location, distance, or operating status of immediate safe havens (such as 24-hour open pharmacies, staffed police outposts, or emergency hospital trauma centers). Searching generic search engines under severe stress produces stale, closed, or non-verified results.</w:t>
      </w:r>
    </w:p>
    <w:p>
      <w:pPr>
        <w:keepNext/>
        <w:spacing w:before="280" w:after="80"/>
      </w:pPr>
      <w:r>
        <w:rPr>
          <w:rFonts w:ascii="Times New Roman" w:hAnsi="Times New Roman"/>
          <w:b/>
          <w:color w:val="2A132C"/>
          <w:sz w:val="22"/>
        </w:rPr>
        <w:t>3. RESEARCH OBJECTIVES AND CONTRIBUTIONS</w:t>
      </w:r>
    </w:p>
    <w:p>
      <w:pPr>
        <w:keepNext/>
        <w:spacing w:before="200" w:after="60"/>
      </w:pPr>
      <w:r>
        <w:rPr>
          <w:rFonts w:ascii="Times New Roman" w:hAnsi="Times New Roman"/>
          <w:b/>
          <w:i/>
          <w:color w:val="5C2B61"/>
          <w:sz w:val="21"/>
        </w:rPr>
        <w:t>3.1 Research Objectives</w:t>
      </w:r>
    </w:p>
    <w:p>
      <w:pPr>
        <w:spacing w:before="0" w:after="100" w:line="276" w:lineRule="auto"/>
      </w:pPr>
      <w:r>
        <w:rPr>
          <w:rFonts w:ascii="Times New Roman" w:hAnsi="Times New Roman"/>
          <w:sz w:val="20"/>
        </w:rPr>
        <w:t>The primary objective of the SafeCity project is to design, implement, and rigorously evaluate an end-to-end, privacy-preserving, web-accessible public safety platform that empowers urban commuters with preventative intelligence. Specific operational objectives include:</w:t>
      </w:r>
    </w:p>
    <w:p>
      <w:pPr>
        <w:spacing w:before="0" w:after="100" w:line="276" w:lineRule="auto"/>
      </w:pPr>
      <w:r>
        <w:rPr>
          <w:rFonts w:ascii="Times New Roman" w:hAnsi="Times New Roman"/>
          <w:sz w:val="20"/>
        </w:rPr>
        <w:t>• Objective 1 (Confidential Reporting): Engineer a web-based incident intake module supporting anonymous geospatial reporting, multi-tier severity classification, and automated tracking ticket generation without logging personally identifiable device data.</w:t>
      </w:r>
    </w:p>
    <w:p>
      <w:pPr>
        <w:spacing w:before="0" w:after="100" w:line="276" w:lineRule="auto"/>
      </w:pPr>
      <w:r>
        <w:rPr>
          <w:rFonts w:ascii="Times New Roman" w:hAnsi="Times New Roman"/>
          <w:sz w:val="20"/>
        </w:rPr>
        <w:t>• Objective 2 (Spatial Incident Moderation): Implement an administrative moderation pipeline that allows verified civic moderators to validate, categorize, and publish incident reports to prevent misinformation and panic.</w:t>
      </w:r>
    </w:p>
    <w:p>
      <w:pPr>
        <w:spacing w:before="0" w:after="100" w:line="276" w:lineRule="auto"/>
      </w:pPr>
      <w:r>
        <w:rPr>
          <w:rFonts w:ascii="Times New Roman" w:hAnsi="Times New Roman"/>
          <w:sz w:val="20"/>
        </w:rPr>
        <w:t>• Objective 3 (Safety-Aware Routing): Develop a multi-criteria path evaluation algorithm that combines OSRM route geometries with spatial incident buffers and safe haven proximity to generate quantifiable Route Safety Scores.</w:t>
      </w:r>
    </w:p>
    <w:p>
      <w:pPr>
        <w:spacing w:before="0" w:after="100" w:line="276" w:lineRule="auto"/>
      </w:pPr>
      <w:r>
        <w:rPr>
          <w:rFonts w:ascii="Times New Roman" w:hAnsi="Times New Roman"/>
          <w:sz w:val="20"/>
        </w:rPr>
        <w:t>• Objective 4 (Live Companion Escort): Deploy a browser-based, continuous GPS tracking corridor featuring high-accuracy coordinate acquisition, breadcrumb rendering, and an automated 180-second inactivity watchdog with multi-channel SOS dispatch.</w:t>
      </w:r>
    </w:p>
    <w:p>
      <w:pPr>
        <w:spacing w:before="0" w:after="100" w:line="276" w:lineRule="auto"/>
      </w:pPr>
      <w:r>
        <w:rPr>
          <w:rFonts w:ascii="Times New Roman" w:hAnsi="Times New Roman"/>
          <w:sz w:val="20"/>
        </w:rPr>
        <w:t>• Objective 5 (Refuge Haven Directory): Curate and spatially index a verified network of 24/7 active civic refuge safe havens with real-time distance calculations and 1-tap communications.</w:t>
      </w:r>
    </w:p>
    <w:p>
      <w:pPr>
        <w:spacing w:before="0" w:after="100" w:line="276" w:lineRule="auto"/>
      </w:pPr>
      <w:r>
        <w:rPr>
          <w:rFonts w:ascii="Times New Roman" w:hAnsi="Times New Roman"/>
          <w:sz w:val="20"/>
        </w:rPr>
        <w:t>• Objective 6 (Conversational Safety Assistance): Integrate a rule- and context-aware conversational agent capable of answering safety queries, initiating route planning, and executing emergency workflows.</w:t>
      </w:r>
    </w:p>
    <w:p>
      <w:pPr>
        <w:keepNext/>
        <w:spacing w:before="200" w:after="60"/>
      </w:pPr>
      <w:r>
        <w:rPr>
          <w:rFonts w:ascii="Times New Roman" w:hAnsi="Times New Roman"/>
          <w:b/>
          <w:i/>
          <w:color w:val="5C2B61"/>
          <w:sz w:val="21"/>
        </w:rPr>
        <w:t>3.2 Technical Contributions</w:t>
      </w:r>
    </w:p>
    <w:p>
      <w:pPr>
        <w:spacing w:before="0" w:after="100" w:line="276" w:lineRule="auto"/>
      </w:pPr>
      <w:r>
        <w:rPr>
          <w:rFonts w:ascii="Times New Roman" w:hAnsi="Times New Roman"/>
          <w:sz w:val="20"/>
        </w:rPr>
        <w:t>The concrete contributions of this research, verified in the implemented SafeCity codebase, are:</w:t>
      </w:r>
    </w:p>
    <w:p>
      <w:pPr>
        <w:spacing w:before="0" w:after="100" w:line="276" w:lineRule="auto"/>
      </w:pPr>
      <w:r>
        <w:rPr>
          <w:rFonts w:ascii="Times New Roman" w:hAnsi="Times New Roman"/>
          <w:sz w:val="20"/>
        </w:rPr>
        <w:t>1. Unified Full-Stack Architecture: Unlike disjointed prototypes that separate reporting from navigation, SafeCity integrates reporting, moderation, spatial GIS mapping, multi-criteria routing, and virtual escorts into a cohesive, responsive web platform accessible without mandatory native app downloads.</w:t>
      </w:r>
    </w:p>
    <w:p>
      <w:pPr>
        <w:spacing w:before="0" w:after="100" w:line="276" w:lineRule="auto"/>
      </w:pPr>
      <w:r>
        <w:rPr>
          <w:rFonts w:ascii="Times New Roman" w:hAnsi="Times New Roman"/>
          <w:sz w:val="20"/>
        </w:rPr>
        <w:t>2. Mathematical Safety Scoring Formulation: A reproducible, multi-parameter route safety evaluation model based on spherical Haversine distance buffering that balances risk penalties (weighted by incident severity and proximity) against safe refuge bonuses.</w:t>
      </w:r>
    </w:p>
    <w:p>
      <w:pPr>
        <w:spacing w:before="0" w:after="100" w:line="276" w:lineRule="auto"/>
      </w:pPr>
      <w:r>
        <w:rPr>
          <w:rFonts w:ascii="Times New Roman" w:hAnsi="Times New Roman"/>
          <w:sz w:val="20"/>
        </w:rPr>
        <w:t>3. Zero-Installation Inactivity Watchdog: A client-side journey monitoring engine utilizing the HTML5 Geolocation API that detects stationary anomalies without requiring specialized wearable hardware or proprietary background service Daemons.</w:t>
      </w:r>
    </w:p>
    <w:p>
      <w:pPr>
        <w:spacing w:before="0" w:after="100" w:line="276" w:lineRule="auto"/>
      </w:pPr>
      <w:r>
        <w:rPr>
          <w:rFonts w:ascii="Times New Roman" w:hAnsi="Times New Roman"/>
          <w:sz w:val="20"/>
        </w:rPr>
        <w:t>4. Two-Tier Privacy Framework: Strict separation between public mapping (anonymized coordinates and aggregate threat levels) and administrative moderation records, safeguarding victim identities against deanonymization attacks.</w:t>
      </w:r>
    </w:p>
    <w:p>
      <w:pPr>
        <w:keepNext/>
        <w:spacing w:before="280" w:after="80"/>
      </w:pPr>
      <w:r>
        <w:rPr>
          <w:rFonts w:ascii="Times New Roman" w:hAnsi="Times New Roman"/>
          <w:b/>
          <w:color w:val="2A132C"/>
          <w:sz w:val="22"/>
        </w:rPr>
        <w:t>4. LITERATURE REVIEW AND RELATED WORK</w:t>
      </w:r>
    </w:p>
    <w:p>
      <w:pPr>
        <w:spacing w:before="0" w:after="100" w:line="276" w:lineRule="auto"/>
      </w:pPr>
      <w:r>
        <w:rPr>
          <w:rFonts w:ascii="Times New Roman" w:hAnsi="Times New Roman"/>
          <w:sz w:val="20"/>
        </w:rPr>
        <w:t>To establish the academic foundation of this work, this section reviews relevant literature across mobile safety systems, crowdsourced reporting, GIS spatial analysis, crime-aware navigation, GPS tracking, conversational AI, and location privacy.</w:t>
      </w:r>
    </w:p>
    <w:p>
      <w:pPr>
        <w:keepNext/>
        <w:spacing w:before="200" w:after="60"/>
      </w:pPr>
      <w:r>
        <w:rPr>
          <w:rFonts w:ascii="Times New Roman" w:hAnsi="Times New Roman"/>
          <w:b/>
          <w:i/>
          <w:color w:val="5C2B61"/>
          <w:sz w:val="21"/>
        </w:rPr>
        <w:t>4.1 Mobile Women's Safety Applications and Emergency Systems</w:t>
      </w:r>
    </w:p>
    <w:p>
      <w:pPr>
        <w:spacing w:before="0" w:after="100" w:line="276" w:lineRule="auto"/>
      </w:pPr>
      <w:r>
        <w:rPr>
          <w:rFonts w:ascii="Times New Roman" w:hAnsi="Times New Roman"/>
          <w:sz w:val="20"/>
        </w:rPr>
        <w:t>Early technological interventions for women's safety focused primarily on mobile hardware integrations and smartphone applications equipped with panic buttons. Prasad et al. [3] developed 'Abhaya,' an Android application that registers emergency contacts and dispatches automated SMS messages with GPS coordinates upon single-click activation. While demonstrating the utility of mobile telephony in emergency communication, the system was entirely reactive, offering zero pre-journey hazard awareness or environmental risk guidance. Harikiran et al. [7] explored Internet of Things (IoT) wearable solutions, developing an automated security device equipped with microcontroller sensors and GSM/GPS modules designed to trigger sirens and send alerts upon detecting physical distress or sudden impacts. While IoT hardware mitigates the requirement of actively handling a smartphone, physical wearables introduce severe real-world constraints, including battery depletion, sensor false-positives, high manufacturing costs, and social reluctance to wear visible protective equipment.</w:t>
      </w:r>
    </w:p>
    <w:p>
      <w:pPr>
        <w:keepNext/>
        <w:spacing w:before="200" w:after="60"/>
      </w:pPr>
      <w:r>
        <w:rPr>
          <w:rFonts w:ascii="Times New Roman" w:hAnsi="Times New Roman"/>
          <w:b/>
          <w:i/>
          <w:color w:val="5C2B61"/>
          <w:sz w:val="21"/>
        </w:rPr>
        <w:t>4.2 Crowdsourced Incident Reporting and Participatory Sensing</w:t>
      </w:r>
    </w:p>
    <w:p>
      <w:pPr>
        <w:spacing w:before="0" w:after="100" w:line="276" w:lineRule="auto"/>
      </w:pPr>
      <w:r>
        <w:rPr>
          <w:rFonts w:ascii="Times New Roman" w:hAnsi="Times New Roman"/>
          <w:sz w:val="20"/>
        </w:rPr>
        <w:t>The concept of using citizen sensing to map public safety hazards was popularized by non-governmental civic initiatives. Lea, D'Silva, and Asok [4] conducted a foundational empirical analysis of crowdsourced data collected via the 'Safecity' initiative by the Red Dot Foundation, examining over 10,000 community reports of sexual harassment and assault on public buses in India. Their study demonstrated that women actively adopt avoidance and resistance strategies, and that anonymous crowdsourced data uncovers pervasive micro-spatial patterns of harassment that are completely absent from police first-information reports (FIRs). However, the original Safecity platform operated primarily as a retrospective advocacy archive, lacking integration with real-time routing engines or live journey tracking. Solymosi et al. [8] conducted a comprehensive systematic review of mobile applications and crowdsourcing approaches designed to measure the 'fear of crime' in place-based urban environments. They revealed that while app-based crowdsourcing captures micro-spatial perceptions effectively, existing applications rarely translate these localized fear metrics into actionable navigational assistance for pedestrians.</w:t>
      </w:r>
    </w:p>
    <w:p>
      <w:pPr>
        <w:keepNext/>
        <w:spacing w:before="200" w:after="60"/>
      </w:pPr>
      <w:r>
        <w:rPr>
          <w:rFonts w:ascii="Times New Roman" w:hAnsi="Times New Roman"/>
          <w:b/>
          <w:i/>
          <w:color w:val="5C2B61"/>
          <w:sz w:val="21"/>
        </w:rPr>
        <w:t>4.3 GIS-Based Spatial Analysis and Crime Mapping</w:t>
      </w:r>
    </w:p>
    <w:p>
      <w:pPr>
        <w:spacing w:before="0" w:after="100" w:line="276" w:lineRule="auto"/>
      </w:pPr>
      <w:r>
        <w:rPr>
          <w:rFonts w:ascii="Times New Roman" w:hAnsi="Times New Roman"/>
          <w:sz w:val="20"/>
        </w:rPr>
        <w:t>Spatial analysis within Geographic Information Systems (GIS) has long served as a cornerstone of environmental criminology. Chainey, Tompson, and Uhlig [9] investigated the predictive utility of various spatial hotspot mapping techniques, comparing spatial ellipses, thematic grid mapping, and Kernel Density Estimation (KDE) across robbery, burglary, and vehicle theft callouts. Their findings confirmed that spatial clustering techniques—particularly density-based algorithms—significantly outperform administrative boundary mapping in predicting near-future street crime incidents. Ester et al. [10] established the foundational Density-Based Spatial Clustering of Applications with Noise (DBSCAN) algorithm. DBSCAN is uniquely suited for geographic incident data because it discovers clusters of arbitrary geometric shape (such as linear street corridors and irregular market squares) and isolates unclustered outlier noise without requiring the investigator to pre-specify the cluster count k.</w:t>
      </w:r>
    </w:p>
    <w:p>
      <w:pPr>
        <w:keepNext/>
        <w:spacing w:before="200" w:after="60"/>
      </w:pPr>
      <w:r>
        <w:rPr>
          <w:rFonts w:ascii="Times New Roman" w:hAnsi="Times New Roman"/>
          <w:b/>
          <w:i/>
          <w:color w:val="5C2B61"/>
          <w:sz w:val="21"/>
        </w:rPr>
        <w:t>4.4 Safety-Aware Route Planning and Crime-Avoidant Navigation</w:t>
      </w:r>
    </w:p>
    <w:p>
      <w:pPr>
        <w:spacing w:before="0" w:after="100" w:line="276" w:lineRule="auto"/>
      </w:pPr>
      <w:r>
        <w:rPr>
          <w:rFonts w:ascii="Times New Roman" w:hAnsi="Times New Roman"/>
          <w:sz w:val="20"/>
        </w:rPr>
        <w:t>The limitations of shortest-path algorithms in urban pedestrian navigation led researchers to formulate multi-objective pathfinding models. Galbrun, Pelechrinis, and Terzi [5] published the seminal 'SAFEPATHS' framework in Information Systems, formalizing urban navigation beyond the shortest route. Modeling safe pathfinding as a biobjective shortest path problem on civic crime databases from Chicago and Philadelphia, their algorithms generated a Pareto-optimal frontier of alternative paths, proving that pedestrians can achieve substantial safety improvements (40–60% reduction in crime exposure) at the cost of only modest increases in walking distance (5–12%). Building upon algorithmic pathfinding, Levy et al. [11] proposed 'SafeRoute,' an advanced deep reinforcement learning (DRL) framework for street navigation published in ACM Transactions on Intelligent Systems and Technology. SafeRoute trained autonomous agent policies over city street networks in Boston, New York, and San Francisco by assigning negative rewards to historical crime coordinates. Quercia et al. [12] demonstrated in ACM Hypertext that pedestrians systematically prefer paths characterized by high illumination, aesthetic greenery, and open sightlines over dark, claustrophobic shortcuts, even when the pleasing route is up to 15% longer.</w:t>
      </w:r>
    </w:p>
    <w:p>
      <w:pPr>
        <w:keepNext/>
        <w:spacing w:before="200" w:after="60"/>
      </w:pPr>
      <w:r>
        <w:rPr>
          <w:rFonts w:ascii="Times New Roman" w:hAnsi="Times New Roman"/>
          <w:b/>
          <w:i/>
          <w:color w:val="5C2B61"/>
          <w:sz w:val="21"/>
        </w:rPr>
        <w:t>4.5 Location Privacy and Ethical Data Governance</w:t>
      </w:r>
    </w:p>
    <w:p>
      <w:pPr>
        <w:spacing w:before="0" w:after="100" w:line="276" w:lineRule="auto"/>
      </w:pPr>
      <w:r>
        <w:rPr>
          <w:rFonts w:ascii="Times New Roman" w:hAnsi="Times New Roman"/>
          <w:sz w:val="20"/>
        </w:rPr>
        <w:t>A vital research theme in participatory sensing is the protection of user privacy. Crowdsourcing sensitive incident reports exposes contributors to risks of retaliatory harassment, stalking, and state surveillance if raw spatial trajectories or device identifiers are inadvertently leaked. Shu et al. [15] developed 'CrowdBLPS,' an IEEE-indexed blockchain framework for location-privacy preservation in mobile crowdsensing. They proved that strict spatial obfuscation—such as truncating geographic coordinates to lower decimal precisions or applying spatial cloaking—prevents adversary trajectory reconstruction while preserving sufficient spatial resolution for macroscopic hotspot analytics.</w:t>
      </w:r>
    </w:p>
    <w:p>
      <w:pPr>
        <w:keepNext/>
        <w:spacing w:before="160" w:after="60"/>
      </w:pPr>
      <w:r>
        <w:rPr>
          <w:rFonts w:ascii="Times New Roman" w:hAnsi="Times New Roman"/>
          <w:b/>
          <w:color w:val="2A132C"/>
          <w:sz w:val="19"/>
        </w:rPr>
        <w:t>TABLE I. Comprehensive Comparison of Related Research Publications</w:t>
      </w:r>
    </w:p>
    <w:tbl>
      <w:tblPr>
        <w:tblW w:type="auto" w:w="0"/>
        <w:jc w:val="center"/>
        <w:tblLook w:firstColumn="1" w:firstRow="1" w:lastColumn="0" w:lastRow="0" w:noHBand="0" w:noVBand="1" w:val="04A0"/>
        <w:tblBorders>
          <w:top w:val="single" w:sz="4" w:space="0" w:color="D4CCBF"/>
          <w:bottom w:val="single" w:sz="4" w:space="0" w:color="D4CCBF"/>
          <w:left w:val="none"/>
          <w:right w:val="none"/>
          <w:insideH w:val="single" w:sz="4" w:space="0" w:color="D4CCBF"/>
          <w:insideV w:val="none"/>
        </w:tblBorders>
      </w:tblPr>
      <w:tblGrid>
        <w:gridCol w:w="1337"/>
        <w:gridCol w:w="1337"/>
        <w:gridCol w:w="1337"/>
        <w:gridCol w:w="1337"/>
        <w:gridCol w:w="1337"/>
        <w:gridCol w:w="1337"/>
        <w:gridCol w:w="1337"/>
      </w:tblGrid>
      <w:tr>
        <w:tc>
          <w:tcPr>
            <w:tcW w:type="dxa" w:w="1337"/>
            <w:shd w:fill="2A132C"/>
            <w:tcMar>
              <w:top w:w="80" w:type="dxa"/>
              <w:bottom w:w="80" w:type="dxa"/>
              <w:left w:w="80" w:type="dxa"/>
              <w:right w:w="80" w:type="dxa"/>
            </w:tcMar>
          </w:tcPr>
          <w:p>
            <w:pPr>
              <w:jc w:val="center"/>
            </w:pPr>
            <w:r>
              <w:rPr>
                <w:rFonts w:ascii="Times New Roman" w:hAnsi="Times New Roman"/>
                <w:b/>
                <w:color w:val="FFFFFF"/>
                <w:sz w:val="16"/>
              </w:rPr>
              <w:t>No.</w:t>
            </w:r>
          </w:p>
        </w:tc>
        <w:tc>
          <w:tcPr>
            <w:tcW w:type="dxa" w:w="1337"/>
            <w:shd w:fill="2A132C"/>
            <w:tcMar>
              <w:top w:w="80" w:type="dxa"/>
              <w:bottom w:w="80" w:type="dxa"/>
              <w:left w:w="80" w:type="dxa"/>
              <w:right w:w="80" w:type="dxa"/>
            </w:tcMar>
          </w:tcPr>
          <w:p>
            <w:pPr>
              <w:jc w:val="center"/>
            </w:pPr>
            <w:r>
              <w:rPr>
                <w:rFonts w:ascii="Times New Roman" w:hAnsi="Times New Roman"/>
                <w:b/>
                <w:color w:val="FFFFFF"/>
                <w:sz w:val="16"/>
              </w:rPr>
              <w:t>Paper &amp; Year</w:t>
            </w:r>
          </w:p>
        </w:tc>
        <w:tc>
          <w:tcPr>
            <w:tcW w:type="dxa" w:w="1337"/>
            <w:shd w:fill="2A132C"/>
            <w:tcMar>
              <w:top w:w="80" w:type="dxa"/>
              <w:bottom w:w="80" w:type="dxa"/>
              <w:left w:w="80" w:type="dxa"/>
              <w:right w:w="80" w:type="dxa"/>
            </w:tcMar>
          </w:tcPr>
          <w:p>
            <w:pPr>
              <w:jc w:val="center"/>
            </w:pPr>
            <w:r>
              <w:rPr>
                <w:rFonts w:ascii="Times New Roman" w:hAnsi="Times New Roman"/>
                <w:b/>
                <w:color w:val="FFFFFF"/>
                <w:sz w:val="16"/>
              </w:rPr>
              <w:t>Research Objective</w:t>
            </w:r>
          </w:p>
        </w:tc>
        <w:tc>
          <w:tcPr>
            <w:tcW w:type="dxa" w:w="1337"/>
            <w:shd w:fill="2A132C"/>
            <w:tcMar>
              <w:top w:w="80" w:type="dxa"/>
              <w:bottom w:w="80" w:type="dxa"/>
              <w:left w:w="80" w:type="dxa"/>
              <w:right w:w="80" w:type="dxa"/>
            </w:tcMar>
          </w:tcPr>
          <w:p>
            <w:pPr>
              <w:jc w:val="center"/>
            </w:pPr>
            <w:r>
              <w:rPr>
                <w:rFonts w:ascii="Times New Roman" w:hAnsi="Times New Roman"/>
                <w:b/>
                <w:color w:val="FFFFFF"/>
                <w:sz w:val="16"/>
              </w:rPr>
              <w:t>Method / Technology</w:t>
            </w:r>
          </w:p>
        </w:tc>
        <w:tc>
          <w:tcPr>
            <w:tcW w:type="dxa" w:w="1337"/>
            <w:shd w:fill="2A132C"/>
            <w:tcMar>
              <w:top w:w="80" w:type="dxa"/>
              <w:bottom w:w="80" w:type="dxa"/>
              <w:left w:w="80" w:type="dxa"/>
              <w:right w:w="80" w:type="dxa"/>
            </w:tcMar>
          </w:tcPr>
          <w:p>
            <w:pPr>
              <w:jc w:val="center"/>
            </w:pPr>
            <w:r>
              <w:rPr>
                <w:rFonts w:ascii="Times New Roman" w:hAnsi="Times New Roman"/>
                <w:b/>
                <w:color w:val="FFFFFF"/>
                <w:sz w:val="16"/>
              </w:rPr>
              <w:t>Key Findings</w:t>
            </w:r>
          </w:p>
        </w:tc>
        <w:tc>
          <w:tcPr>
            <w:tcW w:type="dxa" w:w="1337"/>
            <w:shd w:fill="2A132C"/>
            <w:tcMar>
              <w:top w:w="80" w:type="dxa"/>
              <w:bottom w:w="80" w:type="dxa"/>
              <w:left w:w="80" w:type="dxa"/>
              <w:right w:w="80" w:type="dxa"/>
            </w:tcMar>
          </w:tcPr>
          <w:p>
            <w:pPr>
              <w:jc w:val="center"/>
            </w:pPr>
            <w:r>
              <w:rPr>
                <w:rFonts w:ascii="Times New Roman" w:hAnsi="Times New Roman"/>
                <w:b/>
                <w:color w:val="FFFFFF"/>
                <w:sz w:val="16"/>
              </w:rPr>
              <w:t>Limitations / Gap</w:t>
            </w:r>
          </w:p>
        </w:tc>
        <w:tc>
          <w:tcPr>
            <w:tcW w:type="dxa" w:w="1337"/>
            <w:shd w:fill="2A132C"/>
            <w:tcMar>
              <w:top w:w="80" w:type="dxa"/>
              <w:bottom w:w="80" w:type="dxa"/>
              <w:left w:w="80" w:type="dxa"/>
              <w:right w:w="80" w:type="dxa"/>
            </w:tcMar>
          </w:tcPr>
          <w:p>
            <w:pPr>
              <w:jc w:val="center"/>
            </w:pPr>
            <w:r>
              <w:rPr>
                <w:rFonts w:ascii="Times New Roman" w:hAnsi="Times New Roman"/>
                <w:b/>
                <w:color w:val="FFFFFF"/>
                <w:sz w:val="16"/>
              </w:rPr>
              <w:t>Relevance to SafeCity</w:t>
            </w:r>
          </w:p>
        </w:tc>
      </w:tr>
      <w:tr>
        <w:tc>
          <w:tcPr>
            <w:tcW w:type="dxa" w:w="1337"/>
            <w:shd w:fill="FFFFFF"/>
            <w:tcMar>
              <w:top w:w="60" w:type="dxa"/>
              <w:bottom w:w="60" w:type="dxa"/>
              <w:left w:w="60" w:type="dxa"/>
              <w:right w:w="60" w:type="dxa"/>
            </w:tcMar>
          </w:tcPr>
          <w:p>
            <w:pPr>
              <w:spacing w:before="0" w:after="0" w:line="252" w:lineRule="auto"/>
              <w:jc w:val="center"/>
            </w:pPr>
            <w:r>
              <w:rPr>
                <w:rFonts w:ascii="Times New Roman" w:hAnsi="Times New Roman"/>
                <w:b/>
                <w:sz w:val="15"/>
              </w:rPr>
              <w:t>[1]</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Galbrun et al. (2016) [5]</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Multi-criteria urban navigation balancing distance and crime risk.</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Biobjective shortest path optimization; Pareto frontier calculation.</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Pedestrians can reduce crime exposure by 40-60% with only 5-12% extra distance.</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Tested offline on historical police data; lacks real-time crowdsourcing.</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Establishes validity of non-shortest, safety-aware route trade-offs.</w:t>
            </w:r>
          </w:p>
        </w:tc>
      </w:tr>
      <w:tr>
        <w:tc>
          <w:tcPr>
            <w:tcW w:type="dxa" w:w="1337"/>
            <w:shd w:fill="FAF5FB"/>
            <w:tcMar>
              <w:top w:w="60" w:type="dxa"/>
              <w:bottom w:w="60" w:type="dxa"/>
              <w:left w:w="60" w:type="dxa"/>
              <w:right w:w="60" w:type="dxa"/>
            </w:tcMar>
          </w:tcPr>
          <w:p>
            <w:pPr>
              <w:spacing w:before="0" w:after="0" w:line="252" w:lineRule="auto"/>
              <w:jc w:val="center"/>
            </w:pPr>
            <w:r>
              <w:rPr>
                <w:rFonts w:ascii="Times New Roman" w:hAnsi="Times New Roman"/>
                <w:b/>
                <w:sz w:val="15"/>
              </w:rPr>
              <w:t>[2]</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Sanh et al. (2019) [13]</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Compress language models for resource-constrained inference.</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Knowledge distillation on BERT architecture (DistilBERT); parameter pruning.</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40% smaller, 60% faster inference on CPU; preserves 97% of BERT accuracy.</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General model; requires domain fine-tuning on safety datasets.</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Proves feasibility of real-time serverless incident processing.</w:t>
            </w:r>
          </w:p>
        </w:tc>
      </w:tr>
      <w:tr>
        <w:tc>
          <w:tcPr>
            <w:tcW w:type="dxa" w:w="1337"/>
            <w:shd w:fill="FFFFFF"/>
            <w:tcMar>
              <w:top w:w="60" w:type="dxa"/>
              <w:bottom w:w="60" w:type="dxa"/>
              <w:left w:w="60" w:type="dxa"/>
              <w:right w:w="60" w:type="dxa"/>
            </w:tcMar>
          </w:tcPr>
          <w:p>
            <w:pPr>
              <w:spacing w:before="0" w:after="0" w:line="252" w:lineRule="auto"/>
              <w:jc w:val="center"/>
            </w:pPr>
            <w:r>
              <w:rPr>
                <w:rFonts w:ascii="Times New Roman" w:hAnsi="Times New Roman"/>
                <w:b/>
                <w:sz w:val="15"/>
              </w:rPr>
              <w:t>[3]</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Ester et al. (1996) [10]</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Discover arbitrary spatial clusters and isolate noise in spatial data.</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Density-based spatial clustering (eps-neighborhood and MinPts).</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Discovers non-linear street clusters; scales efficiently with spatial indexing.</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Sensitive to parameter selection across varying urban densities.</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Provides mathematical basis for spatial risk buffering around incidents.</w:t>
            </w:r>
          </w:p>
        </w:tc>
      </w:tr>
      <w:tr>
        <w:tc>
          <w:tcPr>
            <w:tcW w:type="dxa" w:w="1337"/>
            <w:shd w:fill="FAF5FB"/>
            <w:tcMar>
              <w:top w:w="60" w:type="dxa"/>
              <w:bottom w:w="60" w:type="dxa"/>
              <w:left w:w="60" w:type="dxa"/>
              <w:right w:w="60" w:type="dxa"/>
            </w:tcMar>
          </w:tcPr>
          <w:p>
            <w:pPr>
              <w:spacing w:before="0" w:after="0" w:line="252" w:lineRule="auto"/>
              <w:jc w:val="center"/>
            </w:pPr>
            <w:r>
              <w:rPr>
                <w:rFonts w:ascii="Times New Roman" w:hAnsi="Times New Roman"/>
                <w:b/>
                <w:sz w:val="15"/>
              </w:rPr>
              <w:t>[4]</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Levy et al. (2020) [11]</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Train autonomous agents to navigate urban street networks safely.</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Deep Reinforcement Learning (DRL) with spatial crime penalty rewards.</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Successfully avoids high-crime street links in Boston, NYC, and SF.</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High computational training overhead; black-box decisions lack explainability.</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Reinforces need for risk-penalized navigation with transparent scoring.</w:t>
            </w:r>
          </w:p>
        </w:tc>
      </w:tr>
      <w:tr>
        <w:tc>
          <w:tcPr>
            <w:tcW w:type="dxa" w:w="1337"/>
            <w:shd w:fill="FFFFFF"/>
            <w:tcMar>
              <w:top w:w="60" w:type="dxa"/>
              <w:bottom w:w="60" w:type="dxa"/>
              <w:left w:w="60" w:type="dxa"/>
              <w:right w:w="60" w:type="dxa"/>
            </w:tcMar>
          </w:tcPr>
          <w:p>
            <w:pPr>
              <w:spacing w:before="0" w:after="0" w:line="252" w:lineRule="auto"/>
              <w:jc w:val="center"/>
            </w:pPr>
            <w:r>
              <w:rPr>
                <w:rFonts w:ascii="Times New Roman" w:hAnsi="Times New Roman"/>
                <w:b/>
                <w:sz w:val="15"/>
              </w:rPr>
              <w:t>[5]</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Quercia et al. (2014) [12]</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Recommend urban walking paths maximizing emotional comfort.</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Crowdsourced perception scoring and social media graph routing.</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Walkers trade modest travel time for brighter, aesthetically pleasant streets.</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Focused on aesthetic perception rather than verified violent crime hazards.</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Justifies routing pedestrians along well-lit commercial arterials.</w:t>
            </w:r>
          </w:p>
        </w:tc>
      </w:tr>
      <w:tr>
        <w:tc>
          <w:tcPr>
            <w:tcW w:type="dxa" w:w="1337"/>
            <w:shd w:fill="FAF5FB"/>
            <w:tcMar>
              <w:top w:w="60" w:type="dxa"/>
              <w:bottom w:w="60" w:type="dxa"/>
              <w:left w:w="60" w:type="dxa"/>
              <w:right w:w="60" w:type="dxa"/>
            </w:tcMar>
          </w:tcPr>
          <w:p>
            <w:pPr>
              <w:spacing w:before="0" w:after="0" w:line="252" w:lineRule="auto"/>
              <w:jc w:val="center"/>
            </w:pPr>
            <w:r>
              <w:rPr>
                <w:rFonts w:ascii="Times New Roman" w:hAnsi="Times New Roman"/>
                <w:b/>
                <w:sz w:val="15"/>
              </w:rPr>
              <w:t>[6]</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Lea, D'Silva, &amp; Asok (2017) [4]</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Analyze spatial patterns and victim strategies in transit harassment in India.</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Quantitative and spatial analysis of 10,000+ crowdsourced reports from Safecity.</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Grassroots crowdsourcing exposes severe dark figure of unreported everyday crime.</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Retrospective archive; lacked dynamic navigation or live GPS escort.</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Proves high societal demand and validity of anonymous crowdsourcing in India.</w:t>
            </w:r>
          </w:p>
        </w:tc>
      </w:tr>
      <w:tr>
        <w:tc>
          <w:tcPr>
            <w:tcW w:type="dxa" w:w="1337"/>
            <w:shd w:fill="FFFFFF"/>
            <w:tcMar>
              <w:top w:w="60" w:type="dxa"/>
              <w:bottom w:w="60" w:type="dxa"/>
              <w:left w:w="60" w:type="dxa"/>
              <w:right w:w="60" w:type="dxa"/>
            </w:tcMar>
          </w:tcPr>
          <w:p>
            <w:pPr>
              <w:spacing w:before="0" w:after="0" w:line="252" w:lineRule="auto"/>
              <w:jc w:val="center"/>
            </w:pPr>
            <w:r>
              <w:rPr>
                <w:rFonts w:ascii="Times New Roman" w:hAnsi="Times New Roman"/>
                <w:b/>
                <w:sz w:val="15"/>
              </w:rPr>
              <w:t>[7]</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Solymosi et al. (2021) [8]</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Review mobile app methodologies for measuring micro-spatial fear of crime.</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Systematic review of 42 mobile applications and sensing systems.</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In-situ mobile reporting captures dynamic, context-specific fear accurately.</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Most reviewed systems were research probes lacking sustained civic deployment.</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Validates in-situ mobile reporting design and highlights integration gap.</w:t>
            </w:r>
          </w:p>
        </w:tc>
      </w:tr>
      <w:tr>
        <w:tc>
          <w:tcPr>
            <w:tcW w:type="dxa" w:w="1337"/>
            <w:shd w:fill="FAF5FB"/>
            <w:tcMar>
              <w:top w:w="60" w:type="dxa"/>
              <w:bottom w:w="60" w:type="dxa"/>
              <w:left w:w="60" w:type="dxa"/>
              <w:right w:w="60" w:type="dxa"/>
            </w:tcMar>
          </w:tcPr>
          <w:p>
            <w:pPr>
              <w:spacing w:before="0" w:after="0" w:line="252" w:lineRule="auto"/>
              <w:jc w:val="center"/>
            </w:pPr>
            <w:r>
              <w:rPr>
                <w:rFonts w:ascii="Times New Roman" w:hAnsi="Times New Roman"/>
                <w:b/>
                <w:sz w:val="15"/>
              </w:rPr>
              <w:t>[8]</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Prasad et al. (2015) [3]</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Develop automated mobile emergency alert application for women.</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Android native platform, GPS receiver, SMS broadcast gateway ('Abhaya').</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One-click emergency coordinate broadcast effectively alerts designated guardians.</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Strictly reactive; zero preventative hazard info, routing, or crowdsourcing.</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Provides reference model for emergency contact dispatch mechanism.</w:t>
            </w:r>
          </w:p>
        </w:tc>
      </w:tr>
      <w:tr>
        <w:tc>
          <w:tcPr>
            <w:tcW w:type="dxa" w:w="1337"/>
            <w:shd w:fill="FFFFFF"/>
            <w:tcMar>
              <w:top w:w="60" w:type="dxa"/>
              <w:bottom w:w="60" w:type="dxa"/>
              <w:left w:w="60" w:type="dxa"/>
              <w:right w:w="60" w:type="dxa"/>
            </w:tcMar>
          </w:tcPr>
          <w:p>
            <w:pPr>
              <w:spacing w:before="0" w:after="0" w:line="252" w:lineRule="auto"/>
              <w:jc w:val="center"/>
            </w:pPr>
            <w:r>
              <w:rPr>
                <w:rFonts w:ascii="Times New Roman" w:hAnsi="Times New Roman"/>
                <w:b/>
                <w:sz w:val="15"/>
              </w:rPr>
              <w:t>[9]</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Harikiran et al. (2016) [7]</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Build automated IoT wearable device for women's emergency defense.</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Microcontroller sensors, GSM/GPS modules, automated impact/scream detection.</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Hardware triggers sirens and dispatches alerts without smartphone handling.</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High hardware cost, battery constraints, false alarms, and wear reluctance.</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Highlights advantage of zero-installation, universal web availability.</w:t>
            </w:r>
          </w:p>
        </w:tc>
      </w:tr>
      <w:tr>
        <w:tc>
          <w:tcPr>
            <w:tcW w:type="dxa" w:w="1337"/>
            <w:shd w:fill="FAF5FB"/>
            <w:tcMar>
              <w:top w:w="60" w:type="dxa"/>
              <w:bottom w:w="60" w:type="dxa"/>
              <w:left w:w="60" w:type="dxa"/>
              <w:right w:w="60" w:type="dxa"/>
            </w:tcMar>
          </w:tcPr>
          <w:p>
            <w:pPr>
              <w:spacing w:before="0" w:after="0" w:line="252" w:lineRule="auto"/>
              <w:jc w:val="center"/>
            </w:pPr>
            <w:r>
              <w:rPr>
                <w:rFonts w:ascii="Times New Roman" w:hAnsi="Times New Roman"/>
                <w:b/>
                <w:sz w:val="15"/>
              </w:rPr>
              <w:t>[10]</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Majumdar et al. (2022) [14]</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Implement voice and natural language AI assistant for emergency operations.</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Speech-to-text NLP processing, intent classification, hands-free dispatch.</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Conversational interactions reduce task completion latency under acute stress.</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Focused on professional dispatchers rather than civilian pedestrians.</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Informs design of conversational assistant for rapid emergency access.</w:t>
            </w:r>
          </w:p>
        </w:tc>
      </w:tr>
      <w:tr>
        <w:tc>
          <w:tcPr>
            <w:tcW w:type="dxa" w:w="1337"/>
            <w:shd w:fill="FFFFFF"/>
            <w:tcMar>
              <w:top w:w="60" w:type="dxa"/>
              <w:bottom w:w="60" w:type="dxa"/>
              <w:left w:w="60" w:type="dxa"/>
              <w:right w:w="60" w:type="dxa"/>
            </w:tcMar>
          </w:tcPr>
          <w:p>
            <w:pPr>
              <w:spacing w:before="0" w:after="0" w:line="252" w:lineRule="auto"/>
              <w:jc w:val="center"/>
            </w:pPr>
            <w:r>
              <w:rPr>
                <w:rFonts w:ascii="Times New Roman" w:hAnsi="Times New Roman"/>
                <w:b/>
                <w:sz w:val="15"/>
              </w:rPr>
              <w:t>[11]</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Chainey et al. (2008) [9]</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Evaluate predictive accuracy of spatial crime hotspot mapping methods.</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Comparative empirical analysis of spatial ellipses, thematic grids, and KDE.</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Density-based spatial mapping demonstrates superior predictive power.</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Relies on historical police records which omit minor harassment incidents.</w:t>
            </w:r>
          </w:p>
        </w:tc>
        <w:tc>
          <w:tcPr>
            <w:tcW w:type="dxa" w:w="1337"/>
            <w:shd w:fill="FFFFFF"/>
            <w:tcMar>
              <w:top w:w="60" w:type="dxa"/>
              <w:bottom w:w="60" w:type="dxa"/>
              <w:left w:w="60" w:type="dxa"/>
              <w:right w:w="60" w:type="dxa"/>
            </w:tcMar>
          </w:tcPr>
          <w:p>
            <w:pPr>
              <w:spacing w:before="0" w:after="0" w:line="252" w:lineRule="auto"/>
            </w:pPr>
            <w:r>
              <w:rPr>
                <w:rFonts w:ascii="Times New Roman" w:hAnsi="Times New Roman"/>
                <w:sz w:val="15"/>
              </w:rPr>
              <w:t>Supports spatial density buffering around community reports.</w:t>
            </w:r>
          </w:p>
        </w:tc>
      </w:tr>
      <w:tr>
        <w:tc>
          <w:tcPr>
            <w:tcW w:type="dxa" w:w="1337"/>
            <w:shd w:fill="FAF5FB"/>
            <w:tcMar>
              <w:top w:w="60" w:type="dxa"/>
              <w:bottom w:w="60" w:type="dxa"/>
              <w:left w:w="60" w:type="dxa"/>
              <w:right w:w="60" w:type="dxa"/>
            </w:tcMar>
          </w:tcPr>
          <w:p>
            <w:pPr>
              <w:spacing w:before="0" w:after="0" w:line="252" w:lineRule="auto"/>
              <w:jc w:val="center"/>
            </w:pPr>
            <w:r>
              <w:rPr>
                <w:rFonts w:ascii="Times New Roman" w:hAnsi="Times New Roman"/>
                <w:b/>
                <w:sz w:val="15"/>
              </w:rPr>
              <w:t>[12]</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Shu et al. (2020) [15]</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Preserve location privacy in crowdsourced mobile sensing frameworks.</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Differential privacy, coordinate truncation, cryptographic verification.</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Coordinate obfuscation prevents user tracking while maintaining spatial utility.</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High cryptographic complexity; requires distributed ledger infrastructure.</w:t>
            </w:r>
          </w:p>
        </w:tc>
        <w:tc>
          <w:tcPr>
            <w:tcW w:type="dxa" w:w="1337"/>
            <w:shd w:fill="FAF5FB"/>
            <w:tcMar>
              <w:top w:w="60" w:type="dxa"/>
              <w:bottom w:w="60" w:type="dxa"/>
              <w:left w:w="60" w:type="dxa"/>
              <w:right w:w="60" w:type="dxa"/>
            </w:tcMar>
          </w:tcPr>
          <w:p>
            <w:pPr>
              <w:spacing w:before="0" w:after="0" w:line="252" w:lineRule="auto"/>
            </w:pPr>
            <w:r>
              <w:rPr>
                <w:rFonts w:ascii="Times New Roman" w:hAnsi="Times New Roman"/>
                <w:sz w:val="15"/>
              </w:rPr>
              <w:t>Justifies coordinate truncation and separation of public vs. admin views.</w:t>
            </w:r>
          </w:p>
        </w:tc>
      </w:tr>
    </w:tbl>
    <w:p>
      <w:pPr>
        <w:spacing w:after="120"/>
      </w:pPr>
    </w:p>
    <w:p>
      <w:pPr>
        <w:keepNext/>
        <w:spacing w:before="280" w:after="80"/>
      </w:pPr>
      <w:r>
        <w:rPr>
          <w:rFonts w:ascii="Times New Roman" w:hAnsi="Times New Roman"/>
          <w:b/>
          <w:color w:val="2A132C"/>
          <w:sz w:val="22"/>
        </w:rPr>
        <w:t>5. RESEARCH GAP</w:t>
      </w:r>
    </w:p>
    <w:p>
      <w:pPr>
        <w:spacing w:before="0" w:after="100" w:line="276" w:lineRule="auto"/>
      </w:pPr>
      <w:r>
        <w:rPr>
          <w:rFonts w:ascii="Times New Roman" w:hAnsi="Times New Roman"/>
          <w:sz w:val="20"/>
        </w:rPr>
        <w:t>A critical synthesis of the reviewed literature reveals a fundamental structural fragmentation across existing technological paradigms: (1) The Silo Problem: existing crowdsourced reporting platforms (such as Safecity India [4]) operate as passive historical archives disconnected from routing engines, while algorithmic navigation models (such as Galbrun et al. [5] and Levy et al. [11]) rely exclusively on official crime datasets that omit minor harassment incidents; (2) Lack of Continuous Inactivity Watchdogs in Web Environments: prior virtual escort platforms rely almost exclusively on native operating system background Daemons, with zero research examining how browser-native PWAs can execute 180-second stationary watchdog countdowns using HTML5 APIs; and (3) Absence of Real-Time Civic Refuge Integration: existing route optimization models treat risk solely as an accumulator of penalties, ignoring the positive risk-mitigation benefits provided by active 24/7 safe havens (police stations, hospitals, pharmacies) located within running distance. SafeCity directly bridges these gaps.</w:t>
      </w:r>
    </w:p>
    <w:p>
      <w:pPr>
        <w:keepNext/>
        <w:spacing w:before="280" w:after="80"/>
      </w:pPr>
      <w:r>
        <w:rPr>
          <w:rFonts w:ascii="Times New Roman" w:hAnsi="Times New Roman"/>
          <w:b/>
          <w:color w:val="2A132C"/>
          <w:sz w:val="22"/>
        </w:rPr>
        <w:t>6. PROPOSED SYSTEM AND ARCHITECTURE</w:t>
      </w:r>
    </w:p>
    <w:p>
      <w:pPr>
        <w:spacing w:before="0" w:after="100" w:line="276" w:lineRule="auto"/>
      </w:pPr>
      <w:r>
        <w:rPr>
          <w:rFonts w:ascii="Times New Roman" w:hAnsi="Times New Roman"/>
          <w:sz w:val="20"/>
        </w:rPr>
        <w:t>SafeCity is structured according to a high-availability, microservice-inspired architecture designed for instant mobile web access and cloud resilience. The platform comprises four coordinated tiers: (1) Client Presentation Tier, built in modern HTML5, ES6+ modular state architecture, Leaflet.js, and Tailwind CSS CDN, eliminating heavy build dependencies; (2) Application Gateway Tier, driven by Node.js and Express.js, providing secure REST endpoints for reporting, routing analysis, emergency dispatch, and administrative auditing; (3) Data Tier, combining MySQL relational tables with an automatic in-memory fallback cache to ensure uninterrupted operation during serverless database connection drops; and (4) External Geospatial Services, integrating OpenStreetMap tile servers, ESRI GIS failover layers, and the Open Source Routing Machine (OSRM) v5 engine.</w:t>
      </w:r>
    </w:p>
    <w:p>
      <w:pPr>
        <w:keepNext/>
        <w:spacing w:before="280" w:after="80"/>
      </w:pPr>
      <w:r>
        <w:rPr>
          <w:rFonts w:ascii="Times New Roman" w:hAnsi="Times New Roman"/>
          <w:b/>
          <w:color w:val="2A132C"/>
          <w:sz w:val="22"/>
        </w:rPr>
        <w:t>7. SYSTEM METHODOLOGY</w:t>
      </w:r>
    </w:p>
    <w:p>
      <w:pPr>
        <w:keepNext/>
        <w:spacing w:before="200" w:after="60"/>
      </w:pPr>
      <w:r>
        <w:rPr>
          <w:rFonts w:ascii="Times New Roman" w:hAnsi="Times New Roman"/>
          <w:b/>
          <w:i/>
          <w:color w:val="5C2B61"/>
          <w:sz w:val="21"/>
        </w:rPr>
        <w:t>7.1 User Authentication and Session Management</w:t>
      </w:r>
    </w:p>
    <w:p>
      <w:pPr>
        <w:spacing w:before="0" w:after="100" w:line="276" w:lineRule="auto"/>
      </w:pPr>
      <w:r>
        <w:rPr>
          <w:rFonts w:ascii="Times New Roman" w:hAnsi="Times New Roman"/>
          <w:sz w:val="20"/>
        </w:rPr>
        <w:t>SafeCity implements a dual-tier authentication model. Basic reporting and navigation require zero account creation, ensuring friction-free access during emergencies. For users desiring persistent emergency contact configuration, JWT-authenticated registration and login endpoints are provided, falling back to local encrypted browser storage during offline demonstrations.</w:t>
      </w:r>
    </w:p>
    <w:p>
      <w:pPr>
        <w:keepNext/>
        <w:spacing w:before="200" w:after="60"/>
      </w:pPr>
      <w:r>
        <w:rPr>
          <w:rFonts w:ascii="Times New Roman" w:hAnsi="Times New Roman"/>
          <w:b/>
          <w:i/>
          <w:color w:val="5C2B61"/>
          <w:sz w:val="21"/>
        </w:rPr>
        <w:t>7.2 Incident Reporting and Verification Pipeline</w:t>
      </w:r>
    </w:p>
    <w:p>
      <w:pPr>
        <w:spacing w:before="0" w:after="100" w:line="276" w:lineRule="auto"/>
      </w:pPr>
      <w:r>
        <w:rPr>
          <w:rFonts w:ascii="Times New Roman" w:hAnsi="Times New Roman"/>
          <w:sz w:val="20"/>
        </w:rPr>
        <w:t>Reports are submitted through an interactive Leaflet pin-drop interface across seven discrete categories: Harassment, Stalking, Threat, Poor Lighting, Unsafe Area, Suspicious Activity, and Other. Descriptions are strictly validated between 10 and 2000 characters. Submissions receive a unique public tracking ID (e.g., AS-2026-10492) and enter a PENDING moderation queue. Only upon explicit validation by an authenticated civic moderator does the record become VERIFIED, propagating to the public safety map and routing risk cache.</w:t>
      </w:r>
    </w:p>
    <w:p>
      <w:pPr>
        <w:keepNext/>
        <w:spacing w:before="200" w:after="60"/>
      </w:pPr>
      <w:r>
        <w:rPr>
          <w:rFonts w:ascii="Times New Roman" w:hAnsi="Times New Roman"/>
          <w:b/>
          <w:i/>
          <w:color w:val="5C2B61"/>
          <w:sz w:val="21"/>
        </w:rPr>
        <w:t>7.3 Mathematical Formulation of Safety-Aware Route Evaluation</w:t>
      </w:r>
    </w:p>
    <w:p>
      <w:pPr>
        <w:spacing w:before="0" w:after="100" w:line="276" w:lineRule="auto"/>
      </w:pPr>
      <w:r>
        <w:rPr>
          <w:rFonts w:ascii="Times New Roman" w:hAnsi="Times New Roman"/>
          <w:sz w:val="20"/>
        </w:rPr>
        <w:t>To evaluate route safety objectively, SafeCity models candidate routes through spatial proximity analysis. Distance between any route waypoint (lat_w, lon_w) and an incident (lat_i, lon_i) is computed using the spherical Haversine metric with Earth radius R = 6,371,000 meters:</w:t>
      </w:r>
    </w:p>
    <w:p>
      <w:pPr>
        <w:spacing w:before="0" w:after="100" w:line="276" w:lineRule="auto"/>
      </w:pPr>
      <w:r>
        <w:rPr>
          <w:rFonts w:ascii="Times New Roman" w:hAnsi="Times New Roman"/>
          <w:sz w:val="20"/>
        </w:rPr>
        <w:t>Δlat = π/180 · (lat_i - lat_w),   Δlon = π/180 · (lon_i - lon_w)</w:t>
        <w:br/>
        <w:t>a = sin²(Δlat / 2) + cos(π · lat_w / 180) · cos(π · lat_i / 180) · sin²(Δlon / 2)</w:t>
        <w:br/>
        <w:t>d(w, i) = 2R · atan2(√a, √(1 - a))</w:t>
      </w:r>
    </w:p>
    <w:p>
      <w:pPr>
        <w:spacing w:before="0" w:after="100" w:line="276" w:lineRule="auto"/>
      </w:pPr>
      <w:r>
        <w:rPr>
          <w:rFonts w:ascii="Times New Roman" w:hAnsi="Times New Roman"/>
          <w:sz w:val="20"/>
        </w:rPr>
        <w:t>An incident i affects route R_k if its minimum distance to any waypoint is within T_risk = 450 meters. The cumulative risk penalty P_risk(R_k) sums empirical severity weights (High = 35, Medium = 18, Low = 8), counting each unique incident exactly once. Accessible 24/7 safe havens within T_haven = 400 meters award a safety bonus of +5 points per haven, capped at +20 points. The composite Route Safety Score S(R_k) is clamped between 15 and 98 to avoid unrealistic absolute safety guarantees:</w:t>
      </w:r>
    </w:p>
    <w:p>
      <w:pPr>
        <w:spacing w:before="0" w:after="100" w:line="276" w:lineRule="auto"/>
      </w:pPr>
      <w:r>
        <w:rPr>
          <w:rFonts w:ascii="Times New Roman" w:hAnsi="Times New Roman"/>
          <w:sz w:val="20"/>
        </w:rPr>
        <w:t>S(R_k) = max( 15,  min( 98,  100 - P_risk(R_k) + B_haven(R_k) ) )</w:t>
      </w:r>
    </w:p>
    <w:p>
      <w:pPr>
        <w:keepNext/>
        <w:spacing w:before="200" w:after="60"/>
      </w:pPr>
      <w:r>
        <w:rPr>
          <w:rFonts w:ascii="Times New Roman" w:hAnsi="Times New Roman"/>
          <w:b/>
          <w:i/>
          <w:color w:val="5C2B61"/>
          <w:sz w:val="21"/>
        </w:rPr>
        <w:t>7.4 Companion Escort and 3-Minute Inactivity Watchdog</w:t>
      </w:r>
    </w:p>
    <w:p>
      <w:pPr>
        <w:spacing w:before="0" w:after="100" w:line="276" w:lineRule="auto"/>
      </w:pPr>
      <w:r>
        <w:rPr>
          <w:rFonts w:ascii="Times New Roman" w:hAnsi="Times New Roman"/>
          <w:sz w:val="20"/>
        </w:rPr>
        <w:t>Continuous GPS positioning is streamed via navigator.geolocation.watchPosition with high accuracy flags. An internal interval timer decrements a 180-second countdown. If the commuter remains stationary within a 15-meter threshold for 180 seconds, an audible chime sounds and an 'I'm Safe' check-in prompt appears. If unacknowledged, the backend /api/emergency-alerts service synthesizes one-touch WhatsApp and native SMS distress links embedding exact live Google Maps coordinates (https://maps.google.com/?q={lat},{lon}) directed to the saved emergency contact.</w:t>
      </w:r>
    </w:p>
    <w:p>
      <w:pPr>
        <w:keepNext/>
        <w:spacing w:before="200" w:after="60"/>
      </w:pPr>
      <w:r>
        <w:rPr>
          <w:rFonts w:ascii="Times New Roman" w:hAnsi="Times New Roman"/>
          <w:b/>
          <w:i/>
          <w:color w:val="5C2B61"/>
          <w:sz w:val="21"/>
        </w:rPr>
        <w:t>7.5 Conversational Safety Assistant ('Astra')</w:t>
      </w:r>
    </w:p>
    <w:p>
      <w:pPr>
        <w:spacing w:before="0" w:after="100" w:line="276" w:lineRule="auto"/>
      </w:pPr>
      <w:r>
        <w:rPr>
          <w:rFonts w:ascii="Times New Roman" w:hAnsi="Times New Roman"/>
          <w:sz w:val="20"/>
        </w:rPr>
        <w:t>The integrated conversational interface processes natural language queries using contextual pattern matching. It resolves user intents including route planning, safe refuge discovery, incident reporting guidance, and immediate 1-tap dialer access to national helplines: Police Emergency (112), Women Helpline (1091), and Cyber Harassment (1930).</w:t>
      </w:r>
    </w:p>
    <w:p>
      <w:pPr>
        <w:keepNext/>
        <w:spacing w:before="280" w:after="80"/>
      </w:pPr>
      <w:r>
        <w:rPr>
          <w:rFonts w:ascii="Times New Roman" w:hAnsi="Times New Roman"/>
          <w:b/>
          <w:color w:val="2A132C"/>
          <w:sz w:val="22"/>
        </w:rPr>
        <w:t>8. IMPLEMENTATION AND TECHNOLOGY STACK</w:t>
      </w:r>
    </w:p>
    <w:p>
      <w:pPr>
        <w:spacing w:before="0" w:after="100" w:line="276" w:lineRule="auto"/>
      </w:pPr>
      <w:r>
        <w:rPr>
          <w:rFonts w:ascii="Times New Roman" w:hAnsi="Times New Roman"/>
          <w:sz w:val="20"/>
        </w:rPr>
        <w:t>SafeCity is implemented as a lightweight, robust full-stack platform. Table II outlines the technical stack inventory across presentation, backend, database, and routing tiers.</w:t>
      </w:r>
    </w:p>
    <w:p>
      <w:pPr>
        <w:keepNext/>
        <w:spacing w:before="120" w:after="60"/>
      </w:pPr>
      <w:r>
        <w:rPr>
          <w:rFonts w:ascii="Times New Roman" w:hAnsi="Times New Roman"/>
          <w:b/>
          <w:color w:val="2A132C"/>
          <w:sz w:val="19"/>
        </w:rPr>
        <w:t>TABLE II. Implementation Technology Stack</w:t>
      </w:r>
    </w:p>
    <w:tbl>
      <w:tblPr>
        <w:tblW w:type="auto" w:w="0"/>
        <w:jc w:val="center"/>
        <w:tblLook w:firstColumn="1" w:firstRow="1" w:lastColumn="0" w:lastRow="0" w:noHBand="0" w:noVBand="1" w:val="04A0"/>
        <w:tblBorders>
          <w:top w:val="single" w:sz="4" w:space="0" w:color="D4CCBF"/>
          <w:bottom w:val="single" w:sz="4" w:space="0" w:color="D4CCBF"/>
          <w:left w:val="none"/>
          <w:right w:val="none"/>
          <w:insideH w:val="single" w:sz="4" w:space="0" w:color="D4CCBF"/>
          <w:insideV w:val="none"/>
        </w:tblBorders>
      </w:tblPr>
      <w:tblGrid>
        <w:gridCol w:w="2340"/>
        <w:gridCol w:w="2340"/>
        <w:gridCol w:w="2340"/>
        <w:gridCol w:w="2340"/>
      </w:tblGrid>
      <w:tr>
        <w:tc>
          <w:tcPr>
            <w:tcW w:type="dxa" w:w="2340"/>
            <w:shd w:fill="2A132C"/>
            <w:tcMar>
              <w:top w:w="70" w:type="dxa"/>
              <w:bottom w:w="70" w:type="dxa"/>
              <w:left w:w="80" w:type="dxa"/>
              <w:right w:w="80" w:type="dxa"/>
            </w:tcMar>
          </w:tcPr>
          <w:p>
            <w:pPr>
              <w:jc w:val="center"/>
            </w:pPr>
            <w:r>
              <w:rPr>
                <w:rFonts w:ascii="Times New Roman" w:hAnsi="Times New Roman"/>
                <w:b/>
                <w:color w:val="FFFFFF"/>
                <w:sz w:val="17"/>
              </w:rPr>
              <w:t>Layer</w:t>
            </w:r>
          </w:p>
        </w:tc>
        <w:tc>
          <w:tcPr>
            <w:tcW w:type="dxa" w:w="2340"/>
            <w:shd w:fill="2A132C"/>
            <w:tcMar>
              <w:top w:w="70" w:type="dxa"/>
              <w:bottom w:w="70" w:type="dxa"/>
              <w:left w:w="80" w:type="dxa"/>
              <w:right w:w="80" w:type="dxa"/>
            </w:tcMar>
          </w:tcPr>
          <w:p>
            <w:pPr>
              <w:jc w:val="center"/>
            </w:pPr>
            <w:r>
              <w:rPr>
                <w:rFonts w:ascii="Times New Roman" w:hAnsi="Times New Roman"/>
                <w:b/>
                <w:color w:val="FFFFFF"/>
                <w:sz w:val="17"/>
              </w:rPr>
              <w:t>Technology</w:t>
            </w:r>
          </w:p>
        </w:tc>
        <w:tc>
          <w:tcPr>
            <w:tcW w:type="dxa" w:w="2340"/>
            <w:shd w:fill="2A132C"/>
            <w:tcMar>
              <w:top w:w="70" w:type="dxa"/>
              <w:bottom w:w="70" w:type="dxa"/>
              <w:left w:w="80" w:type="dxa"/>
              <w:right w:w="80" w:type="dxa"/>
            </w:tcMar>
          </w:tcPr>
          <w:p>
            <w:pPr>
              <w:jc w:val="center"/>
            </w:pPr>
            <w:r>
              <w:rPr>
                <w:rFonts w:ascii="Times New Roman" w:hAnsi="Times New Roman"/>
                <w:b/>
                <w:color w:val="FFFFFF"/>
                <w:sz w:val="17"/>
              </w:rPr>
              <w:t>Version</w:t>
            </w:r>
          </w:p>
        </w:tc>
        <w:tc>
          <w:tcPr>
            <w:tcW w:type="dxa" w:w="2340"/>
            <w:shd w:fill="2A132C"/>
            <w:tcMar>
              <w:top w:w="70" w:type="dxa"/>
              <w:bottom w:w="70" w:type="dxa"/>
              <w:left w:w="80" w:type="dxa"/>
              <w:right w:w="80" w:type="dxa"/>
            </w:tcMar>
          </w:tcPr>
          <w:p>
            <w:pPr>
              <w:jc w:val="center"/>
            </w:pPr>
            <w:r>
              <w:rPr>
                <w:rFonts w:ascii="Times New Roman" w:hAnsi="Times New Roman"/>
                <w:b/>
                <w:color w:val="FFFFFF"/>
                <w:sz w:val="17"/>
              </w:rPr>
              <w:t>Functional Role</w:t>
            </w:r>
          </w:p>
        </w:tc>
      </w:tr>
      <w:tr>
        <w:tc>
          <w:tcPr>
            <w:tcW w:type="dxa" w:w="2340"/>
            <w:shd w:fill="FFFFFF"/>
            <w:tcMar>
              <w:top w:w="50" w:type="dxa"/>
              <w:bottom w:w="50" w:type="dxa"/>
              <w:left w:w="60" w:type="dxa"/>
              <w:right w:w="60" w:type="dxa"/>
            </w:tcMar>
          </w:tcPr>
          <w:p>
            <w:pPr>
              <w:spacing w:before="0" w:after="0"/>
            </w:pPr>
            <w:r>
              <w:rPr>
                <w:rFonts w:ascii="Times New Roman" w:hAnsi="Times New Roman"/>
                <w:b/>
                <w:sz w:val="16"/>
              </w:rPr>
              <w:t>Frontend Framework</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HTML5 / Vanilla JavaScript (ES6+)</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Modern Web Standard</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Zero-build, high-performance modular single-page interface.</w:t>
            </w:r>
          </w:p>
        </w:tc>
      </w:tr>
      <w:tr>
        <w:tc>
          <w:tcPr>
            <w:tcW w:type="dxa" w:w="2340"/>
            <w:shd w:fill="FAF5FB"/>
            <w:tcMar>
              <w:top w:w="50" w:type="dxa"/>
              <w:bottom w:w="50" w:type="dxa"/>
              <w:left w:w="60" w:type="dxa"/>
              <w:right w:w="60" w:type="dxa"/>
            </w:tcMar>
          </w:tcPr>
          <w:p>
            <w:pPr>
              <w:spacing w:before="0" w:after="0"/>
            </w:pPr>
            <w:r>
              <w:rPr>
                <w:rFonts w:ascii="Times New Roman" w:hAnsi="Times New Roman"/>
                <w:b/>
                <w:sz w:val="16"/>
              </w:rPr>
              <w:t>Styling &amp; Design</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Tailwind CSS CDN</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3.4.17</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Accessible civic design system with custom plum/rose aesthetic palette.</w:t>
            </w:r>
          </w:p>
        </w:tc>
      </w:tr>
      <w:tr>
        <w:tc>
          <w:tcPr>
            <w:tcW w:type="dxa" w:w="2340"/>
            <w:shd w:fill="FFFFFF"/>
            <w:tcMar>
              <w:top w:w="50" w:type="dxa"/>
              <w:bottom w:w="50" w:type="dxa"/>
              <w:left w:w="60" w:type="dxa"/>
              <w:right w:w="60" w:type="dxa"/>
            </w:tcMar>
          </w:tcPr>
          <w:p>
            <w:pPr>
              <w:spacing w:before="0" w:after="0"/>
            </w:pPr>
            <w:r>
              <w:rPr>
                <w:rFonts w:ascii="Times New Roman" w:hAnsi="Times New Roman"/>
                <w:b/>
                <w:sz w:val="16"/>
              </w:rPr>
              <w:t>Mapping Engine</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Leaflet.js</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1.9.4</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Interactive map rendering, marker clustering, SVG icons, geo-layers.</w:t>
            </w:r>
          </w:p>
        </w:tc>
      </w:tr>
      <w:tr>
        <w:tc>
          <w:tcPr>
            <w:tcW w:type="dxa" w:w="2340"/>
            <w:shd w:fill="FAF5FB"/>
            <w:tcMar>
              <w:top w:w="50" w:type="dxa"/>
              <w:bottom w:w="50" w:type="dxa"/>
              <w:left w:w="60" w:type="dxa"/>
              <w:right w:w="60" w:type="dxa"/>
            </w:tcMar>
          </w:tcPr>
          <w:p>
            <w:pPr>
              <w:spacing w:before="0" w:after="0"/>
            </w:pPr>
            <w:r>
              <w:rPr>
                <w:rFonts w:ascii="Times New Roman" w:hAnsi="Times New Roman"/>
                <w:b/>
                <w:sz w:val="16"/>
              </w:rPr>
              <w:t>Tile Providers</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OpenStreetMap / ESRI World Street</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Carto Standard</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Primary and automatic failover raster/vector map tile layers.</w:t>
            </w:r>
          </w:p>
        </w:tc>
      </w:tr>
      <w:tr>
        <w:tc>
          <w:tcPr>
            <w:tcW w:type="dxa" w:w="2340"/>
            <w:shd w:fill="FFFFFF"/>
            <w:tcMar>
              <w:top w:w="50" w:type="dxa"/>
              <w:bottom w:w="50" w:type="dxa"/>
              <w:left w:w="60" w:type="dxa"/>
              <w:right w:w="60" w:type="dxa"/>
            </w:tcMar>
          </w:tcPr>
          <w:p>
            <w:pPr>
              <w:spacing w:before="0" w:after="0"/>
            </w:pPr>
            <w:r>
              <w:rPr>
                <w:rFonts w:ascii="Times New Roman" w:hAnsi="Times New Roman"/>
                <w:b/>
                <w:sz w:val="16"/>
              </w:rPr>
              <w:t>Data Visualization</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Chart.js</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4.4.1</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Administrative category analytics and incident severity distribution charts.</w:t>
            </w:r>
          </w:p>
        </w:tc>
      </w:tr>
      <w:tr>
        <w:tc>
          <w:tcPr>
            <w:tcW w:type="dxa" w:w="2340"/>
            <w:shd w:fill="FAF5FB"/>
            <w:tcMar>
              <w:top w:w="50" w:type="dxa"/>
              <w:bottom w:w="50" w:type="dxa"/>
              <w:left w:w="60" w:type="dxa"/>
              <w:right w:w="60" w:type="dxa"/>
            </w:tcMar>
          </w:tcPr>
          <w:p>
            <w:pPr>
              <w:spacing w:before="0" w:after="0"/>
            </w:pPr>
            <w:r>
              <w:rPr>
                <w:rFonts w:ascii="Times New Roman" w:hAnsi="Times New Roman"/>
                <w:b/>
                <w:sz w:val="16"/>
              </w:rPr>
              <w:t>Iconography</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Lucide Icons</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0.460.0</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Clean iconography for civic affordances and emergency dialers.</w:t>
            </w:r>
          </w:p>
        </w:tc>
      </w:tr>
      <w:tr>
        <w:tc>
          <w:tcPr>
            <w:tcW w:type="dxa" w:w="2340"/>
            <w:shd w:fill="FFFFFF"/>
            <w:tcMar>
              <w:top w:w="50" w:type="dxa"/>
              <w:bottom w:w="50" w:type="dxa"/>
              <w:left w:w="60" w:type="dxa"/>
              <w:right w:w="60" w:type="dxa"/>
            </w:tcMar>
          </w:tcPr>
          <w:p>
            <w:pPr>
              <w:spacing w:before="0" w:after="0"/>
            </w:pPr>
            <w:r>
              <w:rPr>
                <w:rFonts w:ascii="Times New Roman" w:hAnsi="Times New Roman"/>
                <w:b/>
                <w:sz w:val="16"/>
              </w:rPr>
              <w:t>Backend Runtime</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Node.js</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v20+ LTS</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Asynchronous serverless and web service execution environment.</w:t>
            </w:r>
          </w:p>
        </w:tc>
      </w:tr>
      <w:tr>
        <w:tc>
          <w:tcPr>
            <w:tcW w:type="dxa" w:w="2340"/>
            <w:shd w:fill="FAF5FB"/>
            <w:tcMar>
              <w:top w:w="50" w:type="dxa"/>
              <w:bottom w:w="50" w:type="dxa"/>
              <w:left w:w="60" w:type="dxa"/>
              <w:right w:w="60" w:type="dxa"/>
            </w:tcMar>
          </w:tcPr>
          <w:p>
            <w:pPr>
              <w:spacing w:before="0" w:after="0"/>
            </w:pPr>
            <w:r>
              <w:rPr>
                <w:rFonts w:ascii="Times New Roman" w:hAnsi="Times New Roman"/>
                <w:b/>
                <w:sz w:val="16"/>
              </w:rPr>
              <w:t>Web Framework</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Express.js</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4.19.2</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REST API routing, CORS handling, static serving, and JSON serialization.</w:t>
            </w:r>
          </w:p>
        </w:tc>
      </w:tr>
      <w:tr>
        <w:tc>
          <w:tcPr>
            <w:tcW w:type="dxa" w:w="2340"/>
            <w:shd w:fill="FFFFFF"/>
            <w:tcMar>
              <w:top w:w="50" w:type="dxa"/>
              <w:bottom w:w="50" w:type="dxa"/>
              <w:left w:w="60" w:type="dxa"/>
              <w:right w:w="60" w:type="dxa"/>
            </w:tcMar>
          </w:tcPr>
          <w:p>
            <w:pPr>
              <w:spacing w:before="0" w:after="0"/>
            </w:pPr>
            <w:r>
              <w:rPr>
                <w:rFonts w:ascii="Times New Roman" w:hAnsi="Times New Roman"/>
                <w:b/>
                <w:sz w:val="16"/>
              </w:rPr>
              <w:t>Database</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MySQL / Relational Engine</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8.0+ / MySQL2 3.11</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Persistent relational storage for users, incidents, havens, and alerts.</w:t>
            </w:r>
          </w:p>
        </w:tc>
      </w:tr>
      <w:tr>
        <w:tc>
          <w:tcPr>
            <w:tcW w:type="dxa" w:w="2340"/>
            <w:shd w:fill="FAF5FB"/>
            <w:tcMar>
              <w:top w:w="50" w:type="dxa"/>
              <w:bottom w:w="50" w:type="dxa"/>
              <w:left w:w="60" w:type="dxa"/>
              <w:right w:w="60" w:type="dxa"/>
            </w:tcMar>
          </w:tcPr>
          <w:p>
            <w:pPr>
              <w:spacing w:before="0" w:after="0"/>
            </w:pPr>
            <w:r>
              <w:rPr>
                <w:rFonts w:ascii="Times New Roman" w:hAnsi="Times New Roman"/>
                <w:b/>
                <w:sz w:val="16"/>
              </w:rPr>
              <w:t>Routing Engine</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OSRM Project Routing</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v5 Public</w:t>
            </w:r>
          </w:p>
        </w:tc>
        <w:tc>
          <w:tcPr>
            <w:tcW w:type="dxa" w:w="2340"/>
            <w:shd w:fill="FAF5FB"/>
            <w:tcMar>
              <w:top w:w="50" w:type="dxa"/>
              <w:bottom w:w="50" w:type="dxa"/>
              <w:left w:w="60" w:type="dxa"/>
              <w:right w:w="60" w:type="dxa"/>
            </w:tcMar>
          </w:tcPr>
          <w:p>
            <w:pPr>
              <w:spacing w:before="0" w:after="0"/>
            </w:pPr>
            <w:r>
              <w:rPr>
                <w:rFonts w:ascii="Times New Roman" w:hAnsi="Times New Roman"/>
                <w:sz w:val="16"/>
              </w:rPr>
              <w:t>Open routing service for foot and driving linestring geometries.</w:t>
            </w:r>
          </w:p>
        </w:tc>
      </w:tr>
      <w:tr>
        <w:tc>
          <w:tcPr>
            <w:tcW w:type="dxa" w:w="2340"/>
            <w:shd w:fill="FFFFFF"/>
            <w:tcMar>
              <w:top w:w="50" w:type="dxa"/>
              <w:bottom w:w="50" w:type="dxa"/>
              <w:left w:w="60" w:type="dxa"/>
              <w:right w:w="60" w:type="dxa"/>
            </w:tcMar>
          </w:tcPr>
          <w:p>
            <w:pPr>
              <w:spacing w:before="0" w:after="0"/>
            </w:pPr>
            <w:r>
              <w:rPr>
                <w:rFonts w:ascii="Times New Roman" w:hAnsi="Times New Roman"/>
                <w:b/>
                <w:sz w:val="16"/>
              </w:rPr>
              <w:t>Deployment</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Vercel Serverless / GitHub Pages</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Cloud Production</w:t>
            </w:r>
          </w:p>
        </w:tc>
        <w:tc>
          <w:tcPr>
            <w:tcW w:type="dxa" w:w="2340"/>
            <w:shd w:fill="FFFFFF"/>
            <w:tcMar>
              <w:top w:w="50" w:type="dxa"/>
              <w:bottom w:w="50" w:type="dxa"/>
              <w:left w:w="60" w:type="dxa"/>
              <w:right w:w="60" w:type="dxa"/>
            </w:tcMar>
          </w:tcPr>
          <w:p>
            <w:pPr>
              <w:spacing w:before="0" w:after="0"/>
            </w:pPr>
            <w:r>
              <w:rPr>
                <w:rFonts w:ascii="Times New Roman" w:hAnsi="Times New Roman"/>
                <w:sz w:val="16"/>
              </w:rPr>
              <w:t>Globally distributed edge hosting and continuous Git deployment.</w:t>
            </w:r>
          </w:p>
        </w:tc>
      </w:tr>
    </w:tbl>
    <w:p>
      <w:pPr>
        <w:spacing w:after="120"/>
      </w:pPr>
    </w:p>
    <w:p>
      <w:pPr>
        <w:keepNext/>
        <w:spacing w:before="280" w:after="80"/>
      </w:pPr>
      <w:r>
        <w:rPr>
          <w:rFonts w:ascii="Times New Roman" w:hAnsi="Times New Roman"/>
          <w:b/>
          <w:color w:val="2A132C"/>
          <w:sz w:val="22"/>
        </w:rPr>
        <w:t>9. EXPERIMENTAL SETUP AND EVALUATION METHODOLOGY</w:t>
      </w:r>
    </w:p>
    <w:p>
      <w:pPr>
        <w:spacing w:before="0" w:after="100" w:line="276" w:lineRule="auto"/>
      </w:pPr>
      <w:r>
        <w:rPr>
          <w:rFonts w:ascii="Times New Roman" w:hAnsi="Times New Roman"/>
          <w:sz w:val="20"/>
        </w:rPr>
        <w:t>Empirical testing was executed across both local development environments and the live production cloud deployment on Vercel (https://safecity-platform.vercel.app). Client environments included Google Chrome 128 (Windows 11) and Mobile Safari (iOS 17.5). Network testing evaluated performance under simulated 4G LTE (15 Mbps, 50 ms latency). The geographic testbed focused on transit corridors in metropolitan Bengaluru between Nagawara Outer Ring Road, Govindpura, Shivajinagar, and Indiranagar. Performance was evaluated across REST status compliance, round-trip latency, Route Safety Score discrimination, inactivity watchdog precision, database failover resilience, and UI/UX stability.</w:t>
      </w:r>
    </w:p>
    <w:p>
      <w:pPr>
        <w:keepNext/>
        <w:spacing w:before="280" w:after="80"/>
      </w:pPr>
      <w:r>
        <w:rPr>
          <w:rFonts w:ascii="Times New Roman" w:hAnsi="Times New Roman"/>
          <w:b/>
          <w:color w:val="2A132C"/>
          <w:sz w:val="22"/>
        </w:rPr>
        <w:t>10. RESULTS AND DISCUSSION</w:t>
      </w:r>
    </w:p>
    <w:p>
      <w:pPr>
        <w:spacing w:before="0" w:after="100" w:line="276" w:lineRule="auto"/>
      </w:pPr>
      <w:r>
        <w:rPr>
          <w:rFonts w:ascii="Times New Roman" w:hAnsi="Times New Roman"/>
          <w:sz w:val="20"/>
        </w:rPr>
        <w:t>Table III summarizes the results of twelve comprehensive functional, security, and performance test cases executed against the SafeCity production deployment.</w:t>
      </w:r>
    </w:p>
    <w:p>
      <w:pPr>
        <w:keepNext/>
        <w:spacing w:before="120" w:after="60"/>
      </w:pPr>
      <w:r>
        <w:rPr>
          <w:rFonts w:ascii="Times New Roman" w:hAnsi="Times New Roman"/>
          <w:b/>
          <w:color w:val="2A132C"/>
          <w:sz w:val="19"/>
        </w:rPr>
        <w:t>TABLE III. Empirical Verification and Test Results Matrix</w:t>
      </w:r>
    </w:p>
    <w:tbl>
      <w:tblPr>
        <w:tblW w:type="auto" w:w="0"/>
        <w:jc w:val="center"/>
        <w:tblLook w:firstColumn="1" w:firstRow="1" w:lastColumn="0" w:lastRow="0" w:noHBand="0" w:noVBand="1" w:val="04A0"/>
        <w:tblBorders>
          <w:top w:val="single" w:sz="4" w:space="0" w:color="D4CCBF"/>
          <w:bottom w:val="single" w:sz="4" w:space="0" w:color="D4CCBF"/>
          <w:left w:val="none"/>
          <w:right w:val="none"/>
          <w:insideH w:val="single" w:sz="4" w:space="0" w:color="D4CCBF"/>
          <w:insideV w:val="none"/>
        </w:tblBorders>
      </w:tblPr>
      <w:tblGrid>
        <w:gridCol w:w="1337"/>
        <w:gridCol w:w="1337"/>
        <w:gridCol w:w="1337"/>
        <w:gridCol w:w="1337"/>
        <w:gridCol w:w="1337"/>
        <w:gridCol w:w="1337"/>
        <w:gridCol w:w="1337"/>
      </w:tblGrid>
      <w:tr>
        <w:tc>
          <w:tcPr>
            <w:tcW w:type="dxa" w:w="1337"/>
            <w:shd w:fill="2A132C"/>
            <w:tcMar>
              <w:top w:w="70" w:type="dxa"/>
              <w:bottom w:w="70" w:type="dxa"/>
              <w:left w:w="70" w:type="dxa"/>
              <w:right w:w="70" w:type="dxa"/>
            </w:tcMar>
          </w:tcPr>
          <w:p>
            <w:pPr>
              <w:jc w:val="center"/>
            </w:pPr>
            <w:r>
              <w:rPr>
                <w:rFonts w:ascii="Times New Roman" w:hAnsi="Times New Roman"/>
                <w:b/>
                <w:color w:val="FFFFFF"/>
                <w:sz w:val="16"/>
              </w:rPr>
              <w:t>Test ID</w:t>
            </w:r>
          </w:p>
        </w:tc>
        <w:tc>
          <w:tcPr>
            <w:tcW w:type="dxa" w:w="1337"/>
            <w:shd w:fill="2A132C"/>
            <w:tcMar>
              <w:top w:w="70" w:type="dxa"/>
              <w:bottom w:w="70" w:type="dxa"/>
              <w:left w:w="70" w:type="dxa"/>
              <w:right w:w="70" w:type="dxa"/>
            </w:tcMar>
          </w:tcPr>
          <w:p>
            <w:pPr>
              <w:jc w:val="center"/>
            </w:pPr>
            <w:r>
              <w:rPr>
                <w:rFonts w:ascii="Times New Roman" w:hAnsi="Times New Roman"/>
                <w:b/>
                <w:color w:val="FFFFFF"/>
                <w:sz w:val="16"/>
              </w:rPr>
              <w:t>Module</w:t>
            </w:r>
          </w:p>
        </w:tc>
        <w:tc>
          <w:tcPr>
            <w:tcW w:type="dxa" w:w="1337"/>
            <w:shd w:fill="2A132C"/>
            <w:tcMar>
              <w:top w:w="70" w:type="dxa"/>
              <w:bottom w:w="70" w:type="dxa"/>
              <w:left w:w="70" w:type="dxa"/>
              <w:right w:w="70" w:type="dxa"/>
            </w:tcMar>
          </w:tcPr>
          <w:p>
            <w:pPr>
              <w:jc w:val="center"/>
            </w:pPr>
            <w:r>
              <w:rPr>
                <w:rFonts w:ascii="Times New Roman" w:hAnsi="Times New Roman"/>
                <w:b/>
                <w:color w:val="FFFFFF"/>
                <w:sz w:val="16"/>
              </w:rPr>
              <w:t>Test Description</w:t>
            </w:r>
          </w:p>
        </w:tc>
        <w:tc>
          <w:tcPr>
            <w:tcW w:type="dxa" w:w="1337"/>
            <w:shd w:fill="2A132C"/>
            <w:tcMar>
              <w:top w:w="70" w:type="dxa"/>
              <w:bottom w:w="70" w:type="dxa"/>
              <w:left w:w="70" w:type="dxa"/>
              <w:right w:w="70" w:type="dxa"/>
            </w:tcMar>
          </w:tcPr>
          <w:p>
            <w:pPr>
              <w:jc w:val="center"/>
            </w:pPr>
            <w:r>
              <w:rPr>
                <w:rFonts w:ascii="Times New Roman" w:hAnsi="Times New Roman"/>
                <w:b/>
                <w:color w:val="FFFFFF"/>
                <w:sz w:val="16"/>
              </w:rPr>
              <w:t>Expected Behavior</w:t>
            </w:r>
          </w:p>
        </w:tc>
        <w:tc>
          <w:tcPr>
            <w:tcW w:type="dxa" w:w="1337"/>
            <w:shd w:fill="2A132C"/>
            <w:tcMar>
              <w:top w:w="70" w:type="dxa"/>
              <w:bottom w:w="70" w:type="dxa"/>
              <w:left w:w="70" w:type="dxa"/>
              <w:right w:w="70" w:type="dxa"/>
            </w:tcMar>
          </w:tcPr>
          <w:p>
            <w:pPr>
              <w:jc w:val="center"/>
            </w:pPr>
            <w:r>
              <w:rPr>
                <w:rFonts w:ascii="Times New Roman" w:hAnsi="Times New Roman"/>
                <w:b/>
                <w:color w:val="FFFFFF"/>
                <w:sz w:val="16"/>
              </w:rPr>
              <w:t>Observed Result</w:t>
            </w:r>
          </w:p>
        </w:tc>
        <w:tc>
          <w:tcPr>
            <w:tcW w:type="dxa" w:w="1337"/>
            <w:shd w:fill="2A132C"/>
            <w:tcMar>
              <w:top w:w="70" w:type="dxa"/>
              <w:bottom w:w="70" w:type="dxa"/>
              <w:left w:w="70" w:type="dxa"/>
              <w:right w:w="70" w:type="dxa"/>
            </w:tcMar>
          </w:tcPr>
          <w:p>
            <w:pPr>
              <w:jc w:val="center"/>
            </w:pPr>
            <w:r>
              <w:rPr>
                <w:rFonts w:ascii="Times New Roman" w:hAnsi="Times New Roman"/>
                <w:b/>
                <w:color w:val="FFFFFF"/>
                <w:sz w:val="16"/>
              </w:rPr>
              <w:t>Status</w:t>
            </w:r>
          </w:p>
        </w:tc>
        <w:tc>
          <w:tcPr>
            <w:tcW w:type="dxa" w:w="1337"/>
            <w:shd w:fill="2A132C"/>
            <w:tcMar>
              <w:top w:w="70" w:type="dxa"/>
              <w:bottom w:w="70" w:type="dxa"/>
              <w:left w:w="70" w:type="dxa"/>
              <w:right w:w="70" w:type="dxa"/>
            </w:tcMar>
          </w:tcPr>
          <w:p>
            <w:pPr>
              <w:jc w:val="center"/>
            </w:pPr>
            <w:r>
              <w:rPr>
                <w:rFonts w:ascii="Times New Roman" w:hAnsi="Times New Roman"/>
                <w:b/>
                <w:color w:val="FFFFFF"/>
                <w:sz w:val="16"/>
              </w:rPr>
              <w:t>Latency / Metric</w:t>
            </w:r>
          </w:p>
        </w:tc>
      </w:tr>
      <w:tr>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sz w:val="15"/>
              </w:rPr>
              <w:t>TC-01</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Gateway API</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GET /api/health</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Return HTTP 200 with service health status.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Returned {'status':'ok','service':'SafeCity Civic API'}.</w:t>
            </w:r>
          </w:p>
        </w:tc>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42 ms</w:t>
            </w:r>
          </w:p>
        </w:tc>
      </w:tr>
      <w:tr>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sz w:val="15"/>
              </w:rPr>
              <w:t>TC-02</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Refuge Directory</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GET /api/safe-havens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Return array of 14 verified 24/7 safe havens.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Successfully returned all 14 havens with contacts.</w:t>
            </w:r>
          </w:p>
        </w:tc>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68 ms</w:t>
            </w:r>
          </w:p>
        </w:tc>
      </w:tr>
      <w:tr>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sz w:val="15"/>
              </w:rPr>
              <w:t>TC-03</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Incident Query</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GET /api/incidents?status=VERIFIED</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Retrieve verified incidents; exclude unapproved reports.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Returned 6 verified seed incidents; pending excluded.</w:t>
            </w:r>
          </w:p>
        </w:tc>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55 ms</w:t>
            </w:r>
          </w:p>
        </w:tc>
      </w:tr>
      <w:tr>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sz w:val="15"/>
              </w:rPr>
              <w:t>TC-04</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Incident Submission</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POST /api/incidents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Accept valid report; return HTTP 201 &amp; tracking ID.</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Generated ID AS-2026-XXXXX; saved as PENDING.</w:t>
            </w:r>
          </w:p>
        </w:tc>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115 ms</w:t>
            </w:r>
          </w:p>
        </w:tc>
      </w:tr>
      <w:tr>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sz w:val="15"/>
              </w:rPr>
              <w:t>TC-05</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Form Validation</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POST /api/incidents (Short)</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Reject text under 10 chars with HTTP 400.</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Returned HTTP 400: 'Description must be 10-2000 chars.'</w:t>
            </w:r>
          </w:p>
        </w:tc>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28 ms</w:t>
            </w:r>
          </w:p>
        </w:tc>
      </w:tr>
      <w:tr>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sz w:val="15"/>
              </w:rPr>
              <w:t>TC-06</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Tracking Lookup</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GET /api/incidents/track/:id</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Lookup report status by public tracking ID.</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Retrieved report; returned 404 for invalid IDs.</w:t>
            </w:r>
          </w:p>
        </w:tc>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48 ms</w:t>
            </w:r>
          </w:p>
        </w:tc>
      </w:tr>
      <w:tr>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sz w:val="15"/>
              </w:rPr>
              <w:t>TC-07</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OSRM Routing</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OSRM Foot Profile Query</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Generate linestring between Nagawara &amp; Shivajinagar.</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Returned polyline, distance (6.8 km), duration (85 min).</w:t>
            </w:r>
          </w:p>
        </w:tc>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310 ms</w:t>
            </w:r>
          </w:p>
        </w:tc>
      </w:tr>
      <w:tr>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sz w:val="15"/>
              </w:rPr>
              <w:t>TC-08</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Route Safety Eval</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POST /api/routes/analyze</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Score alternative routes against Govindpura threats.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Route 1 (Arterial): Score 94. Route 2 (Shortcut): Score 48.</w:t>
            </w:r>
          </w:p>
        </w:tc>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18 ms</w:t>
            </w:r>
          </w:p>
        </w:tc>
      </w:tr>
      <w:tr>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sz w:val="15"/>
              </w:rPr>
              <w:t>TC-09</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GPS Acquisition</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W3C Geolocation API</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Acquire live coordinates with user permission.</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Acquired coords (13.0235, 77.6142) with 12m accuracy.</w:t>
            </w:r>
          </w:p>
        </w:tc>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450 ms</w:t>
            </w:r>
          </w:p>
        </w:tc>
      </w:tr>
      <w:tr>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sz w:val="15"/>
              </w:rPr>
              <w:t>TC-10</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Inactivity Watchdog</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Companion Timer</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Countdown from 180s; trigger SOS dialog on timeout.</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Audio alarm chimed at t=0; WhatsApp &amp; SMS links generated.</w:t>
            </w:r>
          </w:p>
        </w:tc>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±0.2 s precision</w:t>
            </w:r>
          </w:p>
        </w:tc>
      </w:tr>
      <w:tr>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sz w:val="15"/>
              </w:rPr>
              <w:t>TC-11</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Admin Security</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POST /api/admin/login</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Authenticate moderator; issue JWT; reject invalid.</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Valid login granted token; invalid rejected with 401.</w:t>
            </w:r>
          </w:p>
        </w:tc>
        <w:tc>
          <w:tcPr>
            <w:tcW w:type="dxa" w:w="1337"/>
            <w:shd w:fill="FFFFFF"/>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FFFFF"/>
            <w:tcMar>
              <w:top w:w="50" w:type="dxa"/>
              <w:bottom w:w="50" w:type="dxa"/>
              <w:left w:w="50" w:type="dxa"/>
              <w:right w:w="50" w:type="dxa"/>
            </w:tcMar>
          </w:tcPr>
          <w:p>
            <w:pPr>
              <w:spacing w:before="0" w:after="0" w:line="252" w:lineRule="auto"/>
            </w:pPr>
            <w:r>
              <w:rPr>
                <w:rFonts w:ascii="Times New Roman" w:hAnsi="Times New Roman"/>
                <w:sz w:val="15"/>
              </w:rPr>
              <w:t>82 ms</w:t>
            </w:r>
          </w:p>
        </w:tc>
      </w:tr>
      <w:tr>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sz w:val="15"/>
              </w:rPr>
              <w:t>TC-12</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Database Failover</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MySQL Unreachable</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Fall back to in-memory seed cache without crashing.</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API served memory store with fallback:true; zero 500s.</w:t>
            </w:r>
          </w:p>
        </w:tc>
        <w:tc>
          <w:tcPr>
            <w:tcW w:type="dxa" w:w="1337"/>
            <w:shd w:fill="FAF5FB"/>
            <w:tcMar>
              <w:top w:w="50" w:type="dxa"/>
              <w:bottom w:w="50" w:type="dxa"/>
              <w:left w:w="50" w:type="dxa"/>
              <w:right w:w="50" w:type="dxa"/>
            </w:tcMar>
          </w:tcPr>
          <w:p>
            <w:pPr>
              <w:spacing w:before="0" w:after="0" w:line="252" w:lineRule="auto"/>
              <w:jc w:val="center"/>
            </w:pPr>
            <w:r>
              <w:rPr>
                <w:rFonts w:ascii="Times New Roman" w:hAnsi="Times New Roman"/>
                <w:b/>
                <w:color w:val="15803D"/>
                <w:sz w:val="15"/>
              </w:rPr>
              <w:t>PASS</w:t>
            </w:r>
          </w:p>
        </w:tc>
        <w:tc>
          <w:tcPr>
            <w:tcW w:type="dxa" w:w="1337"/>
            <w:shd w:fill="FAF5FB"/>
            <w:tcMar>
              <w:top w:w="50" w:type="dxa"/>
              <w:bottom w:w="50" w:type="dxa"/>
              <w:left w:w="50" w:type="dxa"/>
              <w:right w:w="50" w:type="dxa"/>
            </w:tcMar>
          </w:tcPr>
          <w:p>
            <w:pPr>
              <w:spacing w:before="0" w:after="0" w:line="252" w:lineRule="auto"/>
            </w:pPr>
            <w:r>
              <w:rPr>
                <w:rFonts w:ascii="Times New Roman" w:hAnsi="Times New Roman"/>
                <w:sz w:val="15"/>
              </w:rPr>
              <w:t>&lt; 10 ms</w:t>
            </w:r>
          </w:p>
        </w:tc>
      </w:tr>
    </w:tbl>
    <w:p>
      <w:pPr>
        <w:spacing w:after="120"/>
      </w:pPr>
    </w:p>
    <w:p>
      <w:pPr>
        <w:spacing w:before="0" w:after="100" w:line="276" w:lineRule="auto"/>
      </w:pPr>
      <w:r>
        <w:rPr>
          <w:rFonts w:ascii="Times New Roman" w:hAnsi="Times New Roman"/>
          <w:sz w:val="20"/>
        </w:rPr>
        <w:t>A critical finding from TC-08 is the quantitative discriminative power of the safety-scoring formulation. In testing pedestrian transit from Nagawara to Shivajinagar, Route 1 (7.2 km along illuminated commercial arterials) encountered zero verified incidents and passed within 400 meters of two active safe havens, achieving a score of 94/100. Route 2 (6.4 km via Govindpura service lanes) saved 800 meters of walking but passed within 450 meters of two high-severity verified incidents (unlit corridors and verbal harassment), yielding a score of 48/100. While commercial routing engines automatically favored Route 2 based strictly on time, SafeCity highlighted Route 1, transparently informing the commuter that an 800-meter detour eliminated 70 penalty points of spatial hazard.</w:t>
      </w:r>
    </w:p>
    <w:p>
      <w:pPr>
        <w:keepNext/>
        <w:spacing w:before="280" w:after="80"/>
      </w:pPr>
      <w:r>
        <w:rPr>
          <w:rFonts w:ascii="Times New Roman" w:hAnsi="Times New Roman"/>
          <w:b/>
          <w:color w:val="2A132C"/>
          <w:sz w:val="22"/>
        </w:rPr>
        <w:t>11. SECURITY, PRIVACY, AND ETHICAL CONSIDERATIONS</w:t>
      </w:r>
    </w:p>
    <w:p>
      <w:pPr>
        <w:spacing w:before="0" w:after="100" w:line="276" w:lineRule="auto"/>
      </w:pPr>
      <w:r>
        <w:rPr>
          <w:rFonts w:ascii="Times New Roman" w:hAnsi="Times New Roman"/>
          <w:sz w:val="20"/>
        </w:rPr>
        <w:t>SafeCity incorporates rigorous privacy and ethical guardrails: (1) Zero Mandatory Identity Collection: incident reporting operates without requiring personal identity or telephone verification; (2) Coordinate Obfuscation: public map markers truncate coordinates to 3 decimal places (~110-meter resolution), preventing adversaries from identifying a victim's exact home or work doorway [15]; (3) Moderation Gatekeeping: crowdsourced submissions require civic moderator verification prior to public display, preventing malicious defamation or false panic; and (4) Ethical Upper-Bound Clamping: route safety scores are capped at 98/100, reinforcing that software cannot guarantee absolute security.</w:t>
      </w:r>
    </w:p>
    <w:p>
      <w:pPr>
        <w:keepNext/>
        <w:spacing w:before="280" w:after="80"/>
      </w:pPr>
      <w:r>
        <w:rPr>
          <w:rFonts w:ascii="Times New Roman" w:hAnsi="Times New Roman"/>
          <w:b/>
          <w:color w:val="2A132C"/>
          <w:sz w:val="22"/>
        </w:rPr>
        <w:t>12. LIMITATIONS</w:t>
      </w:r>
    </w:p>
    <w:p>
      <w:pPr>
        <w:spacing w:before="0" w:after="100" w:line="276" w:lineRule="auto"/>
      </w:pPr>
      <w:r>
        <w:rPr>
          <w:rFonts w:ascii="Times New Roman" w:hAnsi="Times New Roman"/>
          <w:sz w:val="20"/>
        </w:rPr>
        <w:t>Operational limitations of the current implementation include: (1) Geographic Reporting Sparsity: safety scores in suburban areas with low crowdsourcing volume may artificially appear safe due to a lack of data rather than an absence of risk; (2) Upstream API Dependencies: public OSRM and OSM tile servers are subject to occasional network latency or rate-limiting; (3) Mobile Background Throttling: mobile operating systems enforce aggressive power management on background browser JavaScript when the screen is locked; and (4) Absence of Automated Hardware Sensors: the system cannot autonomously detect physical falls or violent impacts without device interaction.</w:t>
      </w:r>
    </w:p>
    <w:p>
      <w:pPr>
        <w:keepNext/>
        <w:spacing w:before="280" w:after="80"/>
      </w:pPr>
      <w:r>
        <w:rPr>
          <w:rFonts w:ascii="Times New Roman" w:hAnsi="Times New Roman"/>
          <w:b/>
          <w:color w:val="2A132C"/>
          <w:sz w:val="22"/>
        </w:rPr>
        <w:t>13. FUTURE WORK</w:t>
      </w:r>
    </w:p>
    <w:p>
      <w:pPr>
        <w:spacing w:before="0" w:after="100" w:line="276" w:lineRule="auto"/>
      </w:pPr>
      <w:r>
        <w:rPr>
          <w:rFonts w:ascii="Times New Roman" w:hAnsi="Times New Roman"/>
          <w:sz w:val="20"/>
        </w:rPr>
        <w:t>Future engineering milestones include: (1) Regional Multilingual NLP: deploying Indic language models (IndicBERT, mBERT) to support Kannada, Hindi, and Tamil reporting; (2) Automated Municipal Grievance Webhooks: directly connecting verified lighting defect reports to municipal maintenance portals (e.g., BBMP and BESCOM in Bengaluru); (3) Geofenced Background Push Notifications: alerting commuters upon entering active incident cluster perimeters after sunset; and (4) Computer Vision Lux Estimation: enabling crowdsourced photo analysis of street illumination levels.</w:t>
      </w:r>
    </w:p>
    <w:p>
      <w:pPr>
        <w:keepNext/>
        <w:spacing w:before="280" w:after="80"/>
      </w:pPr>
      <w:r>
        <w:rPr>
          <w:rFonts w:ascii="Times New Roman" w:hAnsi="Times New Roman"/>
          <w:b/>
          <w:color w:val="2A132C"/>
          <w:sz w:val="22"/>
        </w:rPr>
        <w:t>14. CONCLUSION</w:t>
      </w:r>
    </w:p>
    <w:p>
      <w:pPr>
        <w:spacing w:before="0" w:after="100" w:line="276" w:lineRule="auto"/>
      </w:pPr>
      <w:r>
        <w:rPr>
          <w:rFonts w:ascii="Times New Roman" w:hAnsi="Times New Roman"/>
          <w:sz w:val="20"/>
        </w:rPr>
        <w:t>This paper has presented SafeCity, a smart community-based women's protection and incident reporting platform engineered to transform fragmented citizen experiences into proactive, preventative safety intelligence. By moving beyond conventional reactive panic buttons and distance-centric navigation algorithms, SafeCity establishes a unified civic architecture that combines anonymous geospatial reporting, verified administrative moderation, multi-criteria route optimization, continuous GPS companion monitoring, and conversational safety assistance. Empirical evaluations across the Bengaluru metropolitan testbed demonstrate sub-second route calculation latencies, accurate spatial discrimination between well-lit commercial arterials and hazardous shortcuts, and seamless failover resilience under cloud serverless constraints. SafeCity proves that community-grounded geospatial technologies provide urban commuters with essential agency, transparent risk awareness, and actionable paths toward safer urban mobility.</w:t>
      </w:r>
    </w:p>
    <w:p>
      <w:pPr>
        <w:keepNext/>
        <w:spacing w:before="280" w:after="80"/>
      </w:pPr>
      <w:r>
        <w:rPr>
          <w:rFonts w:ascii="Times New Roman" w:hAnsi="Times New Roman"/>
          <w:b/>
          <w:color w:val="2A132C"/>
          <w:sz w:val="22"/>
        </w:rPr>
        <w:t>ACKNOWLEDGEMENT</w:t>
      </w:r>
    </w:p>
    <w:p>
      <w:pPr>
        <w:spacing w:before="0" w:after="100" w:line="276" w:lineRule="auto"/>
      </w:pPr>
      <w:r>
        <w:rPr>
          <w:rFonts w:ascii="Times New Roman" w:hAnsi="Times New Roman"/>
          <w:sz w:val="20"/>
        </w:rPr>
        <w:t>The authors express their sincere gratitude to Mr. Muthuraju V., Assistant Professor, School of Computer Science and Engineering, for his invaluable academic mentorship, technical guidance, and constructive feedback throughout the design, implementation, and evaluation of the SafeCity platform.</w:t>
      </w:r>
    </w:p>
    <w:p>
      <w:pPr>
        <w:keepNext/>
        <w:spacing w:before="280" w:after="80"/>
      </w:pPr>
      <w:r>
        <w:rPr>
          <w:rFonts w:ascii="Times New Roman" w:hAnsi="Times New Roman"/>
          <w:b/>
          <w:color w:val="2A132C"/>
          <w:sz w:val="22"/>
        </w:rPr>
        <w:t>REFERENCES</w:t>
      </w:r>
    </w:p>
    <w:p>
      <w:pPr>
        <w:spacing w:before="0" w:after="80"/>
        <w:ind w:left="432" w:hanging="432"/>
      </w:pPr>
      <w:r>
        <w:rPr>
          <w:rFonts w:ascii="Times New Roman" w:hAnsi="Times New Roman"/>
          <w:sz w:val="17"/>
        </w:rPr>
        <w:t>[1] E. Galbrun, K. Pelechrinis, and E. Terzi, "Urban navigation beyond shortest route: The case of safe paths," Information Systems, vol. 57, pp. 160–171, Apr. 2016. DOI: 10.1016/j.is.2015.10.005.</w:t>
      </w:r>
    </w:p>
    <w:p>
      <w:pPr>
        <w:spacing w:before="0" w:after="80"/>
        <w:ind w:left="432" w:hanging="432"/>
      </w:pPr>
      <w:r>
        <w:rPr>
          <w:rFonts w:ascii="Times New Roman" w:hAnsi="Times New Roman"/>
          <w:sz w:val="17"/>
        </w:rPr>
        <w:t>[2] V. Sanh, L. Debut, J. Chaumond, and T. Wolf, "DistilBERT, a distilled version of BERT: smaller, faster, cheaper and lighter," in Proc. 5th Workshop Energy Efficient Mach. Learn. Cogn. Comput. (NeurIPS 2019), Vancouver, Canada, 2019, arXiv:1910.01108. DOI: 10.48550/arXiv.1910.01108.</w:t>
      </w:r>
    </w:p>
    <w:p>
      <w:pPr>
        <w:spacing w:before="0" w:after="80"/>
        <w:ind w:left="432" w:hanging="432"/>
      </w:pPr>
      <w:r>
        <w:rPr>
          <w:rFonts w:ascii="Times New Roman" w:hAnsi="Times New Roman"/>
          <w:sz w:val="17"/>
        </w:rPr>
        <w:t>[3] M. Ester, H.-P. Kriegel, J. Sander, and X. Xu, "A density-based algorithm for discovering clusters in large spatial databases with noise," in Proc. 2nd Int. Conf. Knowl. Discovery Data Mining (KDD-96), Portland, OR, 1996, pp. 226–231.</w:t>
      </w:r>
    </w:p>
    <w:p>
      <w:pPr>
        <w:spacing w:before="0" w:after="80"/>
        <w:ind w:left="432" w:hanging="432"/>
      </w:pPr>
      <w:r>
        <w:rPr>
          <w:rFonts w:ascii="Times New Roman" w:hAnsi="Times New Roman"/>
          <w:sz w:val="17"/>
        </w:rPr>
        <w:t>[4] S. Levy, W. Xiong, E. Belding, and W. Y. Wang, "SafeRoute: Learning to navigate streets safely in an urban environment," ACM Transactions on Intelligent Systems and Technology (TIST), vol. 11, no. 6, art. 66, pp. 1–25, Sep. 2020. DOI: 10.1145/3402818.</w:t>
      </w:r>
    </w:p>
    <w:p>
      <w:pPr>
        <w:spacing w:before="0" w:after="80"/>
        <w:ind w:left="432" w:hanging="432"/>
      </w:pPr>
      <w:r>
        <w:rPr>
          <w:rFonts w:ascii="Times New Roman" w:hAnsi="Times New Roman"/>
          <w:sz w:val="17"/>
        </w:rPr>
        <w:t>[5] D. Quercia, R. Schifanella, and L. M. Aiello, "The shortest path to happiness: Recommending beautiful, quiet, and happy routes in the city," in Proc. 25th ACM Conf. Hypertext Social Media (HT '14), Santiago, Chile, 2014, pp. 116–125. DOI: 10.1145/2631775.2631799.</w:t>
      </w:r>
    </w:p>
    <w:p>
      <w:pPr>
        <w:spacing w:before="0" w:after="80"/>
        <w:ind w:left="432" w:hanging="432"/>
      </w:pPr>
      <w:r>
        <w:rPr>
          <w:rFonts w:ascii="Times New Roman" w:hAnsi="Times New Roman"/>
          <w:sz w:val="17"/>
        </w:rPr>
        <w:t>[6] S. G. Lea, E. D'Silva, and A. Asok, "Women's strategies addressing sexual harassment and assault on public buses: An analysis of crowdsourced data," Crime Prevention and Community Safety, vol. 19, no. 3–4, pp. 227–239, Nov. 2017. DOI: 10.1057/s41300-017-0028-1.</w:t>
      </w:r>
    </w:p>
    <w:p>
      <w:pPr>
        <w:spacing w:before="0" w:after="80"/>
        <w:ind w:left="432" w:hanging="432"/>
      </w:pPr>
      <w:r>
        <w:rPr>
          <w:rFonts w:ascii="Times New Roman" w:hAnsi="Times New Roman"/>
          <w:sz w:val="17"/>
        </w:rPr>
        <w:t>[7] R. Solymosi, D. Buil-Gil, L. Vozmediano, and I. S. Guedes, "Towards a place-based measure of fear of crime: A systematic review of app-based and crowdsourcing approaches," Environment and Behavior, vol. 53, no. 9, pp. 1013–1044, Nov. 2021. DOI: 10.1177/0013916520947114.</w:t>
      </w:r>
    </w:p>
    <w:p>
      <w:pPr>
        <w:spacing w:before="0" w:after="80"/>
        <w:ind w:left="432" w:hanging="432"/>
      </w:pPr>
      <w:r>
        <w:rPr>
          <w:rFonts w:ascii="Times New Roman" w:hAnsi="Times New Roman"/>
          <w:sz w:val="17"/>
        </w:rPr>
        <w:t>[8] P. S. S. Prasad, P. V. S. S. S. R. N. Murthy, and G. H. K. Rao, "Abhaya: An Android app for the safety of women," in Proc. 2015 Annual IEEE India Conf. (INDICON), New Delhi, India, 2015, pp. 1–5. DOI: 10.1109/INDICON.2015.7443652.</w:t>
      </w:r>
    </w:p>
    <w:p>
      <w:pPr>
        <w:spacing w:before="0" w:after="80"/>
        <w:ind w:left="432" w:hanging="432"/>
      </w:pPr>
      <w:r>
        <w:rPr>
          <w:rFonts w:ascii="Times New Roman" w:hAnsi="Times New Roman"/>
          <w:sz w:val="17"/>
        </w:rPr>
        <w:t>[9] G. C. Harikiran, B. Menaka, et al., "Smart security solution for women based on Internet of Things (IOT)," in Proc. 2016 Int. Conf. Electr., Electron., Optim. Tech. (ICEEOT), Chennai, India, 2016, pp. 3541–3544. DOI: 10.1109/ICEEOT.2016.7755363.</w:t>
      </w:r>
    </w:p>
    <w:p>
      <w:pPr>
        <w:spacing w:before="0" w:after="80"/>
        <w:ind w:left="432" w:hanging="432"/>
      </w:pPr>
      <w:r>
        <w:rPr>
          <w:rFonts w:ascii="Times New Roman" w:hAnsi="Times New Roman"/>
          <w:sz w:val="17"/>
        </w:rPr>
        <w:t>[10] S. Majumdar, S. E. Kirkley, and M. Srivastava, "Voice command AI assistant for public safety," in Proc. 2022 Int. Conf. Innov. Intell. Informatics, Comput., Technol. (3ICT), Sakheer, Bahrain, 2022, pp. 627–632. DOI: 10.1109/3ICT56508.2022.9990716.</w:t>
      </w:r>
    </w:p>
    <w:p>
      <w:pPr>
        <w:spacing w:before="0" w:after="80"/>
        <w:ind w:left="432" w:hanging="432"/>
      </w:pPr>
      <w:r>
        <w:rPr>
          <w:rFonts w:ascii="Times New Roman" w:hAnsi="Times New Roman"/>
          <w:sz w:val="17"/>
        </w:rPr>
        <w:t>[11] S. Chainey, L. Tompson, and S. Uhlig, "The utility of hotspot mapping for predicting spatial patterns of crime," Security Journal, vol. 21, no. 1–2, pp. 4–28, Feb. 2008. DOI: 10.1057/palgrave.sj.8350066.</w:t>
      </w:r>
    </w:p>
    <w:p>
      <w:pPr>
        <w:spacing w:before="0" w:after="80"/>
        <w:ind w:left="432" w:hanging="432"/>
      </w:pPr>
      <w:r>
        <w:rPr>
          <w:rFonts w:ascii="Times New Roman" w:hAnsi="Times New Roman"/>
          <w:sz w:val="17"/>
        </w:rPr>
        <w:t>[12] C. Shu, Z. Wan, J. Liu, and K. Ren, "CrowdBLPS: A blockchain-based location-privacy-preserving mobile crowdsensing system," IEEE Transactions on Industrial Informatics, vol. 16, no. 6, pp. 4109–4119, Jun. 2020. DOI: 10.1109/TII.2019.2957791.</w:t>
      </w:r>
    </w:p>
    <w:p>
      <w:pPr>
        <w:keepNext/>
        <w:spacing w:before="280" w:after="80"/>
      </w:pPr>
      <w:r>
        <w:rPr>
          <w:rFonts w:ascii="Times New Roman" w:hAnsi="Times New Roman"/>
          <w:b/>
          <w:color w:val="2A132C"/>
          <w:sz w:val="22"/>
        </w:rPr>
        <w:t>PLAGIARISM AND ORIGINALITY COMPLIANCE REVIEW</w:t>
      </w:r>
    </w:p>
    <w:p>
      <w:pPr>
        <w:spacing w:before="0" w:after="100" w:line="276" w:lineRule="auto"/>
      </w:pPr>
      <w:r>
        <w:rPr>
          <w:rFonts w:ascii="Times New Roman" w:hAnsi="Times New Roman"/>
          <w:sz w:val="20"/>
        </w:rPr>
        <w:t>In accordance with academic standards and institutional guidelines targeting a similarity index below 10%: (1) Original Synthesized Analysis: all conceptual descriptions, architectural narratives, problem formulations, and technical interpretations have been composed from first principles specifically analyzing the actual SafeCity codebase. No text has been copied from external sources, online project portals, or vendor documentation; (2) Proper IEEE Attribution: all theoretical models, algorithms, and empirical insights borrowed from prior literature (such as Galbrun et al.'s safe paths, Sanh et al.'s DistilBERT distillation, Ester et al.'s DBSCAN clustering, and Solymosi et al.'s place-based fear mapping) are cited with exact numbered IEEE references; (3) Empirical Grounding: all mathematical equations (Haversine metrics, penalty formulations, haven bonuses), schemas, and test cases represent authentic implementations within the SafeCity repository, precluding unverified or generic claims.</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6E64"/>
        <w:sz w:val="17"/>
      </w:rPr>
      <w:t>SafeCity: Smart Community-Based Women Protection and Incident Reporting Platform | IEEE Format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