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80"/>
        <w:jc w:val="center"/>
      </w:pPr>
      <w:r>
        <w:rPr>
          <w:rFonts w:ascii="Times New Roman" w:hAnsi="Times New Roman"/>
          <w:b/>
          <w:color w:val="0F172A"/>
          <w:sz w:val="32"/>
        </w:rPr>
        <w:t>APPENDIX-B</w:t>
      </w:r>
    </w:p>
    <w:p>
      <w:pPr>
        <w:keepNext/>
        <w:spacing w:before="360" w:after="80"/>
        <w:jc w:val="center"/>
      </w:pPr>
      <w:r>
        <w:rPr>
          <w:rFonts w:ascii="Times New Roman" w:hAnsi="Times New Roman"/>
          <w:b/>
          <w:color w:val="0F172A"/>
          <w:sz w:val="32"/>
        </w:rPr>
        <w:t>SYSTEM SCREENSHOTS AND USER INTERFACE WALKTHROUGH</w:t>
      </w:r>
    </w:p>
    <w:p>
      <w:pPr>
        <w:spacing w:after="120" w:line="276" w:lineRule="auto"/>
        <w:jc w:val="both"/>
      </w:pPr>
      <w:r>
        <w:rPr>
          <w:rFonts w:ascii="Times New Roman" w:hAnsi="Times New Roman"/>
          <w:color w:val="0F172A"/>
          <w:sz w:val="24"/>
        </w:rPr>
        <w:t>This appendix presents the user interface and operational screenshots of the SafeCity platform, illustrating the end-to-end user workflows across both the citizen-facing Progressive Web App (PWA) / mobile client and the administrative verification portal. SafeCity combines proactive safety-weighted route guidance, privacy-preserving incident ingestion, real-time virtual companion escorting with an autonomous 180-second stationary watchdog, and administrative moderation.</w:t>
      </w:r>
    </w:p>
    <w:p>
      <w:pPr>
        <w:spacing w:before="200" w:after="60"/>
        <w:jc w:val="center"/>
      </w:pPr>
    </w:p>
    <w:p>
      <w:r>
        <w:drawing>
          <wp:inline xmlns:a="http://schemas.openxmlformats.org/drawingml/2006/main" xmlns:pic="http://schemas.openxmlformats.org/drawingml/2006/picture">
            <wp:extent cx="5120640" cy="2902763"/>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5120640" cy="2902763"/>
                    </a:xfrm>
                    <a:prstGeom prst="rect"/>
                  </pic:spPr>
                </pic:pic>
              </a:graphicData>
            </a:graphic>
          </wp:inline>
        </w:drawing>
      </w:r>
    </w:p>
    <w:p>
      <w:pPr>
        <w:keepNext/>
        <w:spacing w:before="40" w:after="80"/>
        <w:jc w:val="center"/>
      </w:pPr>
      <w:r>
        <w:rPr>
          <w:rFonts w:ascii="Times New Roman" w:hAnsi="Times New Roman"/>
          <w:b/>
          <w:sz w:val="22"/>
        </w:rPr>
        <w:t xml:space="preserve">Figure B.1: </w:t>
      </w:r>
      <w:r>
        <w:rPr>
          <w:rFonts w:ascii="Times New Roman" w:hAnsi="Times New Roman"/>
          <w:i/>
          <w:sz w:val="22"/>
        </w:rPr>
        <w:t>SafeCity End-to-End System Architecture Overview</w:t>
      </w:r>
    </w:p>
    <w:p>
      <w:pPr>
        <w:spacing w:after="200" w:line="276" w:lineRule="auto"/>
        <w:jc w:val="both"/>
      </w:pPr>
      <w:r>
        <w:rPr>
          <w:rFonts w:ascii="Times New Roman" w:hAnsi="Times New Roman"/>
          <w:sz w:val="22"/>
        </w:rPr>
        <w:t>Figure B.1 illustrates the four-tier architectural pipeline of SafeCity. Tier 1 comprises the Citizen Mobile Client and Administrative Moderator Portal. Tier 2 encapsulates the Express.js API backend and the Multi-Criteria Safety-Aware Pathfinding Engine. Tier 3 incorporates the MySQL 8.0 spatial persistence layer and the continuous Walk With Me companion telemetry engine. Tier 4 represents the verified safe haven network and external emergency SMS dispatch services.</w:t>
      </w:r>
    </w:p>
    <w:p>
      <w:pPr>
        <w:spacing w:before="200" w:after="60"/>
        <w:jc w:val="center"/>
      </w:pPr>
    </w:p>
    <w:p>
      <w:r>
        <w:drawing>
          <wp:inline xmlns:a="http://schemas.openxmlformats.org/drawingml/2006/main" xmlns:pic="http://schemas.openxmlformats.org/drawingml/2006/picture">
            <wp:extent cx="5120640" cy="3930491"/>
            <wp:docPr id="2" name="Picture 2"/>
            <wp:cNvGraphicFramePr>
              <a:graphicFrameLocks noChangeAspect="1"/>
            </wp:cNvGraphicFramePr>
            <a:graphic>
              <a:graphicData uri="http://schemas.openxmlformats.org/drawingml/2006/picture">
                <pic:pic>
                  <pic:nvPicPr>
                    <pic:cNvPr id="0" name="media_1792716895360_d4676a25.png"/>
                    <pic:cNvPicPr/>
                  </pic:nvPicPr>
                  <pic:blipFill>
                    <a:blip r:embed="rId10"/>
                    <a:stretch>
                      <a:fillRect/>
                    </a:stretch>
                  </pic:blipFill>
                  <pic:spPr>
                    <a:xfrm>
                      <a:off x="0" y="0"/>
                      <a:ext cx="5120640" cy="3930491"/>
                    </a:xfrm>
                    <a:prstGeom prst="rect"/>
                  </pic:spPr>
                </pic:pic>
              </a:graphicData>
            </a:graphic>
          </wp:inline>
        </w:drawing>
      </w:r>
    </w:p>
    <w:p>
      <w:pPr>
        <w:keepNext/>
        <w:spacing w:before="40" w:after="80"/>
        <w:jc w:val="center"/>
      </w:pPr>
      <w:r>
        <w:rPr>
          <w:rFonts w:ascii="Times New Roman" w:hAnsi="Times New Roman"/>
          <w:b/>
          <w:sz w:val="22"/>
        </w:rPr>
        <w:t xml:space="preserve">Figure B.2: </w:t>
      </w:r>
      <w:r>
        <w:rPr>
          <w:rFonts w:ascii="Times New Roman" w:hAnsi="Times New Roman"/>
          <w:i/>
          <w:sz w:val="22"/>
        </w:rPr>
        <w:t>SafeCity Mobile Application Landing &amp; Safety Dashboard</w:t>
      </w:r>
    </w:p>
    <w:p>
      <w:pPr>
        <w:spacing w:after="200" w:line="276" w:lineRule="auto"/>
        <w:jc w:val="both"/>
      </w:pPr>
      <w:r>
        <w:rPr>
          <w:rFonts w:ascii="Times New Roman" w:hAnsi="Times New Roman"/>
          <w:sz w:val="22"/>
        </w:rPr>
        <w:t>Figure B.2 demonstrates the primary mobile application dashboard. It provides instant access to the emergency SOS beacon, route safety calculator, live incident map, and nearest verified civic sanctuaries. The UI employs high-contrast accessibility themes and large-touch interactive elements designed for rapid access under low-light or high-stress conditions.</w:t>
      </w:r>
    </w:p>
    <w:p>
      <w:pPr>
        <w:spacing w:before="200" w:after="60"/>
        <w:jc w:val="center"/>
      </w:pPr>
    </w:p>
    <w:p>
      <w:r>
        <w:drawing>
          <wp:inline xmlns:a="http://schemas.openxmlformats.org/drawingml/2006/main" xmlns:pic="http://schemas.openxmlformats.org/drawingml/2006/picture">
            <wp:extent cx="5120640" cy="6118478"/>
            <wp:docPr id="3" name="Picture 3"/>
            <wp:cNvGraphicFramePr>
              <a:graphicFrameLocks noChangeAspect="1"/>
            </wp:cNvGraphicFramePr>
            <a:graphic>
              <a:graphicData uri="http://schemas.openxmlformats.org/drawingml/2006/picture">
                <pic:pic>
                  <pic:nvPicPr>
                    <pic:cNvPr id="0" name="media_1792718821677_e612f15a.png"/>
                    <pic:cNvPicPr/>
                  </pic:nvPicPr>
                  <pic:blipFill>
                    <a:blip r:embed="rId11"/>
                    <a:stretch>
                      <a:fillRect/>
                    </a:stretch>
                  </pic:blipFill>
                  <pic:spPr>
                    <a:xfrm>
                      <a:off x="0" y="0"/>
                      <a:ext cx="5120640" cy="6118478"/>
                    </a:xfrm>
                    <a:prstGeom prst="rect"/>
                  </pic:spPr>
                </pic:pic>
              </a:graphicData>
            </a:graphic>
          </wp:inline>
        </w:drawing>
      </w:r>
    </w:p>
    <w:p>
      <w:pPr>
        <w:keepNext/>
        <w:spacing w:before="40" w:after="80"/>
        <w:jc w:val="center"/>
      </w:pPr>
      <w:r>
        <w:rPr>
          <w:rFonts w:ascii="Times New Roman" w:hAnsi="Times New Roman"/>
          <w:b/>
          <w:sz w:val="22"/>
        </w:rPr>
        <w:t xml:space="preserve">Figure B.3: </w:t>
      </w:r>
      <w:r>
        <w:rPr>
          <w:rFonts w:ascii="Times New Roman" w:hAnsi="Times New Roman"/>
          <w:i/>
          <w:sz w:val="22"/>
        </w:rPr>
        <w:t>Privacy-Preserving Participatory Incident Ingestion Interface</w:t>
      </w:r>
    </w:p>
    <w:p>
      <w:pPr>
        <w:spacing w:after="200" w:line="276" w:lineRule="auto"/>
        <w:jc w:val="both"/>
      </w:pPr>
      <w:r>
        <w:rPr>
          <w:rFonts w:ascii="Times New Roman" w:hAnsi="Times New Roman"/>
          <w:sz w:val="22"/>
        </w:rPr>
        <w:t>Figure B.3 displays the incident reporting form. The platform automatically quantizes GPS coordinates to a 3-decimal grid cell (~110m resolution) before submission, safeguarding reporter anonymity. Users specify incident categories (Harassment, Stalking, Poor Lighting, Deserted Area, Physical Assault), severity levels (Low, Medium, High), and optional observations before submitting for moderator review.</w:t>
      </w:r>
    </w:p>
    <w:p>
      <w:pPr>
        <w:spacing w:before="200" w:after="60"/>
        <w:jc w:val="center"/>
      </w:pPr>
    </w:p>
    <w:p>
      <w:r>
        <w:drawing>
          <wp:inline xmlns:a="http://schemas.openxmlformats.org/drawingml/2006/main" xmlns:pic="http://schemas.openxmlformats.org/drawingml/2006/picture">
            <wp:extent cx="5120640" cy="3095386"/>
            <wp:docPr id="4" name="Picture 4"/>
            <wp:cNvGraphicFramePr>
              <a:graphicFrameLocks noChangeAspect="1"/>
            </wp:cNvGraphicFramePr>
            <a:graphic>
              <a:graphicData uri="http://schemas.openxmlformats.org/drawingml/2006/picture">
                <pic:pic>
                  <pic:nvPicPr>
                    <pic:cNvPr id="0" name="media_1792718803976_c3786d9d.png"/>
                    <pic:cNvPicPr/>
                  </pic:nvPicPr>
                  <pic:blipFill>
                    <a:blip r:embed="rId12"/>
                    <a:stretch>
                      <a:fillRect/>
                    </a:stretch>
                  </pic:blipFill>
                  <pic:spPr>
                    <a:xfrm>
                      <a:off x="0" y="0"/>
                      <a:ext cx="5120640" cy="3095386"/>
                    </a:xfrm>
                    <a:prstGeom prst="rect"/>
                  </pic:spPr>
                </pic:pic>
              </a:graphicData>
            </a:graphic>
          </wp:inline>
        </w:drawing>
      </w:r>
    </w:p>
    <w:p>
      <w:pPr>
        <w:keepNext/>
        <w:spacing w:before="40" w:after="80"/>
        <w:jc w:val="center"/>
      </w:pPr>
      <w:r>
        <w:rPr>
          <w:rFonts w:ascii="Times New Roman" w:hAnsi="Times New Roman"/>
          <w:b/>
          <w:sz w:val="22"/>
        </w:rPr>
        <w:t xml:space="preserve">Figure B.4: </w:t>
      </w:r>
      <w:r>
        <w:rPr>
          <w:rFonts w:ascii="Times New Roman" w:hAnsi="Times New Roman"/>
          <w:i/>
          <w:sz w:val="22"/>
        </w:rPr>
        <w:t>Multi-Criteria Safety-Aware Route Planner &amp; Corridor Heatmap</w:t>
      </w:r>
    </w:p>
    <w:p>
      <w:pPr>
        <w:spacing w:after="200" w:line="276" w:lineRule="auto"/>
        <w:jc w:val="both"/>
      </w:pPr>
      <w:r>
        <w:rPr>
          <w:rFonts w:ascii="Times New Roman" w:hAnsi="Times New Roman"/>
          <w:sz w:val="22"/>
        </w:rPr>
        <w:t>Figure B.4 showcases the interactive Leaflet GIS route comparison view. The route planner scores candidate paths on a 0-100 safety scale, penalizing recent spatial crime clusters while rewarding active street illumination and verified 24/7 safe havens. Users can clearly contrast the primary arterial route (Safety Score 94/100) against an unlit shortcut (Safety Score 48/100).</w:t>
      </w:r>
    </w:p>
    <w:p>
      <w:pPr>
        <w:spacing w:before="200" w:after="60"/>
        <w:jc w:val="center"/>
      </w:pPr>
    </w:p>
    <w:p>
      <w:r>
        <w:drawing>
          <wp:inline xmlns:a="http://schemas.openxmlformats.org/drawingml/2006/main" xmlns:pic="http://schemas.openxmlformats.org/drawingml/2006/picture">
            <wp:extent cx="5120640" cy="4935617"/>
            <wp:docPr id="5" name="Picture 5"/>
            <wp:cNvGraphicFramePr>
              <a:graphicFrameLocks noChangeAspect="1"/>
            </wp:cNvGraphicFramePr>
            <a:graphic>
              <a:graphicData uri="http://schemas.openxmlformats.org/drawingml/2006/picture">
                <pic:pic>
                  <pic:nvPicPr>
                    <pic:cNvPr id="0" name="media_1792718731738_8e643368.jpg"/>
                    <pic:cNvPicPr/>
                  </pic:nvPicPr>
                  <pic:blipFill>
                    <a:blip r:embed="rId13"/>
                    <a:stretch>
                      <a:fillRect/>
                    </a:stretch>
                  </pic:blipFill>
                  <pic:spPr>
                    <a:xfrm>
                      <a:off x="0" y="0"/>
                      <a:ext cx="5120640" cy="4935617"/>
                    </a:xfrm>
                    <a:prstGeom prst="rect"/>
                  </pic:spPr>
                </pic:pic>
              </a:graphicData>
            </a:graphic>
          </wp:inline>
        </w:drawing>
      </w:r>
    </w:p>
    <w:p>
      <w:pPr>
        <w:keepNext/>
        <w:spacing w:before="40" w:after="80"/>
        <w:jc w:val="center"/>
      </w:pPr>
      <w:r>
        <w:rPr>
          <w:rFonts w:ascii="Times New Roman" w:hAnsi="Times New Roman"/>
          <w:b/>
          <w:sz w:val="22"/>
        </w:rPr>
        <w:t xml:space="preserve">Figure B.5: </w:t>
      </w:r>
      <w:r>
        <w:rPr>
          <w:rFonts w:ascii="Times New Roman" w:hAnsi="Times New Roman"/>
          <w:i/>
          <w:sz w:val="22"/>
        </w:rPr>
        <w:t>"Walk With Me" Live Companion Escort &amp; Telemetry Watchdog</w:t>
      </w:r>
    </w:p>
    <w:p>
      <w:pPr>
        <w:spacing w:after="200" w:line="276" w:lineRule="auto"/>
        <w:jc w:val="both"/>
      </w:pPr>
      <w:r>
        <w:rPr>
          <w:rFonts w:ascii="Times New Roman" w:hAnsi="Times New Roman"/>
          <w:sz w:val="22"/>
        </w:rPr>
        <w:t>Figure B.5 exhibits the continuous GPS escort interface. The system monitors transit displacement every 3 seconds. When user velocity drops below 3 meters across successive intervals, the autonomous 180-second stationary inactivity countdown engages, prompting a safe confirmation dialog before triggering multi-stage audio-visual sirens and emergency SMS dispatch.</w:t>
      </w:r>
    </w:p>
    <w:p>
      <w:pPr>
        <w:spacing w:before="200" w:after="60"/>
        <w:jc w:val="center"/>
      </w:pPr>
    </w:p>
    <w:p>
      <w:r>
        <w:drawing>
          <wp:inline xmlns:a="http://schemas.openxmlformats.org/drawingml/2006/main" xmlns:pic="http://schemas.openxmlformats.org/drawingml/2006/picture">
            <wp:extent cx="5120640" cy="2940367"/>
            <wp:docPr id="6" name="Picture 6"/>
            <wp:cNvGraphicFramePr>
              <a:graphicFrameLocks noChangeAspect="1"/>
            </wp:cNvGraphicFramePr>
            <a:graphic>
              <a:graphicData uri="http://schemas.openxmlformats.org/drawingml/2006/picture">
                <pic:pic>
                  <pic:nvPicPr>
                    <pic:cNvPr id="0" name="media_1792720198951_ba55825b.png"/>
                    <pic:cNvPicPr/>
                  </pic:nvPicPr>
                  <pic:blipFill>
                    <a:blip r:embed="rId14"/>
                    <a:stretch>
                      <a:fillRect/>
                    </a:stretch>
                  </pic:blipFill>
                  <pic:spPr>
                    <a:xfrm>
                      <a:off x="0" y="0"/>
                      <a:ext cx="5120640" cy="2940367"/>
                    </a:xfrm>
                    <a:prstGeom prst="rect"/>
                  </pic:spPr>
                </pic:pic>
              </a:graphicData>
            </a:graphic>
          </wp:inline>
        </w:drawing>
      </w:r>
    </w:p>
    <w:p>
      <w:pPr>
        <w:keepNext/>
        <w:spacing w:before="40" w:after="80"/>
        <w:jc w:val="center"/>
      </w:pPr>
      <w:r>
        <w:rPr>
          <w:rFonts w:ascii="Times New Roman" w:hAnsi="Times New Roman"/>
          <w:b/>
          <w:sz w:val="22"/>
        </w:rPr>
        <w:t xml:space="preserve">Figure B.6: </w:t>
      </w:r>
      <w:r>
        <w:rPr>
          <w:rFonts w:ascii="Times New Roman" w:hAnsi="Times New Roman"/>
          <w:i/>
          <w:sz w:val="22"/>
        </w:rPr>
        <w:t>Administrative Moderation Queue &amp; Community Verification Interface</w:t>
      </w:r>
    </w:p>
    <w:p>
      <w:pPr>
        <w:spacing w:after="200" w:line="276" w:lineRule="auto"/>
        <w:jc w:val="both"/>
      </w:pPr>
      <w:r>
        <w:rPr>
          <w:rFonts w:ascii="Times New Roman" w:hAnsi="Times New Roman"/>
          <w:sz w:val="22"/>
        </w:rPr>
        <w:t>Figure B.6 highlights the administrative portal used by authorized community moderators to inspect pending incident reports, cross-verify spatial clustering patterns, and filter out false reports or spam. Approved incidents immediately update the public GIS scoring surface, maintaining high data fidelity.</w:t>
      </w:r>
    </w:p>
    <w:p>
      <w:r>
        <w:br w:type="page"/>
      </w:r>
    </w:p>
    <w:p>
      <w:pPr>
        <w:keepNext/>
        <w:spacing w:before="360" w:after="80"/>
        <w:jc w:val="center"/>
      </w:pPr>
      <w:r>
        <w:rPr>
          <w:rFonts w:ascii="Times New Roman" w:hAnsi="Times New Roman"/>
          <w:b/>
          <w:color w:val="0F172A"/>
          <w:sz w:val="32"/>
        </w:rPr>
        <w:t>APPENDIX-C</w:t>
      </w:r>
    </w:p>
    <w:p>
      <w:pPr>
        <w:keepNext/>
        <w:spacing w:before="360" w:after="80"/>
        <w:jc w:val="center"/>
      </w:pPr>
      <w:r>
        <w:rPr>
          <w:rFonts w:ascii="Times New Roman" w:hAnsi="Times New Roman"/>
          <w:b/>
          <w:color w:val="0F172A"/>
          <w:sz w:val="32"/>
        </w:rPr>
        <w:t>PROJECT ENCLOSURES AND ACADEMIC COMPLIANCE</w:t>
      </w:r>
    </w:p>
    <w:p>
      <w:pPr>
        <w:spacing w:after="120" w:line="276" w:lineRule="auto"/>
        <w:jc w:val="both"/>
      </w:pPr>
      <w:r>
        <w:rPr>
          <w:rFonts w:ascii="Times New Roman" w:hAnsi="Times New Roman"/>
          <w:color w:val="0F172A"/>
          <w:sz w:val="24"/>
        </w:rPr>
        <w:t>This appendix compiles the statutory and academic compliance enclosures required for the B.Tech Capstone Project thesis evaluation at Presidency University, covering conference paper publication details, student achievements, official similarity check certification, and United Nations Sustainable Development Goals (SDG) mapping.</w:t>
      </w:r>
    </w:p>
    <w:p>
      <w:pPr>
        <w:keepNext/>
        <w:spacing w:before="280" w:after="80"/>
        <w:jc w:val="left"/>
      </w:pPr>
      <w:r>
        <w:rPr>
          <w:rFonts w:ascii="Times New Roman" w:hAnsi="Times New Roman"/>
          <w:b/>
          <w:color w:val="1E293B"/>
          <w:sz w:val="26"/>
        </w:rPr>
        <w:t>1. Conference Paper Publication &amp; Registration Proof</w:t>
      </w:r>
    </w:p>
    <w:p>
      <w:pPr>
        <w:spacing w:after="120" w:line="276" w:lineRule="auto"/>
        <w:jc w:val="both"/>
      </w:pPr>
      <w:r>
        <w:rPr>
          <w:rFonts w:ascii="Times New Roman" w:hAnsi="Times New Roman"/>
          <w:color w:val="0F172A"/>
          <w:sz w:val="24"/>
        </w:rPr>
        <w:t>The research work resulting from this capstone project has been formulated into a complete 5-page IEEE conference manuscript titled "SafeCity: SMART COMMUNITY-BASED WOMEN PROTECTION AND INCIDENT REPORTING PLATFORM" and registered for publication in the IEEE conference track.</w:t>
      </w:r>
    </w:p>
    <w:tbl>
      <w:tblPr>
        <w:tblW w:type="auto" w:w="0"/>
        <w:jc w:val="center"/>
        <w:tblLook w:firstColumn="1" w:firstRow="1" w:lastColumn="0" w:lastRow="0" w:noHBand="0" w:noVBand="1" w:val="04A0"/>
      </w:tblPr>
      <w:tblGrid>
        <w:gridCol w:w="4500"/>
        <w:gridCol w:w="4500"/>
      </w:tblGrid>
      <w:tr>
        <w:tc>
          <w:tcPr>
            <w:tcW w:type="dxa" w:w="4500"/>
            <w:shd w:fill="1E293B"/>
          </w:tcPr>
          <w:p>
            <w:r>
              <w:rPr>
                <w:b/>
                <w:color w:val="FFFFFF"/>
              </w:rPr>
              <w:t>Item / Dimension</w:t>
            </w:r>
          </w:p>
        </w:tc>
        <w:tc>
          <w:tcPr>
            <w:tcW w:type="dxa" w:w="4500"/>
            <w:shd w:fill="1E293B"/>
          </w:tcPr>
          <w:p>
            <w:r>
              <w:rPr>
                <w:b/>
                <w:color w:val="FFFFFF"/>
              </w:rPr>
              <w:t>Registration &amp; Submission Particulars</w:t>
            </w:r>
          </w:p>
        </w:tc>
      </w:tr>
      <w:tr>
        <w:tc>
          <w:tcPr>
            <w:tcW w:type="dxa" w:w="3168"/>
            <w:shd w:fill="FFFFFF"/>
            <w:tcMar>
              <w:top w:w="40" w:type="dxa"/>
              <w:bottom w:w="40" w:type="dxa"/>
              <w:left w:w="60" w:type="dxa"/>
              <w:right w:w="60" w:type="dxa"/>
            </w:tcMar>
          </w:tcPr>
          <w:p>
            <w:r>
              <w:rPr>
                <w:rFonts w:ascii="Times New Roman" w:hAnsi="Times New Roman"/>
                <w:b/>
                <w:sz w:val="21"/>
              </w:rPr>
              <w:t>Paper Title</w:t>
            </w:r>
          </w:p>
        </w:tc>
        <w:tc>
          <w:tcPr>
            <w:tcW w:type="dxa" w:w="6192"/>
            <w:shd w:fill="FFFFFF"/>
            <w:tcMar>
              <w:top w:w="40" w:type="dxa"/>
              <w:bottom w:w="40" w:type="dxa"/>
              <w:left w:w="60" w:type="dxa"/>
              <w:right w:w="60" w:type="dxa"/>
            </w:tcMar>
          </w:tcPr>
          <w:p>
            <w:r>
              <w:rPr>
                <w:rFonts w:ascii="Times New Roman" w:hAnsi="Times New Roman"/>
                <w:sz w:val="21"/>
              </w:rPr>
              <w:t>SafeCity: SMART COMMUNITY-BASED WOMEN PROTECTION AND INCIDENT REPORTING PLATFORM</w:t>
            </w:r>
          </w:p>
        </w:tc>
      </w:tr>
      <w:tr>
        <w:tc>
          <w:tcPr>
            <w:tcW w:type="dxa" w:w="3168"/>
            <w:shd w:fill="F8FAFC"/>
            <w:tcMar>
              <w:top w:w="40" w:type="dxa"/>
              <w:bottom w:w="40" w:type="dxa"/>
              <w:left w:w="60" w:type="dxa"/>
              <w:right w:w="60" w:type="dxa"/>
            </w:tcMar>
          </w:tcPr>
          <w:p>
            <w:r>
              <w:rPr>
                <w:rFonts w:ascii="Times New Roman" w:hAnsi="Times New Roman"/>
                <w:b/>
                <w:sz w:val="21"/>
              </w:rPr>
              <w:t>Primary Student Authors</w:t>
            </w:r>
          </w:p>
        </w:tc>
        <w:tc>
          <w:tcPr>
            <w:tcW w:type="dxa" w:w="6192"/>
            <w:shd w:fill="F8FAFC"/>
            <w:tcMar>
              <w:top w:w="40" w:type="dxa"/>
              <w:bottom w:w="40" w:type="dxa"/>
              <w:left w:w="60" w:type="dxa"/>
              <w:right w:w="60" w:type="dxa"/>
            </w:tcMar>
          </w:tcPr>
          <w:p>
            <w:r>
              <w:rPr>
                <w:rFonts w:ascii="Times New Roman" w:hAnsi="Times New Roman"/>
                <w:sz w:val="21"/>
              </w:rPr>
              <w:t>Akshat Singh (1PU22CS021)</w:t>
              <w:br/>
              <w:t>Mohammed Aahil Nouman (1PU22CS089)</w:t>
              <w:br/>
              <w:t>Siddiq (1PU22CS154)</w:t>
            </w:r>
          </w:p>
        </w:tc>
      </w:tr>
      <w:tr>
        <w:tc>
          <w:tcPr>
            <w:tcW w:type="dxa" w:w="3168"/>
            <w:shd w:fill="FFFFFF"/>
            <w:tcMar>
              <w:top w:w="40" w:type="dxa"/>
              <w:bottom w:w="40" w:type="dxa"/>
              <w:left w:w="60" w:type="dxa"/>
              <w:right w:w="60" w:type="dxa"/>
            </w:tcMar>
          </w:tcPr>
          <w:p>
            <w:r>
              <w:rPr>
                <w:rFonts w:ascii="Times New Roman" w:hAnsi="Times New Roman"/>
                <w:b/>
                <w:sz w:val="21"/>
              </w:rPr>
              <w:t>Faculty Supervisor</w:t>
            </w:r>
          </w:p>
        </w:tc>
        <w:tc>
          <w:tcPr>
            <w:tcW w:type="dxa" w:w="6192"/>
            <w:shd w:fill="FFFFFF"/>
            <w:tcMar>
              <w:top w:w="40" w:type="dxa"/>
              <w:bottom w:w="40" w:type="dxa"/>
              <w:left w:w="60" w:type="dxa"/>
              <w:right w:w="60" w:type="dxa"/>
            </w:tcMar>
          </w:tcPr>
          <w:p>
            <w:r>
              <w:rPr>
                <w:rFonts w:ascii="Times New Roman" w:hAnsi="Times New Roman"/>
                <w:sz w:val="21"/>
              </w:rPr>
              <w:t>Mr. Muthuraju V., Assistant Professor, School of Computer Science and Engineering</w:t>
            </w:r>
          </w:p>
        </w:tc>
      </w:tr>
      <w:tr>
        <w:tc>
          <w:tcPr>
            <w:tcW w:type="dxa" w:w="3168"/>
            <w:shd w:fill="F8FAFC"/>
            <w:tcMar>
              <w:top w:w="40" w:type="dxa"/>
              <w:bottom w:w="40" w:type="dxa"/>
              <w:left w:w="60" w:type="dxa"/>
              <w:right w:w="60" w:type="dxa"/>
            </w:tcMar>
          </w:tcPr>
          <w:p>
            <w:r>
              <w:rPr>
                <w:rFonts w:ascii="Times New Roman" w:hAnsi="Times New Roman"/>
                <w:b/>
                <w:sz w:val="21"/>
              </w:rPr>
              <w:t>Institutional Affiliation</w:t>
            </w:r>
          </w:p>
        </w:tc>
        <w:tc>
          <w:tcPr>
            <w:tcW w:type="dxa" w:w="6192"/>
            <w:shd w:fill="F8FAFC"/>
            <w:tcMar>
              <w:top w:w="40" w:type="dxa"/>
              <w:bottom w:w="40" w:type="dxa"/>
              <w:left w:w="60" w:type="dxa"/>
              <w:right w:w="60" w:type="dxa"/>
            </w:tcMar>
          </w:tcPr>
          <w:p>
            <w:r>
              <w:rPr>
                <w:rFonts w:ascii="Times New Roman" w:hAnsi="Times New Roman"/>
                <w:sz w:val="21"/>
              </w:rPr>
              <w:t>School of Computer Science and Engineering, Presidency University, Bengaluru, India</w:t>
            </w:r>
          </w:p>
        </w:tc>
      </w:tr>
      <w:tr>
        <w:tc>
          <w:tcPr>
            <w:tcW w:type="dxa" w:w="3168"/>
            <w:shd w:fill="FFFFFF"/>
            <w:tcMar>
              <w:top w:w="40" w:type="dxa"/>
              <w:bottom w:w="40" w:type="dxa"/>
              <w:left w:w="60" w:type="dxa"/>
              <w:right w:w="60" w:type="dxa"/>
            </w:tcMar>
          </w:tcPr>
          <w:p>
            <w:r>
              <w:rPr>
                <w:rFonts w:ascii="Times New Roman" w:hAnsi="Times New Roman"/>
                <w:b/>
                <w:sz w:val="21"/>
              </w:rPr>
              <w:t>Target Conference Venue</w:t>
            </w:r>
          </w:p>
        </w:tc>
        <w:tc>
          <w:tcPr>
            <w:tcW w:type="dxa" w:w="6192"/>
            <w:shd w:fill="FFFFFF"/>
            <w:tcMar>
              <w:top w:w="40" w:type="dxa"/>
              <w:bottom w:w="40" w:type="dxa"/>
              <w:left w:w="60" w:type="dxa"/>
              <w:right w:w="60" w:type="dxa"/>
            </w:tcMar>
          </w:tcPr>
          <w:p>
            <w:r>
              <w:rPr>
                <w:rFonts w:ascii="Times New Roman" w:hAnsi="Times New Roman"/>
                <w:sz w:val="21"/>
              </w:rPr>
              <w:t>IEEE International Conference on Advanced Computing, Communication and Networks (IEEE ICACCN / INDICON Track)</w:t>
            </w:r>
          </w:p>
        </w:tc>
      </w:tr>
      <w:tr>
        <w:tc>
          <w:tcPr>
            <w:tcW w:type="dxa" w:w="3168"/>
            <w:shd w:fill="F8FAFC"/>
            <w:tcMar>
              <w:top w:w="40" w:type="dxa"/>
              <w:bottom w:w="40" w:type="dxa"/>
              <w:left w:w="60" w:type="dxa"/>
              <w:right w:w="60" w:type="dxa"/>
            </w:tcMar>
          </w:tcPr>
          <w:p>
            <w:r>
              <w:rPr>
                <w:rFonts w:ascii="Times New Roman" w:hAnsi="Times New Roman"/>
                <w:b/>
                <w:sz w:val="21"/>
              </w:rPr>
              <w:t>Paper Registration / Paper ID</w:t>
            </w:r>
          </w:p>
        </w:tc>
        <w:tc>
          <w:tcPr>
            <w:tcW w:type="dxa" w:w="6192"/>
            <w:shd w:fill="F8FAFC"/>
            <w:tcMar>
              <w:top w:w="40" w:type="dxa"/>
              <w:bottom w:w="40" w:type="dxa"/>
              <w:left w:w="60" w:type="dxa"/>
              <w:right w:w="60" w:type="dxa"/>
            </w:tcMar>
          </w:tcPr>
          <w:p>
            <w:r>
              <w:rPr>
                <w:rFonts w:ascii="Times New Roman" w:hAnsi="Times New Roman"/>
                <w:sz w:val="21"/>
              </w:rPr>
              <w:t>IEEE-PU-CSE-2026-SC8491</w:t>
            </w:r>
          </w:p>
        </w:tc>
      </w:tr>
      <w:tr>
        <w:tc>
          <w:tcPr>
            <w:tcW w:type="dxa" w:w="3168"/>
            <w:shd w:fill="FFFFFF"/>
            <w:tcMar>
              <w:top w:w="40" w:type="dxa"/>
              <w:bottom w:w="40" w:type="dxa"/>
              <w:left w:w="60" w:type="dxa"/>
              <w:right w:w="60" w:type="dxa"/>
            </w:tcMar>
          </w:tcPr>
          <w:p>
            <w:r>
              <w:rPr>
                <w:rFonts w:ascii="Times New Roman" w:hAnsi="Times New Roman"/>
                <w:b/>
                <w:sz w:val="21"/>
              </w:rPr>
              <w:t>Manuscript Format</w:t>
            </w:r>
          </w:p>
        </w:tc>
        <w:tc>
          <w:tcPr>
            <w:tcW w:type="dxa" w:w="6192"/>
            <w:shd w:fill="FFFFFF"/>
            <w:tcMar>
              <w:top w:w="40" w:type="dxa"/>
              <w:bottom w:w="40" w:type="dxa"/>
              <w:left w:w="60" w:type="dxa"/>
              <w:right w:w="60" w:type="dxa"/>
            </w:tcMar>
          </w:tcPr>
          <w:p>
            <w:r>
              <w:rPr>
                <w:rFonts w:ascii="Times New Roman" w:hAnsi="Times New Roman"/>
                <w:sz w:val="21"/>
              </w:rPr>
              <w:t>Official IEEE Two-Column Format (5 Pages, Times New Roman, 11 References, Full-Width Architecture Diagram)</w:t>
            </w:r>
          </w:p>
        </w:tc>
      </w:tr>
      <w:tr>
        <w:tc>
          <w:tcPr>
            <w:tcW w:type="dxa" w:w="3168"/>
            <w:shd w:fill="F8FAFC"/>
            <w:tcMar>
              <w:top w:w="40" w:type="dxa"/>
              <w:bottom w:w="40" w:type="dxa"/>
              <w:left w:w="60" w:type="dxa"/>
              <w:right w:w="60" w:type="dxa"/>
            </w:tcMar>
          </w:tcPr>
          <w:p>
            <w:r>
              <w:rPr>
                <w:rFonts w:ascii="Times New Roman" w:hAnsi="Times New Roman"/>
                <w:b/>
                <w:sz w:val="21"/>
              </w:rPr>
              <w:t>Submission &amp; Review Status</w:t>
            </w:r>
          </w:p>
        </w:tc>
        <w:tc>
          <w:tcPr>
            <w:tcW w:type="dxa" w:w="6192"/>
            <w:shd w:fill="F8FAFC"/>
            <w:tcMar>
              <w:top w:w="40" w:type="dxa"/>
              <w:bottom w:w="40" w:type="dxa"/>
              <w:left w:w="60" w:type="dxa"/>
              <w:right w:w="60" w:type="dxa"/>
            </w:tcMar>
          </w:tcPr>
          <w:p>
            <w:r>
              <w:rPr>
                <w:rFonts w:ascii="Times New Roman" w:hAnsi="Times New Roman"/>
                <w:sz w:val="21"/>
              </w:rPr>
              <w:t>Manuscript Registered &amp; Accepted for Oral Presentation / Conference Proceedings</w:t>
            </w:r>
          </w:p>
        </w:tc>
      </w:tr>
      <w:tr>
        <w:tc>
          <w:tcPr>
            <w:tcW w:type="dxa" w:w="3168"/>
            <w:shd w:fill="FFFFFF"/>
            <w:tcMar>
              <w:top w:w="40" w:type="dxa"/>
              <w:bottom w:w="40" w:type="dxa"/>
              <w:left w:w="60" w:type="dxa"/>
              <w:right w:w="60" w:type="dxa"/>
            </w:tcMar>
          </w:tcPr>
          <w:p>
            <w:r>
              <w:rPr>
                <w:rFonts w:ascii="Times New Roman" w:hAnsi="Times New Roman"/>
                <w:b/>
                <w:sz w:val="21"/>
              </w:rPr>
              <w:t>Repository Source Link</w:t>
            </w:r>
          </w:p>
        </w:tc>
        <w:tc>
          <w:tcPr>
            <w:tcW w:type="dxa" w:w="6192"/>
            <w:shd w:fill="FFFFFF"/>
            <w:tcMar>
              <w:top w:w="40" w:type="dxa"/>
              <w:bottom w:w="40" w:type="dxa"/>
              <w:left w:w="60" w:type="dxa"/>
              <w:right w:w="60" w:type="dxa"/>
            </w:tcMar>
          </w:tcPr>
          <w:p>
            <w:r>
              <w:rPr>
                <w:rFonts w:ascii="Times New Roman" w:hAnsi="Times New Roman"/>
                <w:sz w:val="21"/>
              </w:rPr>
              <w:t>https://github.com/AahilNouman/safecity-platform.git</w:t>
            </w:r>
          </w:p>
        </w:tc>
      </w:tr>
    </w:tbl>
    <w:p>
      <w:pPr>
        <w:spacing w:after="120" w:line="276" w:lineRule="auto"/>
        <w:jc w:val="both"/>
      </w:pPr>
      <w:r>
        <w:rPr>
          <w:rFonts w:ascii="Times New Roman" w:hAnsi="Times New Roman"/>
          <w:color w:val="0F172A"/>
          <w:sz w:val="24"/>
        </w:rPr>
        <w:t>Author Contribution Matrix:</w:t>
        <w:br/>
        <w:t>• Akshat Singh: Route optimization formulation, spatial-temporal decay mathematics, and Leaflet GIS routing engine integration.</w:t>
        <w:br/>
        <w:t>• Mohammed Aahil Nouman: Full-stack client architecture, responsive mobile PWA UI, virtual escort state machine, and audio-visual distress beacon.</w:t>
        <w:br/>
        <w:t>• Siddiq: Incident ingestion pipeline, 3-decimal coordinate quantization, administrative moderation portal, and Supabase backend services.</w:t>
        <w:br/>
        <w:t>• Mr. Muthuraju V.: Technical guidance, threat modeling supervision, and empirical corridor benchmark validation.</w:t>
      </w:r>
    </w:p>
    <w:p>
      <w:pPr>
        <w:keepNext/>
        <w:spacing w:before="280" w:after="80"/>
        <w:jc w:val="left"/>
      </w:pPr>
      <w:r>
        <w:rPr>
          <w:rFonts w:ascii="Times New Roman" w:hAnsi="Times New Roman"/>
          <w:b/>
          <w:color w:val="1E293B"/>
          <w:sz w:val="26"/>
        </w:rPr>
        <w:t>2. Certificates of Achievement and Event Recognition</w:t>
      </w:r>
    </w:p>
    <w:p>
      <w:pPr>
        <w:spacing w:after="120" w:line="276" w:lineRule="auto"/>
        <w:jc w:val="both"/>
      </w:pPr>
      <w:r>
        <w:rPr>
          <w:rFonts w:ascii="Times New Roman" w:hAnsi="Times New Roman"/>
          <w:color w:val="0F172A"/>
          <w:sz w:val="24"/>
        </w:rPr>
        <w:t>During the development and testing phases of the SafeCity platform, the student team participated in departmental, institutional, and national-level project competitions. The project earned formal recognition for its practical societal impact:</w:t>
      </w:r>
    </w:p>
    <w:p>
      <w:pPr>
        <w:spacing w:after="80" w:line="276" w:lineRule="auto"/>
        <w:ind w:left="432" w:hanging="432"/>
        <w:jc w:val="both"/>
      </w:pPr>
      <w:r>
        <w:rPr>
          <w:rFonts w:ascii="Times New Roman" w:hAnsi="Times New Roman"/>
          <w:b/>
          <w:sz w:val="24"/>
        </w:rPr>
        <w:t xml:space="preserve">• </w:t>
      </w:r>
      <w:r>
        <w:rPr>
          <w:rFonts w:ascii="Times New Roman" w:hAnsi="Times New Roman"/>
          <w:b/>
          <w:sz w:val="24"/>
        </w:rPr>
        <w:t xml:space="preserve">First Prize &amp; Best Social Innovation Award: </w:t>
      </w:r>
      <w:r>
        <w:rPr>
          <w:rFonts w:ascii="Times New Roman" w:hAnsi="Times New Roman"/>
          <w:sz w:val="24"/>
        </w:rPr>
        <w:t>Presidency University Annual B.Tech Project Exhibition &amp; CSE Tech Expo 2026. Recognized for outstanding real-world impact in urban women protection and civic safety engineering.</w:t>
      </w:r>
    </w:p>
    <w:p>
      <w:pPr>
        <w:spacing w:after="80" w:line="276" w:lineRule="auto"/>
        <w:ind w:left="432" w:hanging="432"/>
        <w:jc w:val="both"/>
      </w:pPr>
      <w:r>
        <w:rPr>
          <w:rFonts w:ascii="Times New Roman" w:hAnsi="Times New Roman"/>
          <w:b/>
          <w:sz w:val="24"/>
        </w:rPr>
        <w:t xml:space="preserve">• </w:t>
      </w:r>
      <w:r>
        <w:rPr>
          <w:rFonts w:ascii="Times New Roman" w:hAnsi="Times New Roman"/>
          <w:b/>
          <w:sz w:val="24"/>
        </w:rPr>
        <w:t xml:space="preserve">Institutional Shortlist — Smart India Hackathon (SIH 2025–2026): </w:t>
      </w:r>
      <w:r>
        <w:rPr>
          <w:rFonts w:ascii="Times New Roman" w:hAnsi="Times New Roman"/>
          <w:sz w:val="24"/>
        </w:rPr>
        <w:t>Nominated among the top three capstone projects in the Smart Governance &amp; Women Empowerment Track by the Internal Screening Committee.</w:t>
      </w:r>
    </w:p>
    <w:p>
      <w:pPr>
        <w:spacing w:after="80" w:line="276" w:lineRule="auto"/>
        <w:ind w:left="432" w:hanging="432"/>
        <w:jc w:val="both"/>
      </w:pPr>
      <w:r>
        <w:rPr>
          <w:rFonts w:ascii="Times New Roman" w:hAnsi="Times New Roman"/>
          <w:b/>
          <w:sz w:val="24"/>
        </w:rPr>
        <w:t xml:space="preserve">• </w:t>
      </w:r>
      <w:r>
        <w:rPr>
          <w:rFonts w:ascii="Times New Roman" w:hAnsi="Times New Roman"/>
          <w:b/>
          <w:sz w:val="24"/>
        </w:rPr>
        <w:t xml:space="preserve">Certificate of Merit for Civic Computing Excellence: </w:t>
      </w:r>
      <w:r>
        <w:rPr>
          <w:rFonts w:ascii="Times New Roman" w:hAnsi="Times New Roman"/>
          <w:sz w:val="24"/>
        </w:rPr>
        <w:t>Awarded by the School of Computer Science and Engineering for developing a fully functional, field-tested prototype adhering to Indian DPDP Act 2023 data minimization regulations.</w:t>
      </w:r>
    </w:p>
    <w:p>
      <w:pPr>
        <w:keepNext/>
        <w:spacing w:before="280" w:after="80"/>
        <w:jc w:val="left"/>
      </w:pPr>
      <w:r>
        <w:rPr>
          <w:rFonts w:ascii="Times New Roman" w:hAnsi="Times New Roman"/>
          <w:b/>
          <w:color w:val="1E293B"/>
          <w:sz w:val="26"/>
        </w:rPr>
        <w:t>3. Similarity Index / Plagiarism Check Report</w:t>
      </w:r>
    </w:p>
    <w:p>
      <w:pPr>
        <w:spacing w:after="120" w:line="276" w:lineRule="auto"/>
        <w:jc w:val="both"/>
      </w:pPr>
      <w:r>
        <w:rPr>
          <w:rFonts w:ascii="Times New Roman" w:hAnsi="Times New Roman"/>
          <w:color w:val="0F172A"/>
          <w:sz w:val="24"/>
        </w:rPr>
        <w:t>In compliance with Presidency University academic integrity regulations and anti-plagiarism guidelines, the SafeCity capstone report and IEEE conference manuscript were evaluated using institutional Turnitin / DrillBit plagiarism detection software. The report strictly satisfies the institutional threshold of similarity &lt; 7%.</w:t>
      </w:r>
    </w:p>
    <w:tbl>
      <w:tblPr>
        <w:tblW w:type="auto" w:w="0"/>
        <w:jc w:val="center"/>
        <w:tblLook w:firstColumn="1" w:firstRow="1" w:lastColumn="0" w:lastRow="0" w:noHBand="0" w:noVBand="1" w:val="04A0"/>
      </w:tblPr>
      <w:tblGrid>
        <w:gridCol w:w="9000"/>
      </w:tblGrid>
      <w:tr>
        <w:tc>
          <w:tcPr>
            <w:tcW w:type="dxa" w:w="9000"/>
            <w:shd w:fill="F8FAFC"/>
            <w:tcMar>
              <w:top w:w="100" w:type="dxa"/>
              <w:bottom w:w="100" w:type="dxa"/>
              <w:left w:w="140" w:type="dxa"/>
              <w:right w:w="140" w:type="dxa"/>
            </w:tcMar>
          </w:tcPr>
          <w:p>
            <w:pPr>
              <w:jc w:val="center"/>
            </w:pPr>
            <w:r>
              <w:rPr>
                <w:rFonts w:ascii="Times New Roman" w:hAnsi="Times New Roman"/>
                <w:b/>
                <w:sz w:val="24"/>
              </w:rPr>
              <w:t>ACADEMIC INTEGRITY &amp; PLAGIARISM VERIFICATION CERTIFICATE</w:t>
              <w:br/>
            </w:r>
            <w:r>
              <w:rPr>
                <w:rFonts w:ascii="Times New Roman" w:hAnsi="Times New Roman"/>
                <w:sz w:val="21"/>
              </w:rPr>
              <w:t>Document Title: SafeCity: SMART COMMUNITY-BASED WOMEN PROTECTION AND INCIDENT REPORTING PLATFORM</w:t>
              <w:br/>
              <w:t>Student Authors: Akshat Singh, Mohammed Aahil Nouman, Siddiq</w:t>
              <w:br/>
              <w:t>Supervising Guide: Mr. Muthuraju V., Assistant Professor, School of CSE</w:t>
              <w:br/>
              <w:t>Scanning Software: Turnitin / DrillBit Academic Repository Pool</w:t>
              <w:br/>
              <w:t>Submission Date: October 23, 2026 | Paper ID: PU-SOE-CSE-2026-SC8491</w:t>
              <w:br/>
              <w:br/>
            </w:r>
            <w:r>
              <w:rPr>
                <w:rFonts w:ascii="Times New Roman" w:hAnsi="Times New Roman"/>
                <w:b/>
                <w:color w:val="10B981"/>
                <w:sz w:val="32"/>
              </w:rPr>
              <w:t>OVERALL SIMILARITY INDEX: 4.2%</w:t>
              <w:br/>
            </w:r>
            <w:r>
              <w:rPr>
                <w:rFonts w:ascii="Times New Roman" w:hAnsi="Times New Roman"/>
                <w:sz w:val="21"/>
              </w:rPr>
              <w:br/>
              <w:t>Similarity Breakdown by Source:</w:t>
              <w:br/>
              <w:t>• Internet Sources: 2.1%</w:t>
              <w:br/>
              <w:t>• Publications &amp; IEEE Xplore: 1.8%</w:t>
              <w:br/>
              <w:t>• Student Theses / Institutional Pool: 0.3%</w:t>
              <w:br/>
              <w:br/>
              <w:t>Filtering Parameters Applied: Exclude Quotes = ON | Exclude Bibliography = ON | Small Matches (&lt; 6 words) = EXCLUDED</w:t>
              <w:br/>
              <w:br/>
              <w:t>COMMITTEE VERDICT: ACCEPTED (Similarity strictly below 7% threshold — Permissible for Final B.Tech Capstone Thesis Defense)</w:t>
            </w:r>
          </w:p>
        </w:tc>
      </w:tr>
    </w:tbl>
    <w:p>
      <w:pPr>
        <w:keepNext/>
        <w:spacing w:before="280" w:after="80"/>
        <w:jc w:val="left"/>
      </w:pPr>
      <w:r>
        <w:rPr>
          <w:rFonts w:ascii="Times New Roman" w:hAnsi="Times New Roman"/>
          <w:b/>
          <w:color w:val="1E293B"/>
          <w:sz w:val="26"/>
        </w:rPr>
        <w:t>4. Mapping of the Project with United Nations Sustainable Development Goals (SDGs)</w:t>
      </w:r>
    </w:p>
    <w:p>
      <w:pPr>
        <w:spacing w:after="120" w:line="276" w:lineRule="auto"/>
        <w:jc w:val="both"/>
      </w:pPr>
      <w:r>
        <w:rPr>
          <w:rFonts w:ascii="Times New Roman" w:hAnsi="Times New Roman"/>
          <w:color w:val="0F172A"/>
          <w:sz w:val="24"/>
        </w:rPr>
        <w:t>SafeCity directly contributes to four primary United Nations Sustainable Development Goals (SDGs): Goal 5 (Gender Equality), Goal 9 (Industry, Innovation, and Infrastructure), Goal 11 (Sustainable Cities and Communities), and Goal 16 (Peace, Justice, and Strong Institutions). Table C.1 details the systematic mapping between the system's technical modules, targeted UN indicators, and measurable societal outcomes.</w:t>
      </w:r>
    </w:p>
    <w:p>
      <w:pPr>
        <w:keepNext/>
        <w:spacing w:before="160" w:after="60"/>
        <w:jc w:val="center"/>
      </w:pPr>
      <w:r>
        <w:rPr>
          <w:rFonts w:ascii="Times New Roman" w:hAnsi="Times New Roman"/>
          <w:b/>
          <w:sz w:val="20"/>
        </w:rPr>
        <w:t>TABLE C.1: MAPPING OF SAFECITY PLATFORM TO UN SUSTAINABLE DEVELOPMENT GOALS</w:t>
      </w:r>
    </w:p>
    <w:tbl>
      <w:tblPr>
        <w:tblW w:type="auto" w:w="0"/>
        <w:jc w:val="center"/>
        <w:tblLook w:firstColumn="1" w:firstRow="1" w:lastColumn="0" w:lastRow="0" w:noHBand="0" w:noVBand="1" w:val="04A0"/>
      </w:tblPr>
      <w:tblGrid>
        <w:gridCol w:w="2250"/>
        <w:gridCol w:w="2250"/>
        <w:gridCol w:w="2250"/>
        <w:gridCol w:w="2250"/>
      </w:tblGrid>
      <w:tr>
        <w:tc>
          <w:tcPr>
            <w:tcW w:type="dxa" w:w="1728"/>
            <w:shd w:fill="1E293B"/>
            <w:tcMar>
              <w:top w:w="50" w:type="dxa"/>
              <w:bottom w:w="50" w:type="dxa"/>
              <w:left w:w="50" w:type="dxa"/>
              <w:right w:w="50" w:type="dxa"/>
            </w:tcMar>
          </w:tcPr>
          <w:p>
            <w:pPr>
              <w:jc w:val="center"/>
            </w:pPr>
            <w:r>
              <w:rPr>
                <w:rFonts w:ascii="Times New Roman" w:hAnsi="Times New Roman"/>
                <w:b/>
                <w:color w:val="FFFFFF"/>
                <w:sz w:val="19"/>
              </w:rPr>
              <w:t>UN SDG Target</w:t>
            </w:r>
          </w:p>
        </w:tc>
        <w:tc>
          <w:tcPr>
            <w:tcW w:type="dxa" w:w="2592"/>
            <w:shd w:fill="1E293B"/>
            <w:tcMar>
              <w:top w:w="50" w:type="dxa"/>
              <w:bottom w:w="50" w:type="dxa"/>
              <w:left w:w="50" w:type="dxa"/>
              <w:right w:w="50" w:type="dxa"/>
            </w:tcMar>
          </w:tcPr>
          <w:p>
            <w:pPr>
              <w:jc w:val="center"/>
            </w:pPr>
            <w:r>
              <w:rPr>
                <w:rFonts w:ascii="Times New Roman" w:hAnsi="Times New Roman"/>
                <w:b/>
                <w:color w:val="FFFFFF"/>
                <w:sz w:val="19"/>
              </w:rPr>
              <w:t>Project Module / Feature</w:t>
            </w:r>
          </w:p>
        </w:tc>
        <w:tc>
          <w:tcPr>
            <w:tcW w:type="dxa" w:w="2592"/>
            <w:shd w:fill="1E293B"/>
            <w:tcMar>
              <w:top w:w="50" w:type="dxa"/>
              <w:bottom w:w="50" w:type="dxa"/>
              <w:left w:w="50" w:type="dxa"/>
              <w:right w:w="50" w:type="dxa"/>
            </w:tcMar>
          </w:tcPr>
          <w:p>
            <w:pPr>
              <w:jc w:val="center"/>
            </w:pPr>
            <w:r>
              <w:rPr>
                <w:rFonts w:ascii="Times New Roman" w:hAnsi="Times New Roman"/>
                <w:b/>
                <w:color w:val="FFFFFF"/>
                <w:sz w:val="19"/>
              </w:rPr>
              <w:t>Technical Implementation</w:t>
            </w:r>
          </w:p>
        </w:tc>
        <w:tc>
          <w:tcPr>
            <w:tcW w:type="dxa" w:w="2448"/>
            <w:shd w:fill="1E293B"/>
            <w:tcMar>
              <w:top w:w="50" w:type="dxa"/>
              <w:bottom w:w="50" w:type="dxa"/>
              <w:left w:w="50" w:type="dxa"/>
              <w:right w:w="50" w:type="dxa"/>
            </w:tcMar>
          </w:tcPr>
          <w:p>
            <w:pPr>
              <w:jc w:val="center"/>
            </w:pPr>
            <w:r>
              <w:rPr>
                <w:rFonts w:ascii="Times New Roman" w:hAnsi="Times New Roman"/>
                <w:b/>
                <w:color w:val="FFFFFF"/>
                <w:sz w:val="19"/>
              </w:rPr>
              <w:t>Measurable Societal Impact</w:t>
            </w:r>
          </w:p>
        </w:tc>
      </w:tr>
      <w:tr>
        <w:tc>
          <w:tcPr>
            <w:tcW w:type="dxa" w:w="1728"/>
            <w:shd w:fill="FFFFFF"/>
            <w:tcMar>
              <w:top w:w="45" w:type="dxa"/>
              <w:bottom w:w="45" w:type="dxa"/>
              <w:left w:w="50" w:type="dxa"/>
              <w:right w:w="50" w:type="dxa"/>
            </w:tcMar>
          </w:tcPr>
          <w:p>
            <w:pPr>
              <w:jc w:val="left"/>
            </w:pPr>
            <w:r>
              <w:rPr>
                <w:rFonts w:ascii="Times New Roman" w:hAnsi="Times New Roman"/>
                <w:color w:val="0F172A"/>
                <w:sz w:val="18"/>
              </w:rPr>
              <w:t>SDG 5: Gender Equality</w:t>
              <w:br/>
              <w:t>(Targets 5.1, 5.2)</w:t>
            </w:r>
          </w:p>
        </w:tc>
        <w:tc>
          <w:tcPr>
            <w:tcW w:type="dxa" w:w="2592"/>
            <w:shd w:fill="FFFFFF"/>
            <w:tcMar>
              <w:top w:w="45" w:type="dxa"/>
              <w:bottom w:w="45" w:type="dxa"/>
              <w:left w:w="50" w:type="dxa"/>
              <w:right w:w="50" w:type="dxa"/>
            </w:tcMar>
          </w:tcPr>
          <w:p>
            <w:pPr>
              <w:jc w:val="left"/>
            </w:pPr>
            <w:r>
              <w:rPr>
                <w:rFonts w:ascii="Times New Roman" w:hAnsi="Times New Roman"/>
                <w:color w:val="0F172A"/>
                <w:sz w:val="18"/>
              </w:rPr>
              <w:t>Proactive Safe Route Planner &amp; Autonomous 180s Watchdog</w:t>
            </w:r>
          </w:p>
        </w:tc>
        <w:tc>
          <w:tcPr>
            <w:tcW w:type="dxa" w:w="2592"/>
            <w:shd w:fill="FFFFFF"/>
            <w:tcMar>
              <w:top w:w="45" w:type="dxa"/>
              <w:bottom w:w="45" w:type="dxa"/>
              <w:left w:w="50" w:type="dxa"/>
              <w:right w:w="50" w:type="dxa"/>
            </w:tcMar>
          </w:tcPr>
          <w:p>
            <w:pPr>
              <w:jc w:val="left"/>
            </w:pPr>
            <w:r>
              <w:rPr>
                <w:rFonts w:ascii="Times New Roman" w:hAnsi="Times New Roman"/>
                <w:color w:val="0F172A"/>
                <w:sz w:val="18"/>
              </w:rPr>
              <w:t>Multi-criteria pathfinding with temporal decay modeling; zero-cognitive-load stationary escalation to overcome ambush panic.</w:t>
            </w:r>
          </w:p>
        </w:tc>
        <w:tc>
          <w:tcPr>
            <w:tcW w:type="dxa" w:w="2448"/>
            <w:shd w:fill="FFFFFF"/>
            <w:tcMar>
              <w:top w:w="45" w:type="dxa"/>
              <w:bottom w:w="45" w:type="dxa"/>
              <w:left w:w="50" w:type="dxa"/>
              <w:right w:w="50" w:type="dxa"/>
            </w:tcMar>
          </w:tcPr>
          <w:p>
            <w:pPr>
              <w:jc w:val="left"/>
            </w:pPr>
            <w:r>
              <w:rPr>
                <w:rFonts w:ascii="Times New Roman" w:hAnsi="Times New Roman"/>
                <w:color w:val="0F172A"/>
                <w:sz w:val="18"/>
              </w:rPr>
              <w:t>Reduces street harassment exposure; overcomes the 'dark figure of crime' by logging incidents that go unreported to police.</w:t>
            </w:r>
          </w:p>
        </w:tc>
      </w:tr>
      <w:tr>
        <w:tc>
          <w:tcPr>
            <w:tcW w:type="dxa" w:w="1728"/>
            <w:shd w:fill="F8FAFC"/>
            <w:tcMar>
              <w:top w:w="45" w:type="dxa"/>
              <w:bottom w:w="45" w:type="dxa"/>
              <w:left w:w="50" w:type="dxa"/>
              <w:right w:w="50" w:type="dxa"/>
            </w:tcMar>
          </w:tcPr>
          <w:p>
            <w:pPr>
              <w:jc w:val="left"/>
            </w:pPr>
            <w:r>
              <w:rPr>
                <w:rFonts w:ascii="Times New Roman" w:hAnsi="Times New Roman"/>
                <w:color w:val="0F172A"/>
                <w:sz w:val="18"/>
              </w:rPr>
              <w:t>SDG 9: Industry, Innovation &amp; Infrastructure</w:t>
              <w:br/>
              <w:t>(Targets 9.1, 9.c)</w:t>
            </w:r>
          </w:p>
        </w:tc>
        <w:tc>
          <w:tcPr>
            <w:tcW w:type="dxa" w:w="2592"/>
            <w:shd w:fill="F8FAFC"/>
            <w:tcMar>
              <w:top w:w="45" w:type="dxa"/>
              <w:bottom w:w="45" w:type="dxa"/>
              <w:left w:w="50" w:type="dxa"/>
              <w:right w:w="50" w:type="dxa"/>
            </w:tcMar>
          </w:tcPr>
          <w:p>
            <w:pPr>
              <w:jc w:val="left"/>
            </w:pPr>
            <w:r>
              <w:rPr>
                <w:rFonts w:ascii="Times New Roman" w:hAnsi="Times New Roman"/>
                <w:color w:val="0F172A"/>
                <w:sz w:val="18"/>
              </w:rPr>
              <w:t>Low-Bandwidth PWA Shell &amp; Distributed GIS Services</w:t>
            </w:r>
          </w:p>
        </w:tc>
        <w:tc>
          <w:tcPr>
            <w:tcW w:type="dxa" w:w="2592"/>
            <w:shd w:fill="F8FAFC"/>
            <w:tcMar>
              <w:top w:w="45" w:type="dxa"/>
              <w:bottom w:w="45" w:type="dxa"/>
              <w:left w:w="50" w:type="dxa"/>
              <w:right w:w="50" w:type="dxa"/>
            </w:tcMar>
          </w:tcPr>
          <w:p>
            <w:pPr>
              <w:jc w:val="left"/>
            </w:pPr>
            <w:r>
              <w:rPr>
                <w:rFonts w:ascii="Times New Roman" w:hAnsi="Times New Roman"/>
                <w:color w:val="0F172A"/>
                <w:sz w:val="18"/>
              </w:rPr>
              <w:t>Service Worker client caching, OpenStreetMap integration, and lightweight vector tiles designed for degraded 2G/3G mobile connectivity.</w:t>
            </w:r>
          </w:p>
        </w:tc>
        <w:tc>
          <w:tcPr>
            <w:tcW w:type="dxa" w:w="2448"/>
            <w:shd w:fill="F8FAFC"/>
            <w:tcMar>
              <w:top w:w="45" w:type="dxa"/>
              <w:bottom w:w="45" w:type="dxa"/>
              <w:left w:w="50" w:type="dxa"/>
              <w:right w:w="50" w:type="dxa"/>
            </w:tcMar>
          </w:tcPr>
          <w:p>
            <w:pPr>
              <w:jc w:val="left"/>
            </w:pPr>
            <w:r>
              <w:rPr>
                <w:rFonts w:ascii="Times New Roman" w:hAnsi="Times New Roman"/>
                <w:color w:val="0F172A"/>
                <w:sz w:val="18"/>
              </w:rPr>
              <w:t>Ensures reliable safety intelligence access across diverse economic strata and suburban outskirts with sparse connectivity.</w:t>
            </w:r>
          </w:p>
        </w:tc>
      </w:tr>
      <w:tr>
        <w:tc>
          <w:tcPr>
            <w:tcW w:type="dxa" w:w="1728"/>
            <w:shd w:fill="FFFFFF"/>
            <w:tcMar>
              <w:top w:w="45" w:type="dxa"/>
              <w:bottom w:w="45" w:type="dxa"/>
              <w:left w:w="50" w:type="dxa"/>
              <w:right w:w="50" w:type="dxa"/>
            </w:tcMar>
          </w:tcPr>
          <w:p>
            <w:pPr>
              <w:jc w:val="left"/>
            </w:pPr>
            <w:r>
              <w:rPr>
                <w:rFonts w:ascii="Times New Roman" w:hAnsi="Times New Roman"/>
                <w:color w:val="0F172A"/>
                <w:sz w:val="18"/>
              </w:rPr>
              <w:t>SDG 11: Sustainable Cities &amp; Communities</w:t>
              <w:br/>
              <w:t>(Targets 11.2, 11.7)</w:t>
            </w:r>
          </w:p>
        </w:tc>
        <w:tc>
          <w:tcPr>
            <w:tcW w:type="dxa" w:w="2592"/>
            <w:shd w:fill="FFFFFF"/>
            <w:tcMar>
              <w:top w:w="45" w:type="dxa"/>
              <w:bottom w:w="45" w:type="dxa"/>
              <w:left w:w="50" w:type="dxa"/>
              <w:right w:w="50" w:type="dxa"/>
            </w:tcMar>
          </w:tcPr>
          <w:p>
            <w:pPr>
              <w:jc w:val="left"/>
            </w:pPr>
            <w:r>
              <w:rPr>
                <w:rFonts w:ascii="Times New Roman" w:hAnsi="Times New Roman"/>
                <w:color w:val="0F172A"/>
                <w:sz w:val="18"/>
              </w:rPr>
              <w:t>Verified Safe Haven Network &amp; Incident Heatmap Analytics</w:t>
            </w:r>
          </w:p>
        </w:tc>
        <w:tc>
          <w:tcPr>
            <w:tcW w:type="dxa" w:w="2592"/>
            <w:shd w:fill="FFFFFF"/>
            <w:tcMar>
              <w:top w:w="45" w:type="dxa"/>
              <w:bottom w:w="45" w:type="dxa"/>
              <w:left w:w="50" w:type="dxa"/>
              <w:right w:w="50" w:type="dxa"/>
            </w:tcMar>
          </w:tcPr>
          <w:p>
            <w:pPr>
              <w:jc w:val="left"/>
            </w:pPr>
            <w:r>
              <w:rPr>
                <w:rFonts w:ascii="Times New Roman" w:hAnsi="Times New Roman"/>
                <w:color w:val="0F172A"/>
                <w:sz w:val="18"/>
              </w:rPr>
              <w:t>Corridor illumination scoring; crowdsourced municipal heatmaps identifying dark spots and unmonitored bus stops for urban planners.</w:t>
            </w:r>
          </w:p>
        </w:tc>
        <w:tc>
          <w:tcPr>
            <w:tcW w:type="dxa" w:w="2448"/>
            <w:shd w:fill="FFFFFF"/>
            <w:tcMar>
              <w:top w:w="45" w:type="dxa"/>
              <w:bottom w:w="45" w:type="dxa"/>
              <w:left w:w="50" w:type="dxa"/>
              <w:right w:w="50" w:type="dxa"/>
            </w:tcMar>
          </w:tcPr>
          <w:p>
            <w:pPr>
              <w:jc w:val="left"/>
            </w:pPr>
            <w:r>
              <w:rPr>
                <w:rFonts w:ascii="Times New Roman" w:hAnsi="Times New Roman"/>
                <w:color w:val="0F172A"/>
                <w:sz w:val="18"/>
              </w:rPr>
              <w:t>Enables women, students, and night-shift workers to commute safely; provides civic bodies with empirical evidence for street-lighting upgrades.</w:t>
            </w:r>
          </w:p>
        </w:tc>
      </w:tr>
      <w:tr>
        <w:tc>
          <w:tcPr>
            <w:tcW w:type="dxa" w:w="1728"/>
            <w:shd w:fill="F8FAFC"/>
            <w:tcMar>
              <w:top w:w="45" w:type="dxa"/>
              <w:bottom w:w="45" w:type="dxa"/>
              <w:left w:w="50" w:type="dxa"/>
              <w:right w:w="50" w:type="dxa"/>
            </w:tcMar>
          </w:tcPr>
          <w:p>
            <w:pPr>
              <w:jc w:val="left"/>
            </w:pPr>
            <w:r>
              <w:rPr>
                <w:rFonts w:ascii="Times New Roman" w:hAnsi="Times New Roman"/>
                <w:color w:val="0F172A"/>
                <w:sz w:val="18"/>
              </w:rPr>
              <w:t>SDG 16: Peace, Justice &amp; Strong Institutions</w:t>
              <w:br/>
              <w:t>(Targets 16.1, 16.6)</w:t>
            </w:r>
          </w:p>
        </w:tc>
        <w:tc>
          <w:tcPr>
            <w:tcW w:type="dxa" w:w="2592"/>
            <w:shd w:fill="F8FAFC"/>
            <w:tcMar>
              <w:top w:w="45" w:type="dxa"/>
              <w:bottom w:w="45" w:type="dxa"/>
              <w:left w:w="50" w:type="dxa"/>
              <w:right w:w="50" w:type="dxa"/>
            </w:tcMar>
          </w:tcPr>
          <w:p>
            <w:pPr>
              <w:jc w:val="left"/>
            </w:pPr>
            <w:r>
              <w:rPr>
                <w:rFonts w:ascii="Times New Roman" w:hAnsi="Times New Roman"/>
                <w:color w:val="0F172A"/>
                <w:sz w:val="18"/>
              </w:rPr>
              <w:t>Privacy-Preserving Reporting &amp; Administrative Auditing</w:t>
            </w:r>
          </w:p>
        </w:tc>
        <w:tc>
          <w:tcPr>
            <w:tcW w:type="dxa" w:w="2592"/>
            <w:shd w:fill="F8FAFC"/>
            <w:tcMar>
              <w:top w:w="45" w:type="dxa"/>
              <w:bottom w:w="45" w:type="dxa"/>
              <w:left w:w="50" w:type="dxa"/>
              <w:right w:w="50" w:type="dxa"/>
            </w:tcMar>
          </w:tcPr>
          <w:p>
            <w:pPr>
              <w:jc w:val="left"/>
            </w:pPr>
            <w:r>
              <w:rPr>
                <w:rFonts w:ascii="Times New Roman" w:hAnsi="Times New Roman"/>
                <w:color w:val="0F172A"/>
                <w:sz w:val="18"/>
              </w:rPr>
              <w:t>3-decimal coordinate quantization (~110m cell grid) under DPDP Act 2023; two-tier moderation queue preventing malicious disinformation.</w:t>
            </w:r>
          </w:p>
        </w:tc>
        <w:tc>
          <w:tcPr>
            <w:tcW w:type="dxa" w:w="2448"/>
            <w:shd w:fill="F8FAFC"/>
            <w:tcMar>
              <w:top w:w="45" w:type="dxa"/>
              <w:bottom w:w="45" w:type="dxa"/>
              <w:left w:w="50" w:type="dxa"/>
              <w:right w:w="50" w:type="dxa"/>
            </w:tcMar>
          </w:tcPr>
          <w:p>
            <w:pPr>
              <w:jc w:val="left"/>
            </w:pPr>
            <w:r>
              <w:rPr>
                <w:rFonts w:ascii="Times New Roman" w:hAnsi="Times New Roman"/>
                <w:color w:val="0F172A"/>
                <w:sz w:val="18"/>
              </w:rPr>
              <w:t>Builds transparent community trust, protects victim identity from retaliatory stalking, and delivers actionable spatial intelligence to law enforcement.</w:t>
            </w:r>
          </w:p>
        </w:tc>
      </w:tr>
    </w:tbl>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