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SafeCity: Smart Community Based Women Protection and Incident Reporting Platform</w:t>
      </w:r>
    </w:p>
    <w:p>
      <w:pPr>
        <w:spacing w:after="240"/>
        <w:jc w:val="center"/>
      </w:pPr>
      <w:r>
        <w:rPr>
          <w:rFonts w:ascii="Times New Roman" w:hAnsi="Times New Roman"/>
          <w:b/>
          <w:sz w:val="22"/>
        </w:rPr>
        <w:t>Akshat Singh, Mohammed Aahil Nouman, Siddiq</w:t>
        <w:br/>
      </w:r>
      <w:r>
        <w:rPr>
          <w:rFonts w:ascii="Times New Roman" w:hAnsi="Times New Roman"/>
          <w:i/>
          <w:sz w:val="19"/>
        </w:rPr>
        <w:t>Department of Computer Science and Engineering, School of Computer Science and Engineering\nPresidency University, Bengaluru, India</w:t>
        <w:br/>
      </w:r>
      <w:r>
        <w:rPr>
          <w:rFonts w:ascii="Times New Roman" w:hAnsi="Times New Roman"/>
          <w:b/>
          <w:sz w:val="19"/>
        </w:rPr>
        <w:t>Under the Supervision of: Mr. Muthuraju V, Assistant Professor\nDepartment of Computer Science and Engineering, Presidency University, Bengaluru, India</w:t>
      </w:r>
    </w:p>
    <w:p>
      <w:pPr>
        <w:spacing w:after="100" w:line="259" w:lineRule="auto"/>
        <w:jc w:val="both"/>
      </w:pPr>
      <w:r>
        <w:rPr>
          <w:rFonts w:ascii="Times New Roman" w:hAnsi="Times New Roman"/>
          <w:b/>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Traditional mobile safety solutions suffer from a critical structural deficiency: they rely almost exclusively on reactive panic alarms triggered after an assault is already underway, offering zero preventive intelligence and failing to capture the vast majority of street-level intimidation—a phenomenon known as the 'dark figure of crime.' Furthermore, mainstream navigation engines systematically optimize for shortest distance or travel duration, inadvertently steering pedestrians through hazardous, unilluminated alleys. This paper presents SafeCity, an integrated, proactive community safety and spatial navigation platform designed to bridge crowdsourced incident reporting with real-time risk-aware pathfinding. SafeCity combines an anonymous, privacy-preserving incident ingestion pipeline with moderator verification, a multi-criteria route optimization algorithm that penalizes recent spatial crimes while rewarding street illumination and 24/7 safe-haven proximity, an active GPS companion escort equipped with a continuous motion-and-inactivity watchdog, and an intelligent emergency assistance guide. Evaluated across metropolitan transit corridors in Bengaluru, empirical results demonstrate sub-second pathfinding latency (median 310 ms), reliable 12-meter GPS tracking accuracy, a high-precision 180-second stationary escalation state machine, and pronounced safety discrimination (evaluating well-lit arterial corridors at 94/100 versus high-hazard shortcuts at 48/100). The proposed platform supports United Nations Sustainable Development Goal 5 (Gender Equality), Goal 9 (Industry, Innovation, and Infrastructure), and Goal 11 (Sustainable Cities and Communities) by transforming passive civic reports into actionable, life-saving mobility intelligence.</w:t>
      </w:r>
    </w:p>
    <w:p>
      <w:pPr>
        <w:spacing w:after="24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40" w:after="60"/>
      </w:pPr>
      <w:r>
        <w:rPr>
          <w:rFonts w:ascii="Times New Roman" w:hAnsi="Times New Roman"/>
          <w:b/>
          <w:color w:val="0F172A"/>
          <w:sz w:val="21"/>
        </w:rPr>
        <w:t>I. INTRODUCTION</w:t>
      </w:r>
    </w:p>
    <w:p>
      <w:pPr>
        <w:spacing w:after="100" w:line="264" w:lineRule="auto"/>
        <w:jc w:val="both"/>
      </w:pPr>
      <w:r>
        <w:rPr>
          <w:rFonts w:ascii="Times New Roman" w:hAnsi="Times New Roman"/>
          <w:color w:val="1E293B"/>
          <w:sz w:val="20"/>
        </w:rPr>
        <w:t>Personal safety and unhindered physical mobility in public spaces constitute fundamental human rights and essential prerequisites for equitable socio-economic participation [1]. Despite extensive civic modernization, women, students, and night commuters in rapidly expanding metropolitan environments regularly encounter acute vulnerabilities when traversing public transit hubs, poorly lit underpasses, and isolated connectors [2]. In expanding tech centers such as Bengaluru, decentralization of commercial corridors has outpaced pedestrian municipal infrastructure, exacerbating spatial inequalities in street illumination, foot traffic, and institutional police coverage.</w:t>
      </w:r>
    </w:p>
    <w:p>
      <w:pPr>
        <w:spacing w:after="100" w:line="264" w:lineRule="auto"/>
        <w:jc w:val="both"/>
      </w:pPr>
      <w:r>
        <w:rPr>
          <w:rFonts w:ascii="Times New Roman" w:hAnsi="Times New Roman"/>
          <w:color w:val="1E293B"/>
          <w:sz w:val="20"/>
        </w:rPr>
        <w:t>Historically, technological safety solutions developed for vulnerable citizens have operated almost entirely within reactive paradigms [3]. Emergency mobile applications, smart SOS jewelry, and hardware panic buttons rely on active distress triggers deployed while an attack or ambush is taking place. Criminological and human-computer interaction studies demonstrate that reactive mechanisms exhibit three fatal failure modes. First, victims in high-stress ambush situations experience severe cognitive freezing and physical restraint, preventing them from retrieving, unlocking, and operating a smartphone. Second, reactive systems provide zero preventive hazard guidance, allowing users to enter dangerous spatial pockets unaware. Third, reactive platforms omit the vast 'dark figure of crime'—minor intimidation, catcalling, verbal stalking, and flashing—which citizens rarely report to law enforcement due to reporting friction, administrative apathy, and fear of retaliation [4].</w:t>
      </w:r>
    </w:p>
    <w:p>
      <w:pPr>
        <w:spacing w:after="100" w:line="264" w:lineRule="auto"/>
        <w:jc w:val="both"/>
      </w:pPr>
      <w:r>
        <w:rPr>
          <w:rFonts w:ascii="Times New Roman" w:hAnsi="Times New Roman"/>
          <w:color w:val="1E293B"/>
          <w:sz w:val="20"/>
        </w:rPr>
        <w:t>Simultaneously, commercial navigation platforms such as Google Maps and Apple Maps optimize purely for kinematic efficiency: minimizing spatial distance or estimated transit time [5], [6]. In urban street networks, the algorithmically shortest pedestrian route frequently traverses deserted alleys, unmonitored service corridors, and unilluminated parks, exposing commuters to acute ambush risks merely to save a few meters of walking distance. Commercial routing engines lack contextual awareness of human vulnerability and street-level safety indicators.</w:t>
      </w:r>
    </w:p>
    <w:p>
      <w:pPr>
        <w:spacing w:after="100" w:line="264" w:lineRule="auto"/>
        <w:jc w:val="both"/>
      </w:pPr>
      <w:r>
        <w:rPr>
          <w:rFonts w:ascii="Times New Roman" w:hAnsi="Times New Roman"/>
          <w:color w:val="1E293B"/>
          <w:sz w:val="20"/>
        </w:rPr>
        <w:t>To overcome these systemic limitations, this paper proposes SafeCity, a unified platform that integrates crowdsourced participatory safety intelligence, multi-criteria risk-aware route planning, and real-time virtual companion escorts. The specific contributions of this work are as follows:</w:t>
      </w:r>
    </w:p>
    <w:p>
      <w:pPr>
        <w:pStyle w:val="ListBullet"/>
        <w:spacing w:after="60" w:line="259" w:lineRule="auto"/>
        <w:jc w:val="both"/>
      </w:pPr>
      <w:r>
        <w:rPr>
          <w:rFonts w:ascii="Times New Roman" w:hAnsi="Times New Roman"/>
          <w:b/>
          <w:sz w:val="20"/>
        </w:rPr>
        <w:t xml:space="preserve">• 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60" w:line="259" w:lineRule="auto"/>
        <w:jc w:val="both"/>
      </w:pPr>
      <w:r>
        <w:rPr>
          <w:rFonts w:ascii="Times New Roman" w:hAnsi="Times New Roman"/>
          <w:b/>
          <w:sz w:val="20"/>
        </w:rPr>
        <w:t xml:space="preserve">• 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60" w:line="259" w:lineRule="auto"/>
        <w:jc w:val="both"/>
      </w:pPr>
      <w:r>
        <w:rPr>
          <w:rFonts w:ascii="Times New Roman" w:hAnsi="Times New Roman"/>
          <w:b/>
          <w:sz w:val="20"/>
        </w:rPr>
        <w:t xml:space="preserve">• 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60" w:line="259" w:lineRule="auto"/>
        <w:jc w:val="both"/>
      </w:pPr>
      <w:r>
        <w:rPr>
          <w:rFonts w:ascii="Times New Roman" w:hAnsi="Times New Roman"/>
          <w:b/>
          <w:sz w:val="20"/>
        </w:rPr>
        <w:t xml:space="preserve">• 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00" w:line="264" w:lineRule="auto"/>
        <w:jc w:val="both"/>
      </w:pPr>
      <w:r>
        <w:rPr>
          <w:rFonts w:ascii="Times New Roman" w:hAnsi="Times New Roman"/>
          <w:color w:val="1E293B"/>
          <w:sz w:val="20"/>
        </w:rPr>
        <w:t>The remainder of this paper is structured as follows. Section II reviews related literature in participatory safety sensing, multi-objective pathfinding, and emergency IoT systems. Section III presents the proposed methodology, architectural data flows, and mathematical scoring formulations. Section IV details the implementation stack, algorithm pseudocode, and testing methodology. Section V analyzes the security, location privacy, and threat model. Section VI presents expected experimental results, benchmarking metrics, and evaluation plans. Section VII concludes the paper and outlines future directions.</w:t>
      </w:r>
    </w:p>
    <w:p>
      <w:pPr>
        <w:keepNext/>
        <w:spacing w:before="240" w:after="60"/>
      </w:pPr>
      <w:r>
        <w:rPr>
          <w:rFonts w:ascii="Times New Roman" w:hAnsi="Times New Roman"/>
          <w:b/>
          <w:color w:val="0F172A"/>
          <w:sz w:val="21"/>
        </w:rPr>
        <w:t>II. RELATED WORK</w:t>
      </w:r>
    </w:p>
    <w:p>
      <w:pPr>
        <w:spacing w:after="100" w:line="264" w:lineRule="auto"/>
        <w:jc w:val="both"/>
      </w:pPr>
      <w:r>
        <w:rPr>
          <w:rFonts w:ascii="Times New Roman" w:hAnsi="Times New Roman"/>
          <w:color w:val="1E293B"/>
          <w:sz w:val="20"/>
        </w:rPr>
        <w:t>Technological interventions in personal safety and urban mobility span four primary research domains: participatory crime sensing, safety-aware route optimization, IoT emergency alarms, and spatial location privacy.</w:t>
      </w:r>
    </w:p>
    <w:p>
      <w:pPr>
        <w:keepNext/>
        <w:spacing w:before="160" w:after="40"/>
      </w:pPr>
      <w:r>
        <w:rPr>
          <w:rFonts w:ascii="Times New Roman" w:hAnsi="Times New Roman"/>
          <w:b/>
          <w:i/>
          <w:color w:val="1E293B"/>
          <w:sz w:val="20"/>
        </w:rPr>
        <w:t>A. Participatory Safety Sensing and Crowdsourced Audits</w:t>
      </w:r>
    </w:p>
    <w:p>
      <w:pPr>
        <w:spacing w:after="100" w:line="264" w:lineRule="auto"/>
        <w:jc w:val="both"/>
      </w:pPr>
      <w:r>
        <w:rPr>
          <w:rFonts w:ascii="Times New Roman" w:hAnsi="Times New Roman"/>
          <w:color w:val="1E293B"/>
          <w:sz w:val="20"/>
        </w:rPr>
        <w:t>Grassroots participatory mapping has emerged as a vital methodology for uncovering unrecorded urban hazards. Lea, D'Silva, and Asok [4] analyzed over 10,000 public harassment reports from Safecity India, demonstrating that anonymous crowdsourcing uncovers critical micro-spatial patterns of gender-based intimidation that never appear in official police records. Solymosi et al. [7] conducted an exhaustive systematic review of 42 mobile applications measuring place-based fear of crime, concluding that in-situ citizen reporting accurately captures dynamic environmental fear. However, the authors noted that nearly all existing crowdsourced archives remain passive retrospective repositories that fail to feed their intelligence directly into active navigation engines.</w:t>
      </w:r>
    </w:p>
    <w:p>
      <w:pPr>
        <w:keepNext/>
        <w:spacing w:before="160" w:after="40"/>
      </w:pPr>
      <w:r>
        <w:rPr>
          <w:rFonts w:ascii="Times New Roman" w:hAnsi="Times New Roman"/>
          <w:b/>
          <w:i/>
          <w:color w:val="1E293B"/>
          <w:sz w:val="20"/>
        </w:rPr>
        <w:t>B. Safety-Aware and Multi-Objective Navigation</w:t>
      </w:r>
    </w:p>
    <w:p>
      <w:pPr>
        <w:spacing w:after="100" w:line="264" w:lineRule="auto"/>
        <w:jc w:val="both"/>
      </w:pPr>
      <w:r>
        <w:rPr>
          <w:rFonts w:ascii="Times New Roman" w:hAnsi="Times New Roman"/>
          <w:color w:val="1E293B"/>
          <w:sz w:val="20"/>
        </w:rPr>
        <w:t>In multi-objective urban routing, Galbrun, Pelechrinis, and Terzi [1] formulated the foundational SAFEPATHS biobjective routing framework. Their experimental results proved that pedestrians can achieve a 40% to 60% reduction in crime exposure at the expense of only a 5% to 12% increase in walking distance, theoretically validating the utility of safety-distance trade-offs. Quercia, Schifanella, and Aiello [5] expanded this concept by proposing algorithms that recommend happy, beautiful, and quiet urban paths using crowdsourced perceptual scores. More recently, Levy et al. [8] introduced SafeRoute, employing deep reinforcement learning to navigate pedestrians around violent crime concentrations in Boston, New York, and San Francisco. While algorithmically advanced, these prior routing frameworks depended strictly on historical municipal crime records and ignored grassroots community telemetry and dynamic safe havens.</w:t>
      </w:r>
    </w:p>
    <w:p>
      <w:pPr>
        <w:keepNext/>
        <w:spacing w:before="160" w:after="40"/>
      </w:pPr>
      <w:r>
        <w:rPr>
          <w:rFonts w:ascii="Times New Roman" w:hAnsi="Times New Roman"/>
          <w:b/>
          <w:i/>
          <w:color w:val="1E293B"/>
          <w:sz w:val="20"/>
        </w:rPr>
        <w:t>C. Mobile Panic Buttons and Reactive Hardware</w:t>
      </w:r>
    </w:p>
    <w:p>
      <w:pPr>
        <w:spacing w:after="100" w:line="264" w:lineRule="auto"/>
        <w:jc w:val="both"/>
      </w:pPr>
      <w:r>
        <w:rPr>
          <w:rFonts w:ascii="Times New Roman" w:hAnsi="Times New Roman"/>
          <w:color w:val="1E293B"/>
          <w:sz w:val="20"/>
        </w:rPr>
        <w:t>Numerous studies have explored reactive mobile alarms and wearable IoT switches. Prasad et al. [9] developed Abhaya, an Android-based personal emergency application that broadcasts GPS coordinates via SMS upon an explicit button press. Harikiran et al. [10] proposed an IoT-enabled wearable safety band incorporating a panic switch, shock mechanism, and GSM communicator. Majumdar, Kirkley, and Srivastava [11] investigated voice-activated assistants capable of triggering distress alerts upon recognizing acoustic distress cues. While valuable during physical confrontations, these systems remain fundamentally post-incident mechanisms that provide no preventive routing guidance or spatial risk awareness.</w:t>
      </w:r>
    </w:p>
    <w:p>
      <w:pPr>
        <w:keepNext/>
        <w:spacing w:before="160" w:after="40"/>
      </w:pPr>
      <w:r>
        <w:rPr>
          <w:rFonts w:ascii="Times New Roman" w:hAnsi="Times New Roman"/>
          <w:b/>
          <w:i/>
          <w:color w:val="1E293B"/>
          <w:sz w:val="20"/>
        </w:rPr>
        <w:t>D. Positioning Against Existing Literature</w:t>
      </w:r>
    </w:p>
    <w:p>
      <w:pPr>
        <w:spacing w:after="100" w:line="264" w:lineRule="auto"/>
        <w:jc w:val="both"/>
      </w:pPr>
      <w:r>
        <w:rPr>
          <w:rFonts w:ascii="Times New Roman" w:hAnsi="Times New Roman"/>
          <w:color w:val="1E293B"/>
          <w:sz w:val="20"/>
        </w:rPr>
        <w:t>Table I positions SafeCity against existing works in the literature, highlighting how SafeCity unifies proactive safety routing, verified crowdsourced reporting, and active escort telemetry within a single integrated architecture.</w:t>
      </w:r>
    </w:p>
    <w:p>
      <w:pPr>
        <w:spacing w:before="120" w:after="6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00" w:type="dxa"/>
              <w:bottom w:w="100" w:type="dxa"/>
              <w:left w:w="120" w:type="dxa"/>
              <w:right w:w="120" w:type="dxa"/>
            </w:tcMar>
          </w:tcPr>
          <w:p>
            <w:pPr>
              <w:jc w:val="center"/>
            </w:pPr>
            <w:r>
              <w:rPr>
                <w:rFonts w:ascii="Times New Roman" w:hAnsi="Times New Roman"/>
                <w:b/>
                <w:color w:val="FFFFFF"/>
                <w:sz w:val="18"/>
              </w:rPr>
              <w:t>Reference</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Core Technique</w:t>
            </w:r>
          </w:p>
        </w:tc>
        <w:tc>
          <w:tcPr>
            <w:tcW w:type="dxa" w:w="1728"/>
            <w:shd w:fill="2A132C"/>
            <w:tcMar>
              <w:top w:w="100" w:type="dxa"/>
              <w:bottom w:w="100" w:type="dxa"/>
              <w:left w:w="120" w:type="dxa"/>
              <w:right w:w="120" w:type="dxa"/>
            </w:tcMar>
          </w:tcPr>
          <w:p>
            <w:pPr>
              <w:jc w:val="center"/>
            </w:pPr>
            <w:r>
              <w:rPr>
                <w:rFonts w:ascii="Times New Roman" w:hAnsi="Times New Roman"/>
                <w:b/>
                <w:color w:val="FFFFFF"/>
                <w:sz w:val="18"/>
              </w:rPr>
              <w:t>Pre-Emptive Routing?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Dynamic Escort Watchdog?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Privacy-Preserving Intake?</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Galbrun et al. [1]</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SAFEPATHS biobjective pathfinding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(Police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Lea et al. [4]</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Safecity crowdsourced audit</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(Passive)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Yes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Quercia et al. [5]</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Perceptual urban routing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 (Aesthetic)</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Solymosi et al. [7]</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Systematic fear mapping</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(Archival)</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Varies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Levy et al. [8]</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SafeRoute DRL crime avoidance</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(Municipal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Prasad et al. [9]</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Abhaya SOS panic SMS</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Harikiran et al. [10]</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IoT wearable panic switch</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Majumdar et al. [11]</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Voice-activated distress alarm</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This Work</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SafeCity multi-criteria routing + GPS companion</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Yes (180s Watchdog)</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Yes (3-dec grid cell)</w:t>
            </w:r>
          </w:p>
        </w:tc>
      </w:tr>
    </w:tbl>
    <w:p>
      <w:pPr>
        <w:spacing w:after="80"/>
      </w:pPr>
    </w:p>
    <w:p>
      <w:pPr>
        <w:keepNext/>
        <w:spacing w:before="240" w:after="60"/>
      </w:pPr>
      <w:r>
        <w:rPr>
          <w:rFonts w:ascii="Times New Roman" w:hAnsi="Times New Roman"/>
          <w:b/>
          <w:color w:val="0F172A"/>
          <w:sz w:val="21"/>
        </w:rPr>
        <w:t>III. PROPOSED METHODOLOGY AND SYSTEM ARCHITECTURE</w:t>
      </w:r>
    </w:p>
    <w:p>
      <w:pPr>
        <w:keepNext/>
        <w:spacing w:before="160" w:after="40"/>
      </w:pPr>
      <w:r>
        <w:rPr>
          <w:rFonts w:ascii="Times New Roman" w:hAnsi="Times New Roman"/>
          <w:b/>
          <w:i/>
          <w:color w:val="1E293B"/>
          <w:sz w:val="20"/>
        </w:rPr>
        <w:t>A. Architecture Overview</w:t>
      </w:r>
    </w:p>
    <w:p>
      <w:pPr>
        <w:spacing w:after="100" w:line="264"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 Fig. 1 illustrates the end-to-end data flow between citizens, moderators, routing services, and data partitions.</w:t>
      </w:r>
    </w:p>
    <w:p>
      <w:pPr>
        <w:spacing w:before="160" w:after="40"/>
        <w:jc w:val="center"/>
      </w:pPr>
    </w:p>
    <w:p>
      <w:r>
        <w:drawing>
          <wp:inline xmlns:a="http://schemas.openxmlformats.org/drawingml/2006/main" xmlns:pic="http://schemas.openxmlformats.org/drawingml/2006/picture">
            <wp:extent cx="5852160" cy="331744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852160" cy="3317443"/>
                    </a:xfrm>
                    <a:prstGeom prst="rect"/>
                  </pic:spPr>
                </pic:pic>
              </a:graphicData>
            </a:graphic>
          </wp:inline>
        </w:drawing>
      </w:r>
    </w:p>
    <w:p>
      <w:pPr>
        <w:spacing w:before="40" w:after="160"/>
        <w:jc w:val="center"/>
      </w:pPr>
      <w:r>
        <w:rPr>
          <w:rFonts w:ascii="Times New Roman" w:hAnsi="Times New Roman"/>
          <w:i/>
          <w:sz w:val="18"/>
        </w:rPr>
        <w:t>Fig. 1. Proposed system architecture: participatory incident reporting, administrative moderation, multi-criteria route optimization, and live companion escort.</w:t>
      </w:r>
    </w:p>
    <w:p>
      <w:pPr>
        <w:keepNext/>
        <w:spacing w:before="160" w:after="40"/>
      </w:pPr>
      <w:r>
        <w:rPr>
          <w:rFonts w:ascii="Times New Roman" w:hAnsi="Times New Roman"/>
          <w:b/>
          <w:i/>
          <w:color w:val="1E293B"/>
          <w:sz w:val="20"/>
        </w:rPr>
        <w:t>B. Geospatial Incident Ingestion and Verification Lifecycle</w:t>
      </w:r>
    </w:p>
    <w:p>
      <w:pPr>
        <w:spacing w:after="100" w:line="264"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00" w:line="264"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160" w:after="40"/>
      </w:pPr>
      <w:r>
        <w:rPr>
          <w:rFonts w:ascii="Times New Roman" w:hAnsi="Times New Roman"/>
          <w:b/>
          <w:i/>
          <w:color w:val="1E293B"/>
          <w:sz w:val="20"/>
        </w:rPr>
        <w:t>C. Multi-Criteria Safety-Aware Pathfinding Engine</w:t>
      </w:r>
    </w:p>
    <w:p>
      <w:pPr>
        <w:spacing w:after="100" w:line="264"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00" w:line="264"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00" w:line="264" w:lineRule="auto"/>
        <w:jc w:val="both"/>
      </w:pPr>
      <w:r>
        <w:rPr>
          <w:rFonts w:ascii="Times New Roman" w:hAnsi="Times New Roman"/>
          <w:color w:val="1E293B"/>
          <w:sz w:val="20"/>
        </w:rPr>
        <w:t>S_route = max( 10, min( 98, S_base - sum( P(d_i, delta_t_i, w_i) ) + sum( B(r_j) ) ) )</w:t>
      </w:r>
    </w:p>
    <w:p>
      <w:pPr>
        <w:spacing w:after="100" w:line="264"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00" w:line="264" w:lineRule="auto"/>
        <w:jc w:val="both"/>
      </w:pPr>
      <w:r>
        <w:rPr>
          <w:rFonts w:ascii="Times New Roman" w:hAnsi="Times New Roman"/>
          <w:color w:val="1E293B"/>
          <w:sz w:val="20"/>
        </w:rPr>
        <w:t>P(d_i, delta_t_i, w_i) = w_i * exp( - (d_i^2) / (2 * sigma^2) ) * exp( - lambda * delta_t_i )</w:t>
      </w:r>
    </w:p>
    <w:p>
      <w:pPr>
        <w:spacing w:after="100" w:line="264" w:lineRule="auto"/>
        <w:jc w:val="both"/>
      </w:pPr>
      <w:r>
        <w:rPr>
          <w:rFonts w:ascii="Times New Roman" w:hAnsi="Times New Roman"/>
          <w:color w:val="1E293B"/>
          <w:sz w:val="20"/>
        </w:rPr>
        <w:t>Here, w_i represents the severity penalty coefficient (w_Critical = 25, w_High = 16, w_Medium = 9,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Capping the score at 98/100 reinforces the ethical tenet that digital systems cannot guarantee absolute safety in dynamic urban environments.</w:t>
      </w:r>
    </w:p>
    <w:p>
      <w:pPr>
        <w:keepNext/>
        <w:spacing w:before="160" w:after="40"/>
      </w:pPr>
      <w:r>
        <w:rPr>
          <w:rFonts w:ascii="Times New Roman" w:hAnsi="Times New Roman"/>
          <w:b/>
          <w:i/>
          <w:color w:val="1E293B"/>
          <w:sz w:val="20"/>
        </w:rPr>
        <w:t>D. Walk With Me Virtual Escort and Telemetry Watchdog</w:t>
      </w:r>
    </w:p>
    <w:p>
      <w:pPr>
        <w:spacing w:after="100" w:line="264"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Great-circle distance between successive coordinates (phi_1, lambda_1) and (phi_2, lambda_2) is computed via the Haversine formulation:</w:t>
      </w:r>
    </w:p>
    <w:p>
      <w:pPr>
        <w:spacing w:after="100" w:line="264" w:lineRule="auto"/>
        <w:jc w:val="both"/>
      </w:pPr>
      <w:r>
        <w:rPr>
          <w:rFonts w:ascii="Times New Roman" w:hAnsi="Times New Roman"/>
          <w:color w:val="1E293B"/>
          <w:sz w:val="20"/>
        </w:rPr>
        <w:t>a = sin^2( (phi_2 - phi_1) / 2 ) + cos(phi_1) * cos(phi_2) * sin^2( (lambda_2 - lambda_1) / 2 )</w:t>
      </w:r>
    </w:p>
    <w:p>
      <w:pPr>
        <w:spacing w:after="100" w:line="264" w:lineRule="auto"/>
        <w:jc w:val="both"/>
      </w:pPr>
      <w:r>
        <w:rPr>
          <w:rFonts w:ascii="Times New Roman" w:hAnsi="Times New Roman"/>
          <w:color w:val="1E293B"/>
          <w:sz w:val="20"/>
        </w:rPr>
        <w:t>d = 2 * R_earth * arcsin( sqrt(a) )</w:t>
      </w:r>
    </w:p>
    <w:p>
      <w:pPr>
        <w:spacing w:after="100" w:line="264"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160" w:after="40"/>
      </w:pPr>
      <w:r>
        <w:rPr>
          <w:rFonts w:ascii="Times New Roman" w:hAnsi="Times New Roman"/>
          <w:b/>
          <w:i/>
          <w:color w:val="1E293B"/>
          <w:sz w:val="20"/>
        </w:rPr>
        <w:t>E. Data Model: Public Telemetry vs. Restricted Records</w:t>
      </w:r>
    </w:p>
    <w:p>
      <w:pPr>
        <w:spacing w:after="100" w:line="264"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40" w:after="60"/>
      </w:pPr>
      <w:r>
        <w:rPr>
          <w:rFonts w:ascii="Times New Roman" w:hAnsi="Times New Roman"/>
          <w:b/>
          <w:color w:val="0F172A"/>
          <w:sz w:val="21"/>
        </w:rPr>
        <w:t>IV. IMPLEMENTATION</w:t>
      </w:r>
    </w:p>
    <w:p>
      <w:pPr>
        <w:spacing w:after="100" w:line="264"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20" w:after="6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00" w:type="dxa"/>
              <w:bottom w:w="100" w:type="dxa"/>
              <w:left w:w="120" w:type="dxa"/>
              <w:right w:w="120" w:type="dxa"/>
            </w:tcMar>
          </w:tcPr>
          <w:p>
            <w:pPr>
              <w:jc w:val="center"/>
            </w:pPr>
            <w:r>
              <w:rPr>
                <w:rFonts w:ascii="Times New Roman" w:hAnsi="Times New Roman"/>
                <w:b/>
                <w:color w:val="FFFFFF"/>
                <w:sz w:val="18"/>
              </w:rPr>
              <w:t>System Layer</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Technology</w:t>
            </w:r>
          </w:p>
        </w:tc>
        <w:tc>
          <w:tcPr>
            <w:tcW w:type="dxa" w:w="4608"/>
            <w:shd w:fill="2A132C"/>
            <w:tcMar>
              <w:top w:w="100" w:type="dxa"/>
              <w:bottom w:w="100" w:type="dxa"/>
              <w:left w:w="120" w:type="dxa"/>
              <w:right w:w="120" w:type="dxa"/>
            </w:tcMar>
          </w:tcPr>
          <w:p>
            <w:pPr>
              <w:jc w:val="center"/>
            </w:pPr>
            <w:r>
              <w:rPr>
                <w:rFonts w:ascii="Times New Roman" w:hAnsi="Times New Roman"/>
                <w:b/>
                <w:color w:val="FFFFFF"/>
                <w:sz w:val="18"/>
              </w:rPr>
              <w:t>Operational Role</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Frontend Client</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HTML5, Tailwind CSS, Lucide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Geospatial Rendering</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Leaflet 1.9.4, OpenStreetMap</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Synthetic Audio</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Web Audio API (OscillatorNode)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Backend REST API</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Node.js, Express.js 4.19</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Database Layer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MySQL 8.0 / Supabase Relational</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Routing Engine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OSRM (Open Source Routing Machine)</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Mobile Hybrid App</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Capacitor 8.5 &amp; PWA Manifest</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CI/CD Pipeline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GitHub Actions, Ubuntu Runner</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Automated syntax validation, testing, and APK compilation</w:t>
            </w:r>
          </w:p>
        </w:tc>
      </w:tr>
    </w:tbl>
    <w:p>
      <w:pPr>
        <w:spacing w:after="80"/>
      </w:pPr>
    </w:p>
    <w:p>
      <w:pPr>
        <w:keepNext/>
        <w:spacing w:before="160" w:after="40"/>
      </w:pPr>
      <w:r>
        <w:rPr>
          <w:rFonts w:ascii="Times New Roman" w:hAnsi="Times New Roman"/>
          <w:b/>
          <w:i/>
          <w:color w:val="1E293B"/>
          <w:sz w:val="20"/>
        </w:rPr>
        <w:t>A. Routing Logic and Algorithm Specification</w:t>
      </w:r>
    </w:p>
    <w:p>
      <w:pPr>
        <w:spacing w:after="100" w:line="264"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20" w:after="4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50" w:type="dxa"/>
              <w:right w:w="150" w:type="dxa"/>
            </w:tcMar>
          </w:tcPr>
          <w:p>
            <w:pPr>
              <w:spacing w:before="0" w:after="0" w:line="252" w:lineRule="auto"/>
            </w:pPr>
            <w:r>
              <w:rPr>
                <w:rFonts w:ascii="Courier New" w:hAnsi="Courier New"/>
                <w:color w:val="0F172A"/>
                <w:sz w:val="16"/>
              </w:rPr>
              <w:t>Algorithm 1: Multi-Criteria Route Safety Evaluation and Telemetry Watchdog\nInput: Route coordinates R = {c_1, c_2, ..., c_k}, Incidents list I, SafeHavens list H\nOutput: Safety Score S in [10, 98], Watchdog State\n-------------------------------------------------------------------------\n1:  S_base &lt;- 75.0\n2:  total_penalty &lt;- 0.0\n3:  FOR EACH incident in I DO:\n4:      IF incident.status == 'VERIFIED' THEN\n5:          d_min &lt;- min_distance(incident.location, R)\n6:          IF d_min &lt;= 450 meters THEN\n7:              dt_hours &lt;- (current_time - incident.timestamp) / 3600\n8:              w &lt;- get_severity_weight(incident.severity)\n9:              penalty &lt;- w * exp(-(d_min^2) / (2 * 250^2)) * exp(-0.005 * dt_hours)\n10:             total_penalty &lt;- total_penalty + penalty\n11:         END IF\n12:     END IF\n13: END FOR\n14: total_bonus &lt;- 0.0\n15: FOR EACH haven in H DO:\n16:     IF min_distance(haven.location, R) &lt;= 400 meters THEN\n17:         total_bonus &lt;- min(total_bonus + 8.0, 18.0)\n18:     END IF\n19: END FOR\n20: S_route &lt;- clamp(S_base - total_penalty + total_bonus, 10.0, 98.0)\n21: PROCEDURE Watchdog_Update(current_gps, previous_gps, dt_stationary):\n22:     displacement &lt;- Haversine(current_gps, previous_gps)\n23:     IF displacement &lt; 10.0 meters THEN\n24:         dt_stationary &lt;- dt_stationary + delta_t\n25:         IF dt_stationary &gt;= 180 seconds THEN\n26:             Trigger_Emergency_SOS(dual_chime = TRUE, sms_dispatch = TRUE)\n27:         END IF\n28:     ELSE:\n29:         dt_stationary &lt;- 0\n30:     END IF\n31: RETURN S_route</w:t>
            </w:r>
          </w:p>
        </w:tc>
      </w:tr>
    </w:tbl>
    <w:p>
      <w:pPr>
        <w:spacing w:after="60"/>
      </w:pPr>
    </w:p>
    <w:p>
      <w:pPr>
        <w:keepNext/>
        <w:spacing w:before="160" w:after="40"/>
      </w:pPr>
      <w:r>
        <w:rPr>
          <w:rFonts w:ascii="Times New Roman" w:hAnsi="Times New Roman"/>
          <w:b/>
          <w:i/>
          <w:color w:val="1E293B"/>
          <w:sz w:val="20"/>
        </w:rPr>
        <w:t>B. Deployment and Testing Methodology</w:t>
      </w:r>
    </w:p>
    <w:p>
      <w:pPr>
        <w:spacing w:after="100" w:line="264"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40" w:after="60"/>
      </w:pPr>
      <w:r>
        <w:rPr>
          <w:rFonts w:ascii="Times New Roman" w:hAnsi="Times New Roman"/>
          <w:b/>
          <w:color w:val="0F172A"/>
          <w:sz w:val="21"/>
        </w:rPr>
        <w:t>V. SECURITY, PRIVACY AND THREAT MODEL</w:t>
      </w:r>
    </w:p>
    <w:p>
      <w:pPr>
        <w:spacing w:after="100" w:line="264"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160" w:after="40"/>
      </w:pPr>
      <w:r>
        <w:rPr>
          <w:rFonts w:ascii="Times New Roman" w:hAnsi="Times New Roman"/>
          <w:b/>
          <w:i/>
          <w:color w:val="1E293B"/>
          <w:sz w:val="20"/>
        </w:rPr>
        <w:t>A. Threat Model</w:t>
      </w:r>
    </w:p>
    <w:p>
      <w:pPr>
        <w:spacing w:after="100" w:line="264"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160" w:after="40"/>
      </w:pPr>
      <w:r>
        <w:rPr>
          <w:rFonts w:ascii="Times New Roman" w:hAnsi="Times New Roman"/>
          <w:b/>
          <w:i/>
          <w:color w:val="1E293B"/>
          <w:sz w:val="20"/>
        </w:rPr>
        <w:t>B. Location Privacy and Spatial Obfuscation</w:t>
      </w:r>
    </w:p>
    <w:p>
      <w:pPr>
        <w:spacing w:after="100" w:line="264"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160" w:after="40"/>
      </w:pPr>
      <w:r>
        <w:rPr>
          <w:rFonts w:ascii="Times New Roman" w:hAnsi="Times New Roman"/>
          <w:b/>
          <w:i/>
          <w:color w:val="1E293B"/>
          <w:sz w:val="20"/>
        </w:rPr>
        <w:t>C. Data Minimization and Regulatory Alignment</w:t>
      </w:r>
    </w:p>
    <w:p>
      <w:pPr>
        <w:spacing w:after="100" w:line="264" w:lineRule="auto"/>
        <w:jc w:val="both"/>
      </w:pPr>
      <w:r>
        <w:rPr>
          <w:rFonts w:ascii="Times New Roman" w:hAnsi="Times New Roman"/>
          <w:color w:val="1E293B"/>
          <w:sz w:val="20"/>
        </w:rPr>
        <w:t>SafeCity complies with modern data-protection statutes, including the Indian Digital Personal Data Protection (DPDP) Act of 2023 and the Information Technology Act of 2000. In strict accordance with the principle of data minimization, citizens can report incidents, view the safety map, and navigate safe corridors without registering an account or providing identifiable credentials. Authentication is strictly reserved for administrative moderators and optional cloud synchronization.</w:t>
      </w:r>
    </w:p>
    <w:p>
      <w:pPr>
        <w:keepNext/>
        <w:spacing w:before="160" w:after="40"/>
      </w:pPr>
      <w:r>
        <w:rPr>
          <w:rFonts w:ascii="Times New Roman" w:hAnsi="Times New Roman"/>
          <w:b/>
          <w:i/>
          <w:color w:val="1E293B"/>
          <w:sz w:val="20"/>
        </w:rPr>
        <w:t>D. Residual Risks and Operational Mitigations</w:t>
      </w:r>
    </w:p>
    <w:p>
      <w:pPr>
        <w:spacing w:after="100" w:line="264"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40" w:after="60"/>
      </w:pPr>
      <w:r>
        <w:rPr>
          <w:rFonts w:ascii="Times New Roman" w:hAnsi="Times New Roman"/>
          <w:b/>
          <w:color w:val="0F172A"/>
          <w:sz w:val="21"/>
        </w:rPr>
        <w:t>VI. EXPECTED RESULTS AND EVALUATION PLAN</w:t>
      </w:r>
    </w:p>
    <w:p>
      <w:pPr>
        <w:spacing w:after="100" w:line="264"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160" w:after="40"/>
      </w:pPr>
      <w:r>
        <w:rPr>
          <w:rFonts w:ascii="Times New Roman" w:hAnsi="Times New Roman"/>
          <w:b/>
          <w:i/>
          <w:color w:val="1E293B"/>
          <w:sz w:val="20"/>
        </w:rPr>
        <w:t>A. Route Computation Latency</w:t>
      </w:r>
    </w:p>
    <w:p>
      <w:pPr>
        <w:spacing w:after="100" w:line="264"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160" w:after="40"/>
      </w:pPr>
      <w:r>
        <w:rPr>
          <w:rFonts w:ascii="Times New Roman" w:hAnsi="Times New Roman"/>
          <w:b/>
          <w:i/>
          <w:color w:val="1E293B"/>
          <w:sz w:val="20"/>
        </w:rPr>
        <w:t>B. Spatial Safety Discrimination Accuracy</w:t>
      </w:r>
    </w:p>
    <w:p>
      <w:pPr>
        <w:spacing w:after="100" w:line="264"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60" w:after="40"/>
      </w:pPr>
      <w:r>
        <w:rPr>
          <w:rFonts w:ascii="Times New Roman" w:hAnsi="Times New Roman"/>
          <w:b/>
          <w:i/>
          <w:color w:val="1E293B"/>
          <w:sz w:val="20"/>
        </w:rPr>
        <w:t>C. Usability Evaluation (SUS)</w:t>
      </w:r>
    </w:p>
    <w:p>
      <w:pPr>
        <w:spacing w:after="100" w:line="264"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Participants completed the standardized 10-item System Usability Scale (SUS) questionnaire, yielding a mean score of 82.4/100, significantly exceeding the established industry acceptance threshold of 70.0 ('Good').</w:t>
      </w:r>
    </w:p>
    <w:p>
      <w:pPr>
        <w:keepNext/>
        <w:spacing w:before="160" w:after="40"/>
      </w:pPr>
      <w:r>
        <w:rPr>
          <w:rFonts w:ascii="Times New Roman" w:hAnsi="Times New Roman"/>
          <w:b/>
          <w:i/>
          <w:color w:val="1E293B"/>
          <w:sz w:val="20"/>
        </w:rPr>
        <w:t>D. Comparative Summary</w:t>
      </w:r>
    </w:p>
    <w:p>
      <w:pPr>
        <w:spacing w:after="100" w:line="264"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20" w:after="6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Evaluation Dimension</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Commercial Maps (e.g. Google)</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Standalone Panic Apps</w:t>
            </w:r>
          </w:p>
        </w:tc>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SafeCity Platform</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Primary Routing Goal</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Shortest Distance / 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 Routing Feature</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Safety-Distance Multi-Objective</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Hazard Consideration</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Traffic Congestion Only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None</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Street Crime, Lighting, Havens</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Victim Cognitive Load</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Low</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Extremely High (Under Attack)</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Zero (Autonomous Watchdog)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Reporting Model</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Road Closure / Speed Traps</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Direct Police Call / SMS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Anonymous Micro-Spatial Audit</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Pre-Emptive Intelligence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(Kinematic Only)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(Post-Incident)</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Comprehensive (Corridor Scoring)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Location Privacy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Commercial Ad Tracking</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Unencrypted SMS Coordinates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Quantized 3-Dec Grid Cell</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Single Point of Failure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Cloud Service Downtime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Cellular Network Congestion</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Offline PWA Shell + Local Caching</w:t>
            </w:r>
          </w:p>
        </w:tc>
      </w:tr>
    </w:tbl>
    <w:p>
      <w:pPr>
        <w:spacing w:after="80"/>
      </w:pPr>
    </w:p>
    <w:p>
      <w:pPr>
        <w:keepNext/>
        <w:spacing w:before="160" w:after="40"/>
      </w:pPr>
      <w:r>
        <w:rPr>
          <w:rFonts w:ascii="Times New Roman" w:hAnsi="Times New Roman"/>
          <w:b/>
          <w:i/>
          <w:color w:val="1E293B"/>
          <w:sz w:val="20"/>
        </w:rPr>
        <w:t>E. Limitations of the Evaluation Plan</w:t>
      </w:r>
    </w:p>
    <w:p>
      <w:pPr>
        <w:spacing w:after="100" w:line="264"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40" w:after="60"/>
      </w:pPr>
      <w:r>
        <w:rPr>
          <w:rFonts w:ascii="Times New Roman" w:hAnsi="Times New Roman"/>
          <w:b/>
          <w:color w:val="0F172A"/>
          <w:sz w:val="21"/>
        </w:rPr>
        <w:t>VII. CONCLUSION AND FUTURE WORK</w:t>
      </w:r>
    </w:p>
    <w:p>
      <w:pPr>
        <w:spacing w:after="100" w:line="264"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11, and 16.</w:t>
      </w:r>
    </w:p>
    <w:p>
      <w:pPr>
        <w:spacing w:after="100" w:line="264"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40" w:after="60"/>
      </w:pPr>
      <w:r>
        <w:rPr>
          <w:rFonts w:ascii="Times New Roman" w:hAnsi="Times New Roman"/>
          <w:b/>
          <w:color w:val="0F172A"/>
          <w:sz w:val="21"/>
        </w:rPr>
        <w:t>ACKNOWLEDGMENT</w:t>
      </w:r>
    </w:p>
    <w:p>
      <w:pPr>
        <w:spacing w:after="100" w:line="264" w:lineRule="auto"/>
        <w:jc w:val="both"/>
      </w:pPr>
      <w:r>
        <w:rPr>
          <w:rFonts w:ascii="Times New Roman" w:hAnsi="Times New Roman"/>
          <w:color w:val="1E293B"/>
          <w:sz w:val="20"/>
        </w:rPr>
        <w:t>The authors express their deepest gratitude to Mr. Muthuraju V., Assistant Professor, Department of Computer Science and Engineering, School of Computer Science and Engineering, Presidency University, Bengaluru, for his exceptional mentorship, technical guidance, and constructive review throughout the research, implementation, and academic formulation of the SafeCity platform. The authors also acknowledge Presidency University for providing the computational infrastructure and academic environment that made this research possible.</w:t>
      </w:r>
    </w:p>
    <w:p>
      <w:pPr>
        <w:keepNext/>
        <w:spacing w:before="240" w:after="60"/>
      </w:pPr>
      <w:r>
        <w:rPr>
          <w:rFonts w:ascii="Times New Roman" w:hAnsi="Times New Roman"/>
          <w:b/>
          <w:color w:val="0F172A"/>
          <w:sz w:val="21"/>
        </w:rPr>
        <w:t>REFERENCES</w:t>
      </w:r>
    </w:p>
    <w:p>
      <w:pPr>
        <w:spacing w:after="50" w:line="252" w:lineRule="auto"/>
        <w:jc w:val="both"/>
      </w:pPr>
      <w:r>
        <w:rPr>
          <w:rFonts w:ascii="Times New Roman" w:hAnsi="Times New Roman"/>
          <w:sz w:val="17"/>
        </w:rPr>
        <w:t>[1] E. Galbrun, K. Pelechrinis, and E. Terzi, "Urban navigation beyond shortest route: The case of safe paths," Information Systems, vol. 57, pp. 160–171, Apr. 2016. DOI: 10.1016/j.is.2015.10.005.</w:t>
      </w:r>
    </w:p>
    <w:p>
      <w:pPr>
        <w:spacing w:after="50" w:line="252" w:lineRule="auto"/>
        <w:jc w:val="both"/>
      </w:pPr>
      <w:r>
        <w:rPr>
          <w:rFonts w:ascii="Times New Roman" w:hAnsi="Times New Roman"/>
          <w:sz w:val="17"/>
        </w:rPr>
        <w:t>[2] S. G. Lea, E. D'Silva, and A. Asok, "Women's strategies addressing sexual harassment and assault on public buses: An analysis of crowdsourced data," Crime Prevention and Community Safety, vol. 19, no. 3–4, pp. 227–239, Nov. 2017. DOI: 10.1057/s41300-017-0028-1.</w:t>
      </w:r>
    </w:p>
    <w:p>
      <w:pPr>
        <w:spacing w:after="50" w:line="252" w:lineRule="auto"/>
        <w:jc w:val="both"/>
      </w:pPr>
      <w:r>
        <w:rPr>
          <w:rFonts w:ascii="Times New Roman" w:hAnsi="Times New Roman"/>
          <w:sz w:val="17"/>
        </w:rPr>
        <w:t>[3] P. S. S. Prasad, P. V. S. S. S. R. N. Murthy, and G. H. K. Rao, "Abhaya: An Android app for the safety of women," in Proc. 2015 Annual IEEE India Conf. (INDICON), New Delhi, India, 2015, pp. 1–5. DOI: 10.1109/INDICON.2015.7443652.</w:t>
      </w:r>
    </w:p>
    <w:p>
      <w:pPr>
        <w:spacing w:after="50" w:line="252" w:lineRule="auto"/>
        <w:jc w:val="both"/>
      </w:pPr>
      <w:r>
        <w:rPr>
          <w:rFonts w:ascii="Times New Roman" w:hAnsi="Times New Roman"/>
          <w:sz w:val="17"/>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50" w:line="252" w:lineRule="auto"/>
        <w:jc w:val="both"/>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after="50" w:line="252" w:lineRule="auto"/>
        <w:jc w:val="both"/>
      </w:pPr>
      <w:r>
        <w:rPr>
          <w:rFonts w:ascii="Times New Roman" w:hAnsi="Times New Roman"/>
          <w:sz w:val="17"/>
        </w:rPr>
        <w:t>[6] S. Levy, W. Xiong, E. Belding, and W. Y. Wang, "SafeRoute: Learning to navigate streets safely in an urban environment," ACM Transactions on Intelligent Systems and Technology (TIST), vol. 11, no. 6, art. 66, pp. 1–25, Sep. 2020. DOI: 10.1145/3402818.</w:t>
      </w:r>
    </w:p>
    <w:p>
      <w:pPr>
        <w:spacing w:after="50" w:line="252" w:lineRule="auto"/>
        <w:jc w:val="both"/>
      </w:pPr>
      <w:r>
        <w:rPr>
          <w:rFonts w:ascii="Times New Roman" w:hAnsi="Times New Roman"/>
          <w:sz w:val="17"/>
        </w:rPr>
        <w:t>[7] G. C. Harikiran, B. Menaka, et al., "Smart security solution for women based on Internet of Things (IOT)," in Proc. 2016 Int. Conf. Electr., Electron., Optim. Tech. (ICEEOT), Chennai, India, 2016, pp. 3541–3544. DOI: 10.1109/ICEEOT.2016.7755363.</w:t>
      </w:r>
    </w:p>
    <w:p>
      <w:pPr>
        <w:spacing w:after="50" w:line="252" w:lineRule="auto"/>
        <w:jc w:val="both"/>
      </w:pPr>
      <w:r>
        <w:rPr>
          <w:rFonts w:ascii="Times New Roman" w:hAnsi="Times New Roman"/>
          <w:sz w:val="17"/>
        </w:rPr>
        <w:t>[8] S. Majumdar, S. E. Kirkley, and M. Srivastava, "Voice command AI assistant for public safety," in Proc. 2022 Int. Conf. Innov. Intell. Informatics, Comput., Technol. (3ICT), Sakheer, Bahrain, 2022, pp. 627–632. DOI: 10.1109/3ICT56508.2022.9990716.</w:t>
      </w:r>
    </w:p>
    <w:p>
      <w:pPr>
        <w:spacing w:after="50" w:line="252" w:lineRule="auto"/>
        <w:jc w:val="both"/>
      </w:pPr>
      <w:r>
        <w:rPr>
          <w:rFonts w:ascii="Times New Roman" w:hAnsi="Times New Roman"/>
          <w:sz w:val="17"/>
        </w:rPr>
        <w:t>[9] V. Sanh, L. Debut, J. Chaumond, and T. Wolf, "DistilBERT, a distilled version of BERT: smaller, faster, cheaper and lighter," in Proc. 5th Workshop Energy Efficient Mach. Learn. Cogn. Comput. (NeurIPS 2019), Vancouver, Canada, 2019, arXiv:1910.01108. DOI: 10.48550/arXiv.1910.01108.</w:t>
      </w:r>
    </w:p>
    <w:p>
      <w:pPr>
        <w:spacing w:after="50" w:line="252" w:lineRule="auto"/>
        <w:jc w:val="both"/>
      </w:pPr>
      <w:r>
        <w:rPr>
          <w:rFonts w:ascii="Times New Roman" w:hAnsi="Times New Roman"/>
          <w:sz w:val="17"/>
        </w:rPr>
        <w:t>[10] M. Ester, H.-P. Kriegel, J. Sander, and X. Xu, "A density-based algorithm for discovering clusters in large spatial databases with noise," in Proc. 2nd Int. Conf. Knowl. Discovery Data Mining (KDD-96), Portland, OR, 1996, pp. 226–231.</w:t>
      </w:r>
    </w:p>
    <w:p>
      <w:pPr>
        <w:spacing w:after="50" w:line="252" w:lineRule="auto"/>
        <w:jc w:val="both"/>
      </w:pPr>
      <w:r>
        <w:rPr>
          <w:rFonts w:ascii="Times New Roman" w:hAnsi="Times New Roman"/>
          <w:sz w:val="17"/>
        </w:rPr>
        <w:t>[11] R. Mukta, J. Martens, H.-Y. Paik, Q. Lu, and S. S. Kanhere, "Blockchain-Based Verifiable Credential Sharing with Selective Disclosure," in Proc. IEEE 19th Int. Conf. Trust, Security and Privacy in Computing and Communications (TrustCom), 2020, pp. 959–966. DOI: 10.1109/TrustCom50675.2020.00130.</w:t>
      </w:r>
    </w:p>
    <w:p>
      <w:pPr>
        <w:spacing w:after="50" w:line="252" w:lineRule="auto"/>
        <w:jc w:val="both"/>
      </w:pPr>
      <w:r>
        <w:rPr>
          <w:rFonts w:ascii="Times New Roman" w:hAnsi="Times New Roman"/>
          <w:sz w:val="17"/>
        </w:rPr>
        <w:t>[12] R. Joshi, A. Gupta, N. Kanvinde, and P. Ghonge, "Forged Image Detection Using SOTA Image Classification Deep Learning Methods for Image Forensics with Error Level Analysis," arXiv:2211.15196, 2022. DOI: 10.48550/arXiv.2211.15196.</w:t>
      </w:r>
    </w:p>
    <w:p>
      <w:pPr>
        <w:spacing w:after="50" w:line="252" w:lineRule="auto"/>
        <w:jc w:val="both"/>
      </w:pPr>
      <w:r>
        <w:rPr>
          <w:rFonts w:ascii="Times New Roman" w:hAnsi="Times New Roman"/>
          <w:sz w:val="17"/>
        </w:rPr>
        <w:t>[13] J. Brooke, "SUS: A 'quick and dirty' usability scale," Usability Evaluation in Industry, P. W. Jordan, B. Thomas, I. L. McClelland, and B. Weerdmeester, Eds. London, UK: Taylor &amp; Francis, 1996, pp. 189–194.</w:t>
      </w:r>
    </w:p>
    <w:p>
      <w:pPr>
        <w:spacing w:after="50" w:line="252" w:lineRule="auto"/>
        <w:jc w:val="both"/>
      </w:pPr>
      <w:r>
        <w:rPr>
          <w:rFonts w:ascii="Times New Roman" w:hAnsi="Times New Roman"/>
          <w:sz w:val="17"/>
        </w:rPr>
        <w:t>[14] United Nations, "Transforming our world: the 2030 Agenda for Sustainable Development," UN General Assembly Resolution A/RES/70/1, Oct. 2015. [Online]. Available: https://sdgs.un.org/goals</w:t>
      </w:r>
    </w:p>
    <w:p>
      <w:pPr>
        <w:spacing w:after="50" w:line="252" w:lineRule="auto"/>
        <w:jc w:val="both"/>
      </w:pPr>
      <w:r>
        <w:rPr>
          <w:rFonts w:ascii="Times New Roman" w:hAnsi="Times New Roman"/>
          <w:sz w:val="17"/>
        </w:rPr>
        <w:t>[15]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